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C4F9" w14:textId="5CD0B215" w:rsidR="00660770" w:rsidRPr="0004309F" w:rsidRDefault="008E441A" w:rsidP="009D2A1D">
      <w:pPr>
        <w:pStyle w:val="Title"/>
      </w:pPr>
      <w:r w:rsidRPr="0004309F">
        <w:t xml:space="preserve">The </w:t>
      </w:r>
      <w:r w:rsidRPr="009D2A1D">
        <w:t>Untethered</w:t>
      </w:r>
      <w:r w:rsidRPr="0004309F">
        <w:t xml:space="preserve"> </w:t>
      </w:r>
      <w:r w:rsidRPr="00897CE4">
        <w:t>Republic</w:t>
      </w:r>
    </w:p>
    <w:p w14:paraId="43F52CD1" w14:textId="2FC51E07" w:rsidR="008E441A" w:rsidRPr="00382409" w:rsidRDefault="008E441A" w:rsidP="009D2A1D">
      <w:pPr>
        <w:pStyle w:val="Subtitle"/>
      </w:pPr>
      <w:r w:rsidRPr="00382409">
        <w:t xml:space="preserve">The </w:t>
      </w:r>
      <w:r w:rsidRPr="00897CE4">
        <w:t>United</w:t>
      </w:r>
      <w:r w:rsidRPr="00382409">
        <w:t xml:space="preserve"> States of America, 1800-present</w:t>
      </w:r>
    </w:p>
    <w:p w14:paraId="6576B3FA" w14:textId="77777777" w:rsidR="008E441A" w:rsidRDefault="008E441A" w:rsidP="009D2A1D">
      <w:pPr>
        <w:ind w:firstLine="0"/>
      </w:pPr>
    </w:p>
    <w:p w14:paraId="501C43BE" w14:textId="5A6B2A73" w:rsidR="008E441A" w:rsidRPr="003936CF" w:rsidRDefault="008E441A" w:rsidP="003936CF">
      <w:pPr>
        <w:pStyle w:val="Authortitle"/>
      </w:pPr>
      <w:r w:rsidRPr="003936CF">
        <w:t xml:space="preserve">By Webster </w:t>
      </w:r>
      <w:proofErr w:type="spellStart"/>
      <w:r w:rsidRPr="003936CF">
        <w:t>Snickens</w:t>
      </w:r>
      <w:proofErr w:type="spellEnd"/>
    </w:p>
    <w:p w14:paraId="5EAD964E" w14:textId="5C4851FF" w:rsidR="008E441A" w:rsidRDefault="008E441A" w:rsidP="009D2A1D">
      <w:r>
        <w:br w:type="page"/>
      </w:r>
    </w:p>
    <w:p w14:paraId="5D7E83C5" w14:textId="19018D92" w:rsidR="008E441A" w:rsidRPr="009D2A1D" w:rsidRDefault="008E441A" w:rsidP="009D2A1D">
      <w:pPr>
        <w:pStyle w:val="TOCHeader"/>
      </w:pPr>
      <w:r w:rsidRPr="0004309F">
        <w:lastRenderedPageBreak/>
        <w:t>Table of Contents</w:t>
      </w:r>
    </w:p>
    <w:p w14:paraId="0B1E5B96" w14:textId="24BA1062" w:rsidR="00694F29" w:rsidRDefault="008E441A">
      <w:pPr>
        <w:pStyle w:val="TOC1"/>
        <w:rPr>
          <w:rFonts w:eastAsiaTheme="minorEastAsia"/>
          <w:noProof/>
          <w:kern w:val="2"/>
          <w:sz w:val="24"/>
          <w:szCs w:val="24"/>
          <w:lang w:eastAsia="en-CA"/>
          <w14:ligatures w14:val="standardContextual"/>
        </w:rPr>
      </w:pPr>
      <w:r>
        <w:fldChar w:fldCharType="begin"/>
      </w:r>
      <w:r>
        <w:instrText xml:space="preserve"> TOC </w:instrText>
      </w:r>
      <w:r>
        <w:fldChar w:fldCharType="separate"/>
      </w:r>
      <w:r w:rsidR="00694F29">
        <w:rPr>
          <w:noProof/>
        </w:rPr>
        <w:t>1. The Revolution of 1800</w:t>
      </w:r>
      <w:r w:rsidR="00694F29">
        <w:rPr>
          <w:noProof/>
        </w:rPr>
        <w:tab/>
      </w:r>
      <w:r w:rsidR="00694F29">
        <w:rPr>
          <w:noProof/>
        </w:rPr>
        <w:fldChar w:fldCharType="begin"/>
      </w:r>
      <w:r w:rsidR="00694F29">
        <w:rPr>
          <w:noProof/>
        </w:rPr>
        <w:instrText xml:space="preserve"> PAGEREF _Toc202006200 \h </w:instrText>
      </w:r>
      <w:r w:rsidR="00694F29">
        <w:rPr>
          <w:noProof/>
        </w:rPr>
      </w:r>
      <w:r w:rsidR="00694F29">
        <w:rPr>
          <w:noProof/>
        </w:rPr>
        <w:fldChar w:fldCharType="separate"/>
      </w:r>
      <w:r w:rsidR="00694F29">
        <w:rPr>
          <w:noProof/>
        </w:rPr>
        <w:t>1</w:t>
      </w:r>
      <w:r w:rsidR="00694F29">
        <w:rPr>
          <w:noProof/>
        </w:rPr>
        <w:fldChar w:fldCharType="end"/>
      </w:r>
    </w:p>
    <w:p w14:paraId="26AC3660" w14:textId="2CE286AA" w:rsidR="00694F29" w:rsidRDefault="00694F29">
      <w:pPr>
        <w:pStyle w:val="TOC1"/>
        <w:rPr>
          <w:rFonts w:eastAsiaTheme="minorEastAsia"/>
          <w:noProof/>
          <w:kern w:val="2"/>
          <w:sz w:val="24"/>
          <w:szCs w:val="24"/>
          <w:lang w:eastAsia="en-CA"/>
          <w14:ligatures w14:val="standardContextual"/>
        </w:rPr>
      </w:pPr>
      <w:r>
        <w:rPr>
          <w:noProof/>
        </w:rPr>
        <w:t>2. The Age of Jefferson</w:t>
      </w:r>
      <w:r>
        <w:rPr>
          <w:noProof/>
        </w:rPr>
        <w:tab/>
      </w:r>
      <w:r>
        <w:rPr>
          <w:noProof/>
        </w:rPr>
        <w:fldChar w:fldCharType="begin"/>
      </w:r>
      <w:r>
        <w:rPr>
          <w:noProof/>
        </w:rPr>
        <w:instrText xml:space="preserve"> PAGEREF _Toc202006201 \h </w:instrText>
      </w:r>
      <w:r>
        <w:rPr>
          <w:noProof/>
        </w:rPr>
      </w:r>
      <w:r>
        <w:rPr>
          <w:noProof/>
        </w:rPr>
        <w:fldChar w:fldCharType="separate"/>
      </w:r>
      <w:r>
        <w:rPr>
          <w:noProof/>
        </w:rPr>
        <w:t>8</w:t>
      </w:r>
      <w:r>
        <w:rPr>
          <w:noProof/>
        </w:rPr>
        <w:fldChar w:fldCharType="end"/>
      </w:r>
    </w:p>
    <w:p w14:paraId="37AED326" w14:textId="1D84383F" w:rsidR="00694F29" w:rsidRDefault="00694F29">
      <w:pPr>
        <w:pStyle w:val="TOC1"/>
        <w:rPr>
          <w:rFonts w:eastAsiaTheme="minorEastAsia"/>
          <w:noProof/>
          <w:kern w:val="2"/>
          <w:sz w:val="24"/>
          <w:szCs w:val="24"/>
          <w:lang w:eastAsia="en-CA"/>
          <w14:ligatures w14:val="standardContextual"/>
        </w:rPr>
      </w:pPr>
      <w:r>
        <w:rPr>
          <w:noProof/>
        </w:rPr>
        <w:t>3. Burr and Democracy</w:t>
      </w:r>
      <w:r>
        <w:rPr>
          <w:noProof/>
        </w:rPr>
        <w:tab/>
      </w:r>
      <w:r>
        <w:rPr>
          <w:noProof/>
        </w:rPr>
        <w:fldChar w:fldCharType="begin"/>
      </w:r>
      <w:r>
        <w:rPr>
          <w:noProof/>
        </w:rPr>
        <w:instrText xml:space="preserve"> PAGEREF _Toc202006202 \h </w:instrText>
      </w:r>
      <w:r>
        <w:rPr>
          <w:noProof/>
        </w:rPr>
      </w:r>
      <w:r>
        <w:rPr>
          <w:noProof/>
        </w:rPr>
        <w:fldChar w:fldCharType="separate"/>
      </w:r>
      <w:r>
        <w:rPr>
          <w:noProof/>
        </w:rPr>
        <w:t>15</w:t>
      </w:r>
      <w:r>
        <w:rPr>
          <w:noProof/>
        </w:rPr>
        <w:fldChar w:fldCharType="end"/>
      </w:r>
    </w:p>
    <w:p w14:paraId="48E71D37" w14:textId="516E81E0" w:rsidR="00694F29" w:rsidRDefault="00694F29">
      <w:pPr>
        <w:pStyle w:val="TOC1"/>
        <w:rPr>
          <w:rFonts w:eastAsiaTheme="minorEastAsia"/>
          <w:noProof/>
          <w:kern w:val="2"/>
          <w:sz w:val="24"/>
          <w:szCs w:val="24"/>
          <w:lang w:eastAsia="en-CA"/>
          <w14:ligatures w14:val="standardContextual"/>
        </w:rPr>
      </w:pPr>
      <w:r>
        <w:rPr>
          <w:noProof/>
        </w:rPr>
        <w:t>4. The Conquest of Space</w:t>
      </w:r>
      <w:r>
        <w:rPr>
          <w:noProof/>
        </w:rPr>
        <w:tab/>
      </w:r>
      <w:r>
        <w:rPr>
          <w:noProof/>
        </w:rPr>
        <w:fldChar w:fldCharType="begin"/>
      </w:r>
      <w:r>
        <w:rPr>
          <w:noProof/>
        </w:rPr>
        <w:instrText xml:space="preserve"> PAGEREF _Toc202006203 \h </w:instrText>
      </w:r>
      <w:r>
        <w:rPr>
          <w:noProof/>
        </w:rPr>
      </w:r>
      <w:r>
        <w:rPr>
          <w:noProof/>
        </w:rPr>
        <w:fldChar w:fldCharType="separate"/>
      </w:r>
      <w:r>
        <w:rPr>
          <w:noProof/>
        </w:rPr>
        <w:t>27</w:t>
      </w:r>
      <w:r>
        <w:rPr>
          <w:noProof/>
        </w:rPr>
        <w:fldChar w:fldCharType="end"/>
      </w:r>
    </w:p>
    <w:p w14:paraId="65589A99" w14:textId="219DC59F" w:rsidR="00694F29" w:rsidRDefault="00694F29">
      <w:pPr>
        <w:pStyle w:val="TOC1"/>
        <w:rPr>
          <w:rFonts w:eastAsiaTheme="minorEastAsia"/>
          <w:noProof/>
          <w:kern w:val="2"/>
          <w:sz w:val="24"/>
          <w:szCs w:val="24"/>
          <w:lang w:eastAsia="en-CA"/>
          <w14:ligatures w14:val="standardContextual"/>
        </w:rPr>
      </w:pPr>
      <w:r>
        <w:rPr>
          <w:noProof/>
        </w:rPr>
        <w:t>5. The National Blessing</w:t>
      </w:r>
      <w:r>
        <w:rPr>
          <w:noProof/>
        </w:rPr>
        <w:tab/>
      </w:r>
      <w:r>
        <w:rPr>
          <w:noProof/>
        </w:rPr>
        <w:fldChar w:fldCharType="begin"/>
      </w:r>
      <w:r>
        <w:rPr>
          <w:noProof/>
        </w:rPr>
        <w:instrText xml:space="preserve"> PAGEREF _Toc202006204 \h </w:instrText>
      </w:r>
      <w:r>
        <w:rPr>
          <w:noProof/>
        </w:rPr>
      </w:r>
      <w:r>
        <w:rPr>
          <w:noProof/>
        </w:rPr>
        <w:fldChar w:fldCharType="separate"/>
      </w:r>
      <w:r>
        <w:rPr>
          <w:noProof/>
        </w:rPr>
        <w:t>35</w:t>
      </w:r>
      <w:r>
        <w:rPr>
          <w:noProof/>
        </w:rPr>
        <w:fldChar w:fldCharType="end"/>
      </w:r>
    </w:p>
    <w:p w14:paraId="132FD4B3" w14:textId="4119C6C7" w:rsidR="00694F29" w:rsidRDefault="00694F29">
      <w:pPr>
        <w:pStyle w:val="TOC1"/>
        <w:rPr>
          <w:rFonts w:eastAsiaTheme="minorEastAsia"/>
          <w:noProof/>
          <w:kern w:val="2"/>
          <w:sz w:val="24"/>
          <w:szCs w:val="24"/>
          <w:lang w:eastAsia="en-CA"/>
          <w14:ligatures w14:val="standardContextual"/>
        </w:rPr>
      </w:pPr>
      <w:r>
        <w:rPr>
          <w:noProof/>
        </w:rPr>
        <w:t>6. Wolf by the Ears</w:t>
      </w:r>
      <w:r>
        <w:rPr>
          <w:noProof/>
        </w:rPr>
        <w:tab/>
      </w:r>
      <w:r>
        <w:rPr>
          <w:noProof/>
        </w:rPr>
        <w:fldChar w:fldCharType="begin"/>
      </w:r>
      <w:r>
        <w:rPr>
          <w:noProof/>
        </w:rPr>
        <w:instrText xml:space="preserve"> PAGEREF _Toc202006205 \h </w:instrText>
      </w:r>
      <w:r>
        <w:rPr>
          <w:noProof/>
        </w:rPr>
      </w:r>
      <w:r>
        <w:rPr>
          <w:noProof/>
        </w:rPr>
        <w:fldChar w:fldCharType="separate"/>
      </w:r>
      <w:r>
        <w:rPr>
          <w:noProof/>
        </w:rPr>
        <w:t>41</w:t>
      </w:r>
      <w:r>
        <w:rPr>
          <w:noProof/>
        </w:rPr>
        <w:fldChar w:fldCharType="end"/>
      </w:r>
    </w:p>
    <w:p w14:paraId="2CFF86D5" w14:textId="2AE9FA07" w:rsidR="00694F29" w:rsidRDefault="00694F29">
      <w:pPr>
        <w:pStyle w:val="TOC1"/>
        <w:rPr>
          <w:rFonts w:eastAsiaTheme="minorEastAsia"/>
          <w:noProof/>
          <w:kern w:val="2"/>
          <w:sz w:val="24"/>
          <w:szCs w:val="24"/>
          <w:lang w:eastAsia="en-CA"/>
          <w14:ligatures w14:val="standardContextual"/>
        </w:rPr>
      </w:pPr>
      <w:r>
        <w:rPr>
          <w:noProof/>
        </w:rPr>
        <w:t>7. The Age of Party</w:t>
      </w:r>
      <w:r>
        <w:rPr>
          <w:noProof/>
        </w:rPr>
        <w:tab/>
      </w:r>
      <w:r>
        <w:rPr>
          <w:noProof/>
        </w:rPr>
        <w:fldChar w:fldCharType="begin"/>
      </w:r>
      <w:r>
        <w:rPr>
          <w:noProof/>
        </w:rPr>
        <w:instrText xml:space="preserve"> PAGEREF _Toc202006206 \h </w:instrText>
      </w:r>
      <w:r>
        <w:rPr>
          <w:noProof/>
        </w:rPr>
      </w:r>
      <w:r>
        <w:rPr>
          <w:noProof/>
        </w:rPr>
        <w:fldChar w:fldCharType="separate"/>
      </w:r>
      <w:r>
        <w:rPr>
          <w:noProof/>
        </w:rPr>
        <w:t>47</w:t>
      </w:r>
      <w:r>
        <w:rPr>
          <w:noProof/>
        </w:rPr>
        <w:fldChar w:fldCharType="end"/>
      </w:r>
    </w:p>
    <w:p w14:paraId="61E46EDF" w14:textId="740F1F38" w:rsidR="00694F29" w:rsidRDefault="00694F29">
      <w:pPr>
        <w:pStyle w:val="TOC1"/>
        <w:rPr>
          <w:rFonts w:eastAsiaTheme="minorEastAsia"/>
          <w:noProof/>
          <w:kern w:val="2"/>
          <w:sz w:val="24"/>
          <w:szCs w:val="24"/>
          <w:lang w:eastAsia="en-CA"/>
          <w14:ligatures w14:val="standardContextual"/>
        </w:rPr>
      </w:pPr>
      <w:r>
        <w:rPr>
          <w:noProof/>
        </w:rPr>
        <w:t>8. A Wilderness So Immense</w:t>
      </w:r>
      <w:r>
        <w:rPr>
          <w:noProof/>
        </w:rPr>
        <w:tab/>
      </w:r>
      <w:r>
        <w:rPr>
          <w:noProof/>
        </w:rPr>
        <w:fldChar w:fldCharType="begin"/>
      </w:r>
      <w:r>
        <w:rPr>
          <w:noProof/>
        </w:rPr>
        <w:instrText xml:space="preserve"> PAGEREF _Toc202006207 \h </w:instrText>
      </w:r>
      <w:r>
        <w:rPr>
          <w:noProof/>
        </w:rPr>
      </w:r>
      <w:r>
        <w:rPr>
          <w:noProof/>
        </w:rPr>
        <w:fldChar w:fldCharType="separate"/>
      </w:r>
      <w:r>
        <w:rPr>
          <w:noProof/>
        </w:rPr>
        <w:t>56</w:t>
      </w:r>
      <w:r>
        <w:rPr>
          <w:noProof/>
        </w:rPr>
        <w:fldChar w:fldCharType="end"/>
      </w:r>
    </w:p>
    <w:p w14:paraId="137E4485" w14:textId="0919FC44" w:rsidR="00694F29" w:rsidRDefault="00694F29">
      <w:pPr>
        <w:pStyle w:val="TOC1"/>
        <w:rPr>
          <w:rFonts w:eastAsiaTheme="minorEastAsia"/>
          <w:noProof/>
          <w:kern w:val="2"/>
          <w:sz w:val="24"/>
          <w:szCs w:val="24"/>
          <w:lang w:eastAsia="en-CA"/>
          <w14:ligatures w14:val="standardContextual"/>
        </w:rPr>
      </w:pPr>
      <w:r>
        <w:rPr>
          <w:noProof/>
        </w:rPr>
        <w:t>9. Fire-Bell in the Night</w:t>
      </w:r>
      <w:r>
        <w:rPr>
          <w:noProof/>
        </w:rPr>
        <w:tab/>
      </w:r>
      <w:r>
        <w:rPr>
          <w:noProof/>
        </w:rPr>
        <w:fldChar w:fldCharType="begin"/>
      </w:r>
      <w:r>
        <w:rPr>
          <w:noProof/>
        </w:rPr>
        <w:instrText xml:space="preserve"> PAGEREF _Toc202006208 \h </w:instrText>
      </w:r>
      <w:r>
        <w:rPr>
          <w:noProof/>
        </w:rPr>
      </w:r>
      <w:r>
        <w:rPr>
          <w:noProof/>
        </w:rPr>
        <w:fldChar w:fldCharType="separate"/>
      </w:r>
      <w:r>
        <w:rPr>
          <w:noProof/>
        </w:rPr>
        <w:t>64</w:t>
      </w:r>
      <w:r>
        <w:rPr>
          <w:noProof/>
        </w:rPr>
        <w:fldChar w:fldCharType="end"/>
      </w:r>
    </w:p>
    <w:p w14:paraId="6E175E2E" w14:textId="30E61AEC" w:rsidR="00694F29" w:rsidRDefault="00694F29">
      <w:pPr>
        <w:pStyle w:val="TOC1"/>
        <w:rPr>
          <w:rFonts w:eastAsiaTheme="minorEastAsia"/>
          <w:noProof/>
          <w:kern w:val="2"/>
          <w:sz w:val="24"/>
          <w:szCs w:val="24"/>
          <w:lang w:eastAsia="en-CA"/>
          <w14:ligatures w14:val="standardContextual"/>
        </w:rPr>
      </w:pPr>
      <w:r>
        <w:rPr>
          <w:noProof/>
        </w:rPr>
        <w:t>10. The Twilight of the Age</w:t>
      </w:r>
      <w:r>
        <w:rPr>
          <w:noProof/>
        </w:rPr>
        <w:tab/>
      </w:r>
      <w:r>
        <w:rPr>
          <w:noProof/>
        </w:rPr>
        <w:fldChar w:fldCharType="begin"/>
      </w:r>
      <w:r>
        <w:rPr>
          <w:noProof/>
        </w:rPr>
        <w:instrText xml:space="preserve"> PAGEREF _Toc202006209 \h </w:instrText>
      </w:r>
      <w:r>
        <w:rPr>
          <w:noProof/>
        </w:rPr>
      </w:r>
      <w:r>
        <w:rPr>
          <w:noProof/>
        </w:rPr>
        <w:fldChar w:fldCharType="separate"/>
      </w:r>
      <w:r>
        <w:rPr>
          <w:noProof/>
        </w:rPr>
        <w:t>72</w:t>
      </w:r>
      <w:r>
        <w:rPr>
          <w:noProof/>
        </w:rPr>
        <w:fldChar w:fldCharType="end"/>
      </w:r>
    </w:p>
    <w:p w14:paraId="11850FF0" w14:textId="4BB96B99" w:rsidR="00694F29" w:rsidRDefault="00694F29">
      <w:pPr>
        <w:pStyle w:val="TOC1"/>
        <w:rPr>
          <w:rFonts w:eastAsiaTheme="minorEastAsia"/>
          <w:noProof/>
          <w:kern w:val="2"/>
          <w:sz w:val="24"/>
          <w:szCs w:val="24"/>
          <w:lang w:eastAsia="en-CA"/>
          <w14:ligatures w14:val="standardContextual"/>
        </w:rPr>
      </w:pPr>
      <w:r>
        <w:rPr>
          <w:noProof/>
        </w:rPr>
        <w:t>11. March of the Raccoon Skin Parade</w:t>
      </w:r>
      <w:r>
        <w:rPr>
          <w:noProof/>
        </w:rPr>
        <w:tab/>
      </w:r>
      <w:r>
        <w:rPr>
          <w:noProof/>
        </w:rPr>
        <w:fldChar w:fldCharType="begin"/>
      </w:r>
      <w:r>
        <w:rPr>
          <w:noProof/>
        </w:rPr>
        <w:instrText xml:space="preserve"> PAGEREF _Toc202006210 \h </w:instrText>
      </w:r>
      <w:r>
        <w:rPr>
          <w:noProof/>
        </w:rPr>
      </w:r>
      <w:r>
        <w:rPr>
          <w:noProof/>
        </w:rPr>
        <w:fldChar w:fldCharType="separate"/>
      </w:r>
      <w:r>
        <w:rPr>
          <w:noProof/>
        </w:rPr>
        <w:t>80</w:t>
      </w:r>
      <w:r>
        <w:rPr>
          <w:noProof/>
        </w:rPr>
        <w:fldChar w:fldCharType="end"/>
      </w:r>
    </w:p>
    <w:p w14:paraId="38C11C2A" w14:textId="73151C18" w:rsidR="00694F29" w:rsidRDefault="00694F29">
      <w:pPr>
        <w:pStyle w:val="TOC1"/>
        <w:rPr>
          <w:rFonts w:eastAsiaTheme="minorEastAsia"/>
          <w:noProof/>
          <w:kern w:val="2"/>
          <w:sz w:val="24"/>
          <w:szCs w:val="24"/>
          <w:lang w:eastAsia="en-CA"/>
          <w14:ligatures w14:val="standardContextual"/>
        </w:rPr>
      </w:pPr>
      <w:r>
        <w:rPr>
          <w:noProof/>
        </w:rPr>
        <w:t>12. The Financiers</w:t>
      </w:r>
      <w:r>
        <w:rPr>
          <w:noProof/>
        </w:rPr>
        <w:tab/>
      </w:r>
      <w:r>
        <w:rPr>
          <w:noProof/>
        </w:rPr>
        <w:fldChar w:fldCharType="begin"/>
      </w:r>
      <w:r>
        <w:rPr>
          <w:noProof/>
        </w:rPr>
        <w:instrText xml:space="preserve"> PAGEREF _Toc202006211 \h </w:instrText>
      </w:r>
      <w:r>
        <w:rPr>
          <w:noProof/>
        </w:rPr>
      </w:r>
      <w:r>
        <w:rPr>
          <w:noProof/>
        </w:rPr>
        <w:fldChar w:fldCharType="separate"/>
      </w:r>
      <w:r>
        <w:rPr>
          <w:noProof/>
        </w:rPr>
        <w:t>86</w:t>
      </w:r>
      <w:r>
        <w:rPr>
          <w:noProof/>
        </w:rPr>
        <w:fldChar w:fldCharType="end"/>
      </w:r>
    </w:p>
    <w:p w14:paraId="63625704" w14:textId="3BB5E71A" w:rsidR="00694F29" w:rsidRDefault="00694F29">
      <w:pPr>
        <w:pStyle w:val="TOC1"/>
        <w:rPr>
          <w:rFonts w:eastAsiaTheme="minorEastAsia"/>
          <w:noProof/>
          <w:kern w:val="2"/>
          <w:sz w:val="24"/>
          <w:szCs w:val="24"/>
          <w:lang w:eastAsia="en-CA"/>
          <w14:ligatures w14:val="standardContextual"/>
        </w:rPr>
      </w:pPr>
      <w:r>
        <w:rPr>
          <w:noProof/>
        </w:rPr>
        <w:t>13. The Thunder of War</w:t>
      </w:r>
      <w:r>
        <w:rPr>
          <w:noProof/>
        </w:rPr>
        <w:tab/>
      </w:r>
      <w:r>
        <w:rPr>
          <w:noProof/>
        </w:rPr>
        <w:fldChar w:fldCharType="begin"/>
      </w:r>
      <w:r>
        <w:rPr>
          <w:noProof/>
        </w:rPr>
        <w:instrText xml:space="preserve"> PAGEREF _Toc202006212 \h </w:instrText>
      </w:r>
      <w:r>
        <w:rPr>
          <w:noProof/>
        </w:rPr>
      </w:r>
      <w:r>
        <w:rPr>
          <w:noProof/>
        </w:rPr>
        <w:fldChar w:fldCharType="separate"/>
      </w:r>
      <w:r>
        <w:rPr>
          <w:noProof/>
        </w:rPr>
        <w:t>92</w:t>
      </w:r>
      <w:r>
        <w:rPr>
          <w:noProof/>
        </w:rPr>
        <w:fldChar w:fldCharType="end"/>
      </w:r>
    </w:p>
    <w:p w14:paraId="4EB11389" w14:textId="73EA186B" w:rsidR="00694F29" w:rsidRDefault="00694F29">
      <w:pPr>
        <w:pStyle w:val="TOC1"/>
        <w:rPr>
          <w:rFonts w:eastAsiaTheme="minorEastAsia"/>
          <w:noProof/>
          <w:kern w:val="2"/>
          <w:sz w:val="24"/>
          <w:szCs w:val="24"/>
          <w:lang w:eastAsia="en-CA"/>
          <w14:ligatures w14:val="standardContextual"/>
        </w:rPr>
      </w:pPr>
      <w:r>
        <w:rPr>
          <w:noProof/>
        </w:rPr>
        <w:t>14. The Dawn’s Early Light</w:t>
      </w:r>
      <w:r>
        <w:rPr>
          <w:noProof/>
        </w:rPr>
        <w:tab/>
      </w:r>
      <w:r>
        <w:rPr>
          <w:noProof/>
        </w:rPr>
        <w:fldChar w:fldCharType="begin"/>
      </w:r>
      <w:r>
        <w:rPr>
          <w:noProof/>
        </w:rPr>
        <w:instrText xml:space="preserve"> PAGEREF _Toc202006213 \h </w:instrText>
      </w:r>
      <w:r>
        <w:rPr>
          <w:noProof/>
        </w:rPr>
      </w:r>
      <w:r>
        <w:rPr>
          <w:noProof/>
        </w:rPr>
        <w:fldChar w:fldCharType="separate"/>
      </w:r>
      <w:r>
        <w:rPr>
          <w:noProof/>
        </w:rPr>
        <w:t>102</w:t>
      </w:r>
      <w:r>
        <w:rPr>
          <w:noProof/>
        </w:rPr>
        <w:fldChar w:fldCharType="end"/>
      </w:r>
    </w:p>
    <w:p w14:paraId="7A475BDD" w14:textId="03B0197B" w:rsidR="00694F29" w:rsidRDefault="00694F29">
      <w:pPr>
        <w:pStyle w:val="TOC1"/>
        <w:rPr>
          <w:rFonts w:eastAsiaTheme="minorEastAsia"/>
          <w:noProof/>
          <w:kern w:val="2"/>
          <w:sz w:val="24"/>
          <w:szCs w:val="24"/>
          <w:lang w:eastAsia="en-CA"/>
          <w14:ligatures w14:val="standardContextual"/>
        </w:rPr>
      </w:pPr>
      <w:r>
        <w:rPr>
          <w:noProof/>
        </w:rPr>
        <w:t>15. The American System</w:t>
      </w:r>
      <w:r>
        <w:rPr>
          <w:noProof/>
        </w:rPr>
        <w:tab/>
      </w:r>
      <w:r>
        <w:rPr>
          <w:noProof/>
        </w:rPr>
        <w:fldChar w:fldCharType="begin"/>
      </w:r>
      <w:r>
        <w:rPr>
          <w:noProof/>
        </w:rPr>
        <w:instrText xml:space="preserve"> PAGEREF _Toc202006214 \h </w:instrText>
      </w:r>
      <w:r>
        <w:rPr>
          <w:noProof/>
        </w:rPr>
      </w:r>
      <w:r>
        <w:rPr>
          <w:noProof/>
        </w:rPr>
        <w:fldChar w:fldCharType="separate"/>
      </w:r>
      <w:r>
        <w:rPr>
          <w:noProof/>
        </w:rPr>
        <w:t>109</w:t>
      </w:r>
      <w:r>
        <w:rPr>
          <w:noProof/>
        </w:rPr>
        <w:fldChar w:fldCharType="end"/>
      </w:r>
    </w:p>
    <w:p w14:paraId="1E9C191C" w14:textId="24C4DEF2" w:rsidR="00694F29" w:rsidRDefault="00694F29">
      <w:pPr>
        <w:pStyle w:val="TOC1"/>
        <w:rPr>
          <w:rFonts w:eastAsiaTheme="minorEastAsia"/>
          <w:noProof/>
          <w:kern w:val="2"/>
          <w:sz w:val="24"/>
          <w:szCs w:val="24"/>
          <w:lang w:eastAsia="en-CA"/>
          <w14:ligatures w14:val="standardContextual"/>
        </w:rPr>
      </w:pPr>
      <w:r>
        <w:rPr>
          <w:noProof/>
        </w:rPr>
        <w:t>16. The Real Object</w:t>
      </w:r>
      <w:r>
        <w:rPr>
          <w:noProof/>
        </w:rPr>
        <w:tab/>
      </w:r>
      <w:r>
        <w:rPr>
          <w:noProof/>
        </w:rPr>
        <w:fldChar w:fldCharType="begin"/>
      </w:r>
      <w:r>
        <w:rPr>
          <w:noProof/>
        </w:rPr>
        <w:instrText xml:space="preserve"> PAGEREF _Toc202006215 \h </w:instrText>
      </w:r>
      <w:r>
        <w:rPr>
          <w:noProof/>
        </w:rPr>
      </w:r>
      <w:r>
        <w:rPr>
          <w:noProof/>
        </w:rPr>
        <w:fldChar w:fldCharType="separate"/>
      </w:r>
      <w:r>
        <w:rPr>
          <w:noProof/>
        </w:rPr>
        <w:t>116</w:t>
      </w:r>
      <w:r>
        <w:rPr>
          <w:noProof/>
        </w:rPr>
        <w:fldChar w:fldCharType="end"/>
      </w:r>
    </w:p>
    <w:p w14:paraId="657C0955" w14:textId="1C04749A" w:rsidR="00694F29" w:rsidRDefault="00694F29">
      <w:pPr>
        <w:pStyle w:val="TOC1"/>
        <w:rPr>
          <w:rFonts w:eastAsiaTheme="minorEastAsia"/>
          <w:noProof/>
          <w:kern w:val="2"/>
          <w:sz w:val="24"/>
          <w:szCs w:val="24"/>
          <w:lang w:eastAsia="en-CA"/>
          <w14:ligatures w14:val="standardContextual"/>
        </w:rPr>
      </w:pPr>
      <w:r>
        <w:rPr>
          <w:noProof/>
        </w:rPr>
        <w:t>17. The Power to Destroy</w:t>
      </w:r>
      <w:r>
        <w:rPr>
          <w:noProof/>
        </w:rPr>
        <w:tab/>
      </w:r>
      <w:r>
        <w:rPr>
          <w:noProof/>
        </w:rPr>
        <w:fldChar w:fldCharType="begin"/>
      </w:r>
      <w:r>
        <w:rPr>
          <w:noProof/>
        </w:rPr>
        <w:instrText xml:space="preserve"> PAGEREF _Toc202006216 \h </w:instrText>
      </w:r>
      <w:r>
        <w:rPr>
          <w:noProof/>
        </w:rPr>
      </w:r>
      <w:r>
        <w:rPr>
          <w:noProof/>
        </w:rPr>
        <w:fldChar w:fldCharType="separate"/>
      </w:r>
      <w:r>
        <w:rPr>
          <w:noProof/>
        </w:rPr>
        <w:t>126</w:t>
      </w:r>
      <w:r>
        <w:rPr>
          <w:noProof/>
        </w:rPr>
        <w:fldChar w:fldCharType="end"/>
      </w:r>
    </w:p>
    <w:p w14:paraId="627EEAA0" w14:textId="1E2AC47E" w:rsidR="00694F29" w:rsidRDefault="00694F29">
      <w:pPr>
        <w:pStyle w:val="TOC1"/>
        <w:rPr>
          <w:rFonts w:eastAsiaTheme="minorEastAsia"/>
          <w:noProof/>
          <w:kern w:val="2"/>
          <w:sz w:val="24"/>
          <w:szCs w:val="24"/>
          <w:lang w:eastAsia="en-CA"/>
          <w14:ligatures w14:val="standardContextual"/>
        </w:rPr>
      </w:pPr>
      <w:r>
        <w:rPr>
          <w:noProof/>
        </w:rPr>
        <w:t>18. Towards the Verge</w:t>
      </w:r>
      <w:r>
        <w:rPr>
          <w:noProof/>
        </w:rPr>
        <w:tab/>
      </w:r>
      <w:r>
        <w:rPr>
          <w:noProof/>
        </w:rPr>
        <w:fldChar w:fldCharType="begin"/>
      </w:r>
      <w:r>
        <w:rPr>
          <w:noProof/>
        </w:rPr>
        <w:instrText xml:space="preserve"> PAGEREF _Toc202006217 \h </w:instrText>
      </w:r>
      <w:r>
        <w:rPr>
          <w:noProof/>
        </w:rPr>
      </w:r>
      <w:r>
        <w:rPr>
          <w:noProof/>
        </w:rPr>
        <w:fldChar w:fldCharType="separate"/>
      </w:r>
      <w:r>
        <w:rPr>
          <w:noProof/>
        </w:rPr>
        <w:t>132</w:t>
      </w:r>
      <w:r>
        <w:rPr>
          <w:noProof/>
        </w:rPr>
        <w:fldChar w:fldCharType="end"/>
      </w:r>
    </w:p>
    <w:p w14:paraId="39FBF9C8" w14:textId="25375F70" w:rsidR="00694F29" w:rsidRDefault="00694F29">
      <w:pPr>
        <w:pStyle w:val="TOC1"/>
        <w:rPr>
          <w:rFonts w:eastAsiaTheme="minorEastAsia"/>
          <w:noProof/>
          <w:kern w:val="2"/>
          <w:sz w:val="24"/>
          <w:szCs w:val="24"/>
          <w:lang w:eastAsia="en-CA"/>
          <w14:ligatures w14:val="standardContextual"/>
        </w:rPr>
      </w:pPr>
      <w:r>
        <w:rPr>
          <w:noProof/>
        </w:rPr>
        <w:t>19. Between the Crises</w:t>
      </w:r>
      <w:r>
        <w:rPr>
          <w:noProof/>
        </w:rPr>
        <w:tab/>
      </w:r>
      <w:r>
        <w:rPr>
          <w:noProof/>
        </w:rPr>
        <w:fldChar w:fldCharType="begin"/>
      </w:r>
      <w:r>
        <w:rPr>
          <w:noProof/>
        </w:rPr>
        <w:instrText xml:space="preserve"> PAGEREF _Toc202006218 \h </w:instrText>
      </w:r>
      <w:r>
        <w:rPr>
          <w:noProof/>
        </w:rPr>
      </w:r>
      <w:r>
        <w:rPr>
          <w:noProof/>
        </w:rPr>
        <w:fldChar w:fldCharType="separate"/>
      </w:r>
      <w:r>
        <w:rPr>
          <w:noProof/>
        </w:rPr>
        <w:t>138</w:t>
      </w:r>
      <w:r>
        <w:rPr>
          <w:noProof/>
        </w:rPr>
        <w:fldChar w:fldCharType="end"/>
      </w:r>
    </w:p>
    <w:p w14:paraId="12AA3896" w14:textId="554E408F" w:rsidR="00694F29" w:rsidRDefault="00694F29">
      <w:pPr>
        <w:pStyle w:val="TOC1"/>
        <w:rPr>
          <w:rFonts w:eastAsiaTheme="minorEastAsia"/>
          <w:noProof/>
          <w:kern w:val="2"/>
          <w:sz w:val="24"/>
          <w:szCs w:val="24"/>
          <w:lang w:eastAsia="en-CA"/>
          <w14:ligatures w14:val="standardContextual"/>
        </w:rPr>
      </w:pPr>
      <w:r>
        <w:rPr>
          <w:noProof/>
        </w:rPr>
        <w:t>20. The Grand Tour</w:t>
      </w:r>
      <w:r>
        <w:rPr>
          <w:noProof/>
        </w:rPr>
        <w:tab/>
      </w:r>
      <w:r>
        <w:rPr>
          <w:noProof/>
        </w:rPr>
        <w:fldChar w:fldCharType="begin"/>
      </w:r>
      <w:r>
        <w:rPr>
          <w:noProof/>
        </w:rPr>
        <w:instrText xml:space="preserve"> PAGEREF _Toc202006219 \h </w:instrText>
      </w:r>
      <w:r>
        <w:rPr>
          <w:noProof/>
        </w:rPr>
      </w:r>
      <w:r>
        <w:rPr>
          <w:noProof/>
        </w:rPr>
        <w:fldChar w:fldCharType="separate"/>
      </w:r>
      <w:r>
        <w:rPr>
          <w:noProof/>
        </w:rPr>
        <w:t>144</w:t>
      </w:r>
      <w:r>
        <w:rPr>
          <w:noProof/>
        </w:rPr>
        <w:fldChar w:fldCharType="end"/>
      </w:r>
    </w:p>
    <w:p w14:paraId="27499E8C" w14:textId="0EDE8AC8" w:rsidR="00694F29" w:rsidRDefault="00694F29">
      <w:pPr>
        <w:pStyle w:val="TOC1"/>
        <w:rPr>
          <w:rFonts w:eastAsiaTheme="minorEastAsia"/>
          <w:noProof/>
          <w:kern w:val="2"/>
          <w:sz w:val="24"/>
          <w:szCs w:val="24"/>
          <w:lang w:eastAsia="en-CA"/>
          <w14:ligatures w14:val="standardContextual"/>
        </w:rPr>
      </w:pPr>
      <w:r>
        <w:rPr>
          <w:noProof/>
        </w:rPr>
        <w:t>21. The Amicable Adjustment</w:t>
      </w:r>
      <w:r>
        <w:rPr>
          <w:noProof/>
        </w:rPr>
        <w:tab/>
      </w:r>
      <w:r>
        <w:rPr>
          <w:noProof/>
        </w:rPr>
        <w:fldChar w:fldCharType="begin"/>
      </w:r>
      <w:r>
        <w:rPr>
          <w:noProof/>
        </w:rPr>
        <w:instrText xml:space="preserve"> PAGEREF _Toc202006220 \h </w:instrText>
      </w:r>
      <w:r>
        <w:rPr>
          <w:noProof/>
        </w:rPr>
      </w:r>
      <w:r>
        <w:rPr>
          <w:noProof/>
        </w:rPr>
        <w:fldChar w:fldCharType="separate"/>
      </w:r>
      <w:r>
        <w:rPr>
          <w:noProof/>
        </w:rPr>
        <w:t>153</w:t>
      </w:r>
      <w:r>
        <w:rPr>
          <w:noProof/>
        </w:rPr>
        <w:fldChar w:fldCharType="end"/>
      </w:r>
    </w:p>
    <w:p w14:paraId="4E542259" w14:textId="3BB7170B" w:rsidR="00694F29" w:rsidRDefault="00694F29">
      <w:pPr>
        <w:pStyle w:val="TOC1"/>
        <w:rPr>
          <w:rFonts w:eastAsiaTheme="minorEastAsia"/>
          <w:noProof/>
          <w:kern w:val="2"/>
          <w:sz w:val="24"/>
          <w:szCs w:val="24"/>
          <w:lang w:eastAsia="en-CA"/>
          <w14:ligatures w14:val="standardContextual"/>
        </w:rPr>
      </w:pPr>
      <w:r>
        <w:rPr>
          <w:noProof/>
        </w:rPr>
        <w:t>22. Liberty’s Twilight</w:t>
      </w:r>
      <w:r>
        <w:rPr>
          <w:noProof/>
        </w:rPr>
        <w:tab/>
      </w:r>
      <w:r>
        <w:rPr>
          <w:noProof/>
        </w:rPr>
        <w:fldChar w:fldCharType="begin"/>
      </w:r>
      <w:r>
        <w:rPr>
          <w:noProof/>
        </w:rPr>
        <w:instrText xml:space="preserve"> PAGEREF _Toc202006221 \h </w:instrText>
      </w:r>
      <w:r>
        <w:rPr>
          <w:noProof/>
        </w:rPr>
      </w:r>
      <w:r>
        <w:rPr>
          <w:noProof/>
        </w:rPr>
        <w:fldChar w:fldCharType="separate"/>
      </w:r>
      <w:r>
        <w:rPr>
          <w:noProof/>
        </w:rPr>
        <w:t>161</w:t>
      </w:r>
      <w:r>
        <w:rPr>
          <w:noProof/>
        </w:rPr>
        <w:fldChar w:fldCharType="end"/>
      </w:r>
    </w:p>
    <w:p w14:paraId="0CB680BC" w14:textId="4EA80E2C" w:rsidR="00694F29" w:rsidRDefault="00694F29">
      <w:pPr>
        <w:pStyle w:val="TOC1"/>
        <w:rPr>
          <w:rFonts w:eastAsiaTheme="minorEastAsia"/>
          <w:noProof/>
          <w:kern w:val="2"/>
          <w:sz w:val="24"/>
          <w:szCs w:val="24"/>
          <w:lang w:eastAsia="en-CA"/>
          <w14:ligatures w14:val="standardContextual"/>
        </w:rPr>
      </w:pPr>
      <w:r>
        <w:rPr>
          <w:noProof/>
        </w:rPr>
        <w:t>23. The New Resolve</w:t>
      </w:r>
      <w:r>
        <w:rPr>
          <w:noProof/>
        </w:rPr>
        <w:tab/>
      </w:r>
      <w:r>
        <w:rPr>
          <w:noProof/>
        </w:rPr>
        <w:fldChar w:fldCharType="begin"/>
      </w:r>
      <w:r>
        <w:rPr>
          <w:noProof/>
        </w:rPr>
        <w:instrText xml:space="preserve"> PAGEREF _Toc202006222 \h </w:instrText>
      </w:r>
      <w:r>
        <w:rPr>
          <w:noProof/>
        </w:rPr>
      </w:r>
      <w:r>
        <w:rPr>
          <w:noProof/>
        </w:rPr>
        <w:fldChar w:fldCharType="separate"/>
      </w:r>
      <w:r>
        <w:rPr>
          <w:noProof/>
        </w:rPr>
        <w:t>169</w:t>
      </w:r>
      <w:r>
        <w:rPr>
          <w:noProof/>
        </w:rPr>
        <w:fldChar w:fldCharType="end"/>
      </w:r>
    </w:p>
    <w:p w14:paraId="50755BF3" w14:textId="1A28FCE1" w:rsidR="00694F29" w:rsidRDefault="00694F29">
      <w:pPr>
        <w:pStyle w:val="TOC1"/>
        <w:rPr>
          <w:rFonts w:eastAsiaTheme="minorEastAsia"/>
          <w:noProof/>
          <w:kern w:val="2"/>
          <w:sz w:val="24"/>
          <w:szCs w:val="24"/>
          <w:lang w:eastAsia="en-CA"/>
          <w14:ligatures w14:val="standardContextual"/>
        </w:rPr>
      </w:pPr>
      <w:r>
        <w:rPr>
          <w:noProof/>
        </w:rPr>
        <w:t>24. The Fallen Government</w:t>
      </w:r>
      <w:r>
        <w:rPr>
          <w:noProof/>
        </w:rPr>
        <w:tab/>
      </w:r>
      <w:r>
        <w:rPr>
          <w:noProof/>
        </w:rPr>
        <w:fldChar w:fldCharType="begin"/>
      </w:r>
      <w:r>
        <w:rPr>
          <w:noProof/>
        </w:rPr>
        <w:instrText xml:space="preserve"> PAGEREF _Toc202006223 \h </w:instrText>
      </w:r>
      <w:r>
        <w:rPr>
          <w:noProof/>
        </w:rPr>
      </w:r>
      <w:r>
        <w:rPr>
          <w:noProof/>
        </w:rPr>
        <w:fldChar w:fldCharType="separate"/>
      </w:r>
      <w:r>
        <w:rPr>
          <w:noProof/>
        </w:rPr>
        <w:t>177</w:t>
      </w:r>
      <w:r>
        <w:rPr>
          <w:noProof/>
        </w:rPr>
        <w:fldChar w:fldCharType="end"/>
      </w:r>
    </w:p>
    <w:p w14:paraId="41556733" w14:textId="30A5F84A" w:rsidR="00694F29" w:rsidRDefault="00694F29">
      <w:pPr>
        <w:pStyle w:val="TOC1"/>
        <w:rPr>
          <w:rFonts w:eastAsiaTheme="minorEastAsia"/>
          <w:noProof/>
          <w:kern w:val="2"/>
          <w:sz w:val="24"/>
          <w:szCs w:val="24"/>
          <w:lang w:eastAsia="en-CA"/>
          <w14:ligatures w14:val="standardContextual"/>
        </w:rPr>
      </w:pPr>
      <w:r>
        <w:rPr>
          <w:noProof/>
        </w:rPr>
        <w:t>25. The Spirit of ‘00</w:t>
      </w:r>
      <w:r>
        <w:rPr>
          <w:noProof/>
        </w:rPr>
        <w:tab/>
      </w:r>
      <w:r>
        <w:rPr>
          <w:noProof/>
        </w:rPr>
        <w:fldChar w:fldCharType="begin"/>
      </w:r>
      <w:r>
        <w:rPr>
          <w:noProof/>
        </w:rPr>
        <w:instrText xml:space="preserve"> PAGEREF _Toc202006224 \h </w:instrText>
      </w:r>
      <w:r>
        <w:rPr>
          <w:noProof/>
        </w:rPr>
      </w:r>
      <w:r>
        <w:rPr>
          <w:noProof/>
        </w:rPr>
        <w:fldChar w:fldCharType="separate"/>
      </w:r>
      <w:r>
        <w:rPr>
          <w:noProof/>
        </w:rPr>
        <w:t>183</w:t>
      </w:r>
      <w:r>
        <w:rPr>
          <w:noProof/>
        </w:rPr>
        <w:fldChar w:fldCharType="end"/>
      </w:r>
    </w:p>
    <w:p w14:paraId="0464D4EA" w14:textId="415B8478" w:rsidR="00694F29" w:rsidRDefault="00694F29">
      <w:pPr>
        <w:pStyle w:val="TOC1"/>
        <w:rPr>
          <w:rFonts w:eastAsiaTheme="minorEastAsia"/>
          <w:noProof/>
          <w:kern w:val="2"/>
          <w:sz w:val="24"/>
          <w:szCs w:val="24"/>
          <w:lang w:eastAsia="en-CA"/>
          <w14:ligatures w14:val="standardContextual"/>
        </w:rPr>
      </w:pPr>
      <w:r>
        <w:rPr>
          <w:noProof/>
        </w:rPr>
        <w:t>26. The Grip of the Ball</w:t>
      </w:r>
      <w:r>
        <w:rPr>
          <w:noProof/>
        </w:rPr>
        <w:tab/>
      </w:r>
      <w:r>
        <w:rPr>
          <w:noProof/>
        </w:rPr>
        <w:fldChar w:fldCharType="begin"/>
      </w:r>
      <w:r>
        <w:rPr>
          <w:noProof/>
        </w:rPr>
        <w:instrText xml:space="preserve"> PAGEREF _Toc202006225 \h </w:instrText>
      </w:r>
      <w:r>
        <w:rPr>
          <w:noProof/>
        </w:rPr>
      </w:r>
      <w:r>
        <w:rPr>
          <w:noProof/>
        </w:rPr>
        <w:fldChar w:fldCharType="separate"/>
      </w:r>
      <w:r>
        <w:rPr>
          <w:noProof/>
        </w:rPr>
        <w:t>190</w:t>
      </w:r>
      <w:r>
        <w:rPr>
          <w:noProof/>
        </w:rPr>
        <w:fldChar w:fldCharType="end"/>
      </w:r>
    </w:p>
    <w:p w14:paraId="2B48D021" w14:textId="63ED53A3" w:rsidR="00694F29" w:rsidRDefault="00694F29">
      <w:pPr>
        <w:pStyle w:val="TOC1"/>
        <w:rPr>
          <w:rFonts w:eastAsiaTheme="minorEastAsia"/>
          <w:noProof/>
          <w:kern w:val="2"/>
          <w:sz w:val="24"/>
          <w:szCs w:val="24"/>
          <w:lang w:eastAsia="en-CA"/>
          <w14:ligatures w14:val="standardContextual"/>
        </w:rPr>
      </w:pPr>
      <w:r>
        <w:rPr>
          <w:noProof/>
        </w:rPr>
        <w:t>27. The Shaking of Debate</w:t>
      </w:r>
      <w:r>
        <w:rPr>
          <w:noProof/>
        </w:rPr>
        <w:tab/>
      </w:r>
      <w:r>
        <w:rPr>
          <w:noProof/>
        </w:rPr>
        <w:fldChar w:fldCharType="begin"/>
      </w:r>
      <w:r>
        <w:rPr>
          <w:noProof/>
        </w:rPr>
        <w:instrText xml:space="preserve"> PAGEREF _Toc202006226 \h </w:instrText>
      </w:r>
      <w:r>
        <w:rPr>
          <w:noProof/>
        </w:rPr>
      </w:r>
      <w:r>
        <w:rPr>
          <w:noProof/>
        </w:rPr>
        <w:fldChar w:fldCharType="separate"/>
      </w:r>
      <w:r>
        <w:rPr>
          <w:noProof/>
        </w:rPr>
        <w:t>196</w:t>
      </w:r>
      <w:r>
        <w:rPr>
          <w:noProof/>
        </w:rPr>
        <w:fldChar w:fldCharType="end"/>
      </w:r>
    </w:p>
    <w:p w14:paraId="23654188" w14:textId="196D5900" w:rsidR="00694F29" w:rsidRDefault="00694F29">
      <w:pPr>
        <w:pStyle w:val="TOC1"/>
        <w:rPr>
          <w:rFonts w:eastAsiaTheme="minorEastAsia"/>
          <w:noProof/>
          <w:kern w:val="2"/>
          <w:sz w:val="24"/>
          <w:szCs w:val="24"/>
          <w:lang w:eastAsia="en-CA"/>
          <w14:ligatures w14:val="standardContextual"/>
        </w:rPr>
      </w:pPr>
      <w:r>
        <w:rPr>
          <w:noProof/>
        </w:rPr>
        <w:t>28. For the Reform of Man</w:t>
      </w:r>
      <w:r>
        <w:rPr>
          <w:noProof/>
        </w:rPr>
        <w:tab/>
      </w:r>
      <w:r>
        <w:rPr>
          <w:noProof/>
        </w:rPr>
        <w:fldChar w:fldCharType="begin"/>
      </w:r>
      <w:r>
        <w:rPr>
          <w:noProof/>
        </w:rPr>
        <w:instrText xml:space="preserve"> PAGEREF _Toc202006227 \h </w:instrText>
      </w:r>
      <w:r>
        <w:rPr>
          <w:noProof/>
        </w:rPr>
      </w:r>
      <w:r>
        <w:rPr>
          <w:noProof/>
        </w:rPr>
        <w:fldChar w:fldCharType="separate"/>
      </w:r>
      <w:r>
        <w:rPr>
          <w:noProof/>
        </w:rPr>
        <w:t>202</w:t>
      </w:r>
      <w:r>
        <w:rPr>
          <w:noProof/>
        </w:rPr>
        <w:fldChar w:fldCharType="end"/>
      </w:r>
    </w:p>
    <w:p w14:paraId="7E8FB314" w14:textId="6CFD1E0A" w:rsidR="00694F29" w:rsidRDefault="00694F29">
      <w:pPr>
        <w:pStyle w:val="TOC1"/>
        <w:rPr>
          <w:rFonts w:eastAsiaTheme="minorEastAsia"/>
          <w:noProof/>
          <w:kern w:val="2"/>
          <w:sz w:val="24"/>
          <w:szCs w:val="24"/>
          <w:lang w:eastAsia="en-CA"/>
          <w14:ligatures w14:val="standardContextual"/>
        </w:rPr>
      </w:pPr>
      <w:r>
        <w:rPr>
          <w:noProof/>
        </w:rPr>
        <w:t>29. Heaven and Hell</w:t>
      </w:r>
      <w:r>
        <w:rPr>
          <w:noProof/>
        </w:rPr>
        <w:tab/>
      </w:r>
      <w:r>
        <w:rPr>
          <w:noProof/>
        </w:rPr>
        <w:fldChar w:fldCharType="begin"/>
      </w:r>
      <w:r>
        <w:rPr>
          <w:noProof/>
        </w:rPr>
        <w:instrText xml:space="preserve"> PAGEREF _Toc202006228 \h </w:instrText>
      </w:r>
      <w:r>
        <w:rPr>
          <w:noProof/>
        </w:rPr>
      </w:r>
      <w:r>
        <w:rPr>
          <w:noProof/>
        </w:rPr>
        <w:fldChar w:fldCharType="separate"/>
      </w:r>
      <w:r>
        <w:rPr>
          <w:noProof/>
        </w:rPr>
        <w:t>210</w:t>
      </w:r>
      <w:r>
        <w:rPr>
          <w:noProof/>
        </w:rPr>
        <w:fldChar w:fldCharType="end"/>
      </w:r>
    </w:p>
    <w:p w14:paraId="69D5FAB4" w14:textId="6525CE6D" w:rsidR="00694F29" w:rsidRDefault="00694F29">
      <w:pPr>
        <w:pStyle w:val="TOC1"/>
        <w:rPr>
          <w:rFonts w:eastAsiaTheme="minorEastAsia"/>
          <w:noProof/>
          <w:kern w:val="2"/>
          <w:sz w:val="24"/>
          <w:szCs w:val="24"/>
          <w:lang w:eastAsia="en-CA"/>
          <w14:ligatures w14:val="standardContextual"/>
        </w:rPr>
      </w:pPr>
      <w:r>
        <w:rPr>
          <w:noProof/>
        </w:rPr>
        <w:t>30. Nothing But The Country</w:t>
      </w:r>
      <w:r>
        <w:rPr>
          <w:noProof/>
        </w:rPr>
        <w:tab/>
      </w:r>
      <w:r>
        <w:rPr>
          <w:noProof/>
        </w:rPr>
        <w:fldChar w:fldCharType="begin"/>
      </w:r>
      <w:r>
        <w:rPr>
          <w:noProof/>
        </w:rPr>
        <w:instrText xml:space="preserve"> PAGEREF _Toc202006229 \h </w:instrText>
      </w:r>
      <w:r>
        <w:rPr>
          <w:noProof/>
        </w:rPr>
      </w:r>
      <w:r>
        <w:rPr>
          <w:noProof/>
        </w:rPr>
        <w:fldChar w:fldCharType="separate"/>
      </w:r>
      <w:r>
        <w:rPr>
          <w:noProof/>
        </w:rPr>
        <w:t>218</w:t>
      </w:r>
      <w:r>
        <w:rPr>
          <w:noProof/>
        </w:rPr>
        <w:fldChar w:fldCharType="end"/>
      </w:r>
    </w:p>
    <w:p w14:paraId="50FFAFB8" w14:textId="512877D5" w:rsidR="00694F29" w:rsidRDefault="00694F29">
      <w:pPr>
        <w:pStyle w:val="TOC1"/>
        <w:rPr>
          <w:rFonts w:eastAsiaTheme="minorEastAsia"/>
          <w:noProof/>
          <w:kern w:val="2"/>
          <w:sz w:val="24"/>
          <w:szCs w:val="24"/>
          <w:lang w:eastAsia="en-CA"/>
          <w14:ligatures w14:val="standardContextual"/>
        </w:rPr>
      </w:pPr>
      <w:r>
        <w:rPr>
          <w:noProof/>
        </w:rPr>
        <w:t>31. The Tyranny of Distance</w:t>
      </w:r>
      <w:r>
        <w:rPr>
          <w:noProof/>
        </w:rPr>
        <w:tab/>
      </w:r>
      <w:r>
        <w:rPr>
          <w:noProof/>
        </w:rPr>
        <w:fldChar w:fldCharType="begin"/>
      </w:r>
      <w:r>
        <w:rPr>
          <w:noProof/>
        </w:rPr>
        <w:instrText xml:space="preserve"> PAGEREF _Toc202006230 \h </w:instrText>
      </w:r>
      <w:r>
        <w:rPr>
          <w:noProof/>
        </w:rPr>
      </w:r>
      <w:r>
        <w:rPr>
          <w:noProof/>
        </w:rPr>
        <w:fldChar w:fldCharType="separate"/>
      </w:r>
      <w:r>
        <w:rPr>
          <w:noProof/>
        </w:rPr>
        <w:t>229</w:t>
      </w:r>
      <w:r>
        <w:rPr>
          <w:noProof/>
        </w:rPr>
        <w:fldChar w:fldCharType="end"/>
      </w:r>
    </w:p>
    <w:p w14:paraId="7C0507FF" w14:textId="7FE40546" w:rsidR="00694F29" w:rsidRDefault="00694F29">
      <w:pPr>
        <w:pStyle w:val="TOC1"/>
        <w:rPr>
          <w:rFonts w:eastAsiaTheme="minorEastAsia"/>
          <w:noProof/>
          <w:kern w:val="2"/>
          <w:sz w:val="24"/>
          <w:szCs w:val="24"/>
          <w:lang w:eastAsia="en-CA"/>
          <w14:ligatures w14:val="standardContextual"/>
        </w:rPr>
      </w:pPr>
      <w:r>
        <w:rPr>
          <w:noProof/>
        </w:rPr>
        <w:t>32. The Devil Against Daniel Webster</w:t>
      </w:r>
      <w:r>
        <w:rPr>
          <w:noProof/>
        </w:rPr>
        <w:tab/>
      </w:r>
      <w:r>
        <w:rPr>
          <w:noProof/>
        </w:rPr>
        <w:fldChar w:fldCharType="begin"/>
      </w:r>
      <w:r>
        <w:rPr>
          <w:noProof/>
        </w:rPr>
        <w:instrText xml:space="preserve"> PAGEREF _Toc202006231 \h </w:instrText>
      </w:r>
      <w:r>
        <w:rPr>
          <w:noProof/>
        </w:rPr>
      </w:r>
      <w:r>
        <w:rPr>
          <w:noProof/>
        </w:rPr>
        <w:fldChar w:fldCharType="separate"/>
      </w:r>
      <w:r>
        <w:rPr>
          <w:noProof/>
        </w:rPr>
        <w:t>235</w:t>
      </w:r>
      <w:r>
        <w:rPr>
          <w:noProof/>
        </w:rPr>
        <w:fldChar w:fldCharType="end"/>
      </w:r>
    </w:p>
    <w:p w14:paraId="6810BFE4" w14:textId="6A0604D7" w:rsidR="00694F29" w:rsidRDefault="00694F29">
      <w:pPr>
        <w:pStyle w:val="TOC1"/>
        <w:rPr>
          <w:rFonts w:eastAsiaTheme="minorEastAsia"/>
          <w:noProof/>
          <w:kern w:val="2"/>
          <w:sz w:val="24"/>
          <w:szCs w:val="24"/>
          <w:lang w:eastAsia="en-CA"/>
          <w14:ligatures w14:val="standardContextual"/>
        </w:rPr>
      </w:pPr>
      <w:r>
        <w:rPr>
          <w:noProof/>
        </w:rPr>
        <w:t>33. The Rotten Oak</w:t>
      </w:r>
      <w:r>
        <w:rPr>
          <w:noProof/>
        </w:rPr>
        <w:tab/>
      </w:r>
      <w:r>
        <w:rPr>
          <w:noProof/>
        </w:rPr>
        <w:fldChar w:fldCharType="begin"/>
      </w:r>
      <w:r>
        <w:rPr>
          <w:noProof/>
        </w:rPr>
        <w:instrText xml:space="preserve"> PAGEREF _Toc202006232 \h </w:instrText>
      </w:r>
      <w:r>
        <w:rPr>
          <w:noProof/>
        </w:rPr>
      </w:r>
      <w:r>
        <w:rPr>
          <w:noProof/>
        </w:rPr>
        <w:fldChar w:fldCharType="separate"/>
      </w:r>
      <w:r>
        <w:rPr>
          <w:noProof/>
        </w:rPr>
        <w:t>242</w:t>
      </w:r>
      <w:r>
        <w:rPr>
          <w:noProof/>
        </w:rPr>
        <w:fldChar w:fldCharType="end"/>
      </w:r>
    </w:p>
    <w:p w14:paraId="659E6A36" w14:textId="5A7ADBC7" w:rsidR="00694F29" w:rsidRDefault="00694F29">
      <w:pPr>
        <w:pStyle w:val="TOC1"/>
        <w:rPr>
          <w:rFonts w:eastAsiaTheme="minorEastAsia"/>
          <w:noProof/>
          <w:kern w:val="2"/>
          <w:sz w:val="24"/>
          <w:szCs w:val="24"/>
          <w:lang w:eastAsia="en-CA"/>
          <w14:ligatures w14:val="standardContextual"/>
        </w:rPr>
      </w:pPr>
      <w:r>
        <w:rPr>
          <w:noProof/>
        </w:rPr>
        <w:t>34. The Full Scope of Imagination</w:t>
      </w:r>
      <w:r>
        <w:rPr>
          <w:noProof/>
        </w:rPr>
        <w:tab/>
      </w:r>
      <w:r>
        <w:rPr>
          <w:noProof/>
        </w:rPr>
        <w:fldChar w:fldCharType="begin"/>
      </w:r>
      <w:r>
        <w:rPr>
          <w:noProof/>
        </w:rPr>
        <w:instrText xml:space="preserve"> PAGEREF _Toc202006233 \h </w:instrText>
      </w:r>
      <w:r>
        <w:rPr>
          <w:noProof/>
        </w:rPr>
      </w:r>
      <w:r>
        <w:rPr>
          <w:noProof/>
        </w:rPr>
        <w:fldChar w:fldCharType="separate"/>
      </w:r>
      <w:r>
        <w:rPr>
          <w:noProof/>
        </w:rPr>
        <w:t>248</w:t>
      </w:r>
      <w:r>
        <w:rPr>
          <w:noProof/>
        </w:rPr>
        <w:fldChar w:fldCharType="end"/>
      </w:r>
    </w:p>
    <w:p w14:paraId="095D9866" w14:textId="74BA9C71" w:rsidR="00694F29" w:rsidRDefault="00694F29">
      <w:pPr>
        <w:pStyle w:val="TOC1"/>
        <w:rPr>
          <w:rFonts w:eastAsiaTheme="minorEastAsia"/>
          <w:noProof/>
          <w:kern w:val="2"/>
          <w:sz w:val="24"/>
          <w:szCs w:val="24"/>
          <w:lang w:eastAsia="en-CA"/>
          <w14:ligatures w14:val="standardContextual"/>
        </w:rPr>
      </w:pPr>
      <w:r>
        <w:rPr>
          <w:noProof/>
        </w:rPr>
        <w:t>35. The Advance of the Wire</w:t>
      </w:r>
      <w:r>
        <w:rPr>
          <w:noProof/>
        </w:rPr>
        <w:tab/>
      </w:r>
      <w:r>
        <w:rPr>
          <w:noProof/>
        </w:rPr>
        <w:fldChar w:fldCharType="begin"/>
      </w:r>
      <w:r>
        <w:rPr>
          <w:noProof/>
        </w:rPr>
        <w:instrText xml:space="preserve"> PAGEREF _Toc202006234 \h </w:instrText>
      </w:r>
      <w:r>
        <w:rPr>
          <w:noProof/>
        </w:rPr>
      </w:r>
      <w:r>
        <w:rPr>
          <w:noProof/>
        </w:rPr>
        <w:fldChar w:fldCharType="separate"/>
      </w:r>
      <w:r>
        <w:rPr>
          <w:noProof/>
        </w:rPr>
        <w:t>256</w:t>
      </w:r>
      <w:r>
        <w:rPr>
          <w:noProof/>
        </w:rPr>
        <w:fldChar w:fldCharType="end"/>
      </w:r>
    </w:p>
    <w:p w14:paraId="66AC416B" w14:textId="31CE303A" w:rsidR="00694F29" w:rsidRDefault="00694F29">
      <w:pPr>
        <w:pStyle w:val="TOC1"/>
        <w:rPr>
          <w:rFonts w:eastAsiaTheme="minorEastAsia"/>
          <w:noProof/>
          <w:kern w:val="2"/>
          <w:sz w:val="24"/>
          <w:szCs w:val="24"/>
          <w:lang w:eastAsia="en-CA"/>
          <w14:ligatures w14:val="standardContextual"/>
        </w:rPr>
      </w:pPr>
      <w:r>
        <w:rPr>
          <w:noProof/>
        </w:rPr>
        <w:t>36. The Queens of the West</w:t>
      </w:r>
      <w:r>
        <w:rPr>
          <w:noProof/>
        </w:rPr>
        <w:tab/>
      </w:r>
      <w:r>
        <w:rPr>
          <w:noProof/>
        </w:rPr>
        <w:fldChar w:fldCharType="begin"/>
      </w:r>
      <w:r>
        <w:rPr>
          <w:noProof/>
        </w:rPr>
        <w:instrText xml:space="preserve"> PAGEREF _Toc202006235 \h </w:instrText>
      </w:r>
      <w:r>
        <w:rPr>
          <w:noProof/>
        </w:rPr>
      </w:r>
      <w:r>
        <w:rPr>
          <w:noProof/>
        </w:rPr>
        <w:fldChar w:fldCharType="separate"/>
      </w:r>
      <w:r>
        <w:rPr>
          <w:noProof/>
        </w:rPr>
        <w:t>266</w:t>
      </w:r>
      <w:r>
        <w:rPr>
          <w:noProof/>
        </w:rPr>
        <w:fldChar w:fldCharType="end"/>
      </w:r>
    </w:p>
    <w:p w14:paraId="795680D5" w14:textId="47264196" w:rsidR="00694F29" w:rsidRDefault="00694F29">
      <w:pPr>
        <w:pStyle w:val="TOC1"/>
        <w:rPr>
          <w:rFonts w:eastAsiaTheme="minorEastAsia"/>
          <w:noProof/>
          <w:kern w:val="2"/>
          <w:sz w:val="24"/>
          <w:szCs w:val="24"/>
          <w:lang w:eastAsia="en-CA"/>
          <w14:ligatures w14:val="standardContextual"/>
        </w:rPr>
      </w:pPr>
      <w:r>
        <w:rPr>
          <w:noProof/>
        </w:rPr>
        <w:t>37. The Zenith of the Nation</w:t>
      </w:r>
      <w:r>
        <w:rPr>
          <w:noProof/>
        </w:rPr>
        <w:tab/>
      </w:r>
      <w:r>
        <w:rPr>
          <w:noProof/>
        </w:rPr>
        <w:fldChar w:fldCharType="begin"/>
      </w:r>
      <w:r>
        <w:rPr>
          <w:noProof/>
        </w:rPr>
        <w:instrText xml:space="preserve"> PAGEREF _Toc202006236 \h </w:instrText>
      </w:r>
      <w:r>
        <w:rPr>
          <w:noProof/>
        </w:rPr>
      </w:r>
      <w:r>
        <w:rPr>
          <w:noProof/>
        </w:rPr>
        <w:fldChar w:fldCharType="separate"/>
      </w:r>
      <w:r>
        <w:rPr>
          <w:noProof/>
        </w:rPr>
        <w:t>277</w:t>
      </w:r>
      <w:r>
        <w:rPr>
          <w:noProof/>
        </w:rPr>
        <w:fldChar w:fldCharType="end"/>
      </w:r>
    </w:p>
    <w:p w14:paraId="069958DA" w14:textId="4F647BF0" w:rsidR="00694F29" w:rsidRDefault="00694F29">
      <w:pPr>
        <w:pStyle w:val="TOC1"/>
        <w:rPr>
          <w:rFonts w:eastAsiaTheme="minorEastAsia"/>
          <w:noProof/>
          <w:kern w:val="2"/>
          <w:sz w:val="24"/>
          <w:szCs w:val="24"/>
          <w:lang w:eastAsia="en-CA"/>
          <w14:ligatures w14:val="standardContextual"/>
        </w:rPr>
      </w:pPr>
      <w:r>
        <w:rPr>
          <w:noProof/>
        </w:rPr>
        <w:t>38. Rise Of the Thing</w:t>
      </w:r>
      <w:r>
        <w:rPr>
          <w:noProof/>
        </w:rPr>
        <w:tab/>
      </w:r>
      <w:r>
        <w:rPr>
          <w:noProof/>
        </w:rPr>
        <w:fldChar w:fldCharType="begin"/>
      </w:r>
      <w:r>
        <w:rPr>
          <w:noProof/>
        </w:rPr>
        <w:instrText xml:space="preserve"> PAGEREF _Toc202006237 \h </w:instrText>
      </w:r>
      <w:r>
        <w:rPr>
          <w:noProof/>
        </w:rPr>
      </w:r>
      <w:r>
        <w:rPr>
          <w:noProof/>
        </w:rPr>
        <w:fldChar w:fldCharType="separate"/>
      </w:r>
      <w:r>
        <w:rPr>
          <w:noProof/>
        </w:rPr>
        <w:t>285</w:t>
      </w:r>
      <w:r>
        <w:rPr>
          <w:noProof/>
        </w:rPr>
        <w:fldChar w:fldCharType="end"/>
      </w:r>
    </w:p>
    <w:p w14:paraId="43F26535" w14:textId="064C69A8" w:rsidR="00694F29" w:rsidRDefault="00694F29">
      <w:pPr>
        <w:pStyle w:val="TOC1"/>
        <w:rPr>
          <w:rFonts w:eastAsiaTheme="minorEastAsia"/>
          <w:noProof/>
          <w:kern w:val="2"/>
          <w:sz w:val="24"/>
          <w:szCs w:val="24"/>
          <w:lang w:eastAsia="en-CA"/>
          <w14:ligatures w14:val="standardContextual"/>
        </w:rPr>
      </w:pPr>
      <w:r>
        <w:rPr>
          <w:noProof/>
        </w:rPr>
        <w:t>39. To Plow the Sea</w:t>
      </w:r>
      <w:r>
        <w:rPr>
          <w:noProof/>
        </w:rPr>
        <w:tab/>
      </w:r>
      <w:r>
        <w:rPr>
          <w:noProof/>
        </w:rPr>
        <w:fldChar w:fldCharType="begin"/>
      </w:r>
      <w:r>
        <w:rPr>
          <w:noProof/>
        </w:rPr>
        <w:instrText xml:space="preserve"> PAGEREF _Toc202006238 \h </w:instrText>
      </w:r>
      <w:r>
        <w:rPr>
          <w:noProof/>
        </w:rPr>
      </w:r>
      <w:r>
        <w:rPr>
          <w:noProof/>
        </w:rPr>
        <w:fldChar w:fldCharType="separate"/>
      </w:r>
      <w:r>
        <w:rPr>
          <w:noProof/>
        </w:rPr>
        <w:t>291</w:t>
      </w:r>
      <w:r>
        <w:rPr>
          <w:noProof/>
        </w:rPr>
        <w:fldChar w:fldCharType="end"/>
      </w:r>
    </w:p>
    <w:p w14:paraId="45217D11" w14:textId="491F03FA" w:rsidR="00694F29" w:rsidRDefault="00694F29">
      <w:pPr>
        <w:pStyle w:val="TOC1"/>
        <w:rPr>
          <w:rFonts w:eastAsiaTheme="minorEastAsia"/>
          <w:noProof/>
          <w:kern w:val="2"/>
          <w:sz w:val="24"/>
          <w:szCs w:val="24"/>
          <w:lang w:eastAsia="en-CA"/>
          <w14:ligatures w14:val="standardContextual"/>
        </w:rPr>
      </w:pPr>
      <w:r>
        <w:rPr>
          <w:noProof/>
        </w:rPr>
        <w:lastRenderedPageBreak/>
        <w:t>40. The National Apprehension</w:t>
      </w:r>
      <w:r>
        <w:rPr>
          <w:noProof/>
        </w:rPr>
        <w:tab/>
      </w:r>
      <w:r>
        <w:rPr>
          <w:noProof/>
        </w:rPr>
        <w:fldChar w:fldCharType="begin"/>
      </w:r>
      <w:r>
        <w:rPr>
          <w:noProof/>
        </w:rPr>
        <w:instrText xml:space="preserve"> PAGEREF _Toc202006239 \h </w:instrText>
      </w:r>
      <w:r>
        <w:rPr>
          <w:noProof/>
        </w:rPr>
      </w:r>
      <w:r>
        <w:rPr>
          <w:noProof/>
        </w:rPr>
        <w:fldChar w:fldCharType="separate"/>
      </w:r>
      <w:r>
        <w:rPr>
          <w:noProof/>
        </w:rPr>
        <w:t>297</w:t>
      </w:r>
      <w:r>
        <w:rPr>
          <w:noProof/>
        </w:rPr>
        <w:fldChar w:fldCharType="end"/>
      </w:r>
    </w:p>
    <w:p w14:paraId="30C7D4B6" w14:textId="00142D9D" w:rsidR="00694F29" w:rsidRDefault="00694F29">
      <w:pPr>
        <w:pStyle w:val="TOC1"/>
        <w:rPr>
          <w:rFonts w:eastAsiaTheme="minorEastAsia"/>
          <w:noProof/>
          <w:kern w:val="2"/>
          <w:sz w:val="24"/>
          <w:szCs w:val="24"/>
          <w:lang w:eastAsia="en-CA"/>
          <w14:ligatures w14:val="standardContextual"/>
        </w:rPr>
      </w:pPr>
      <w:r>
        <w:rPr>
          <w:noProof/>
        </w:rPr>
        <w:t>41. The Consumption of the Iron Gates</w:t>
      </w:r>
      <w:r>
        <w:rPr>
          <w:noProof/>
        </w:rPr>
        <w:tab/>
      </w:r>
      <w:r>
        <w:rPr>
          <w:noProof/>
        </w:rPr>
        <w:fldChar w:fldCharType="begin"/>
      </w:r>
      <w:r>
        <w:rPr>
          <w:noProof/>
        </w:rPr>
        <w:instrText xml:space="preserve"> PAGEREF _Toc202006240 \h </w:instrText>
      </w:r>
      <w:r>
        <w:rPr>
          <w:noProof/>
        </w:rPr>
      </w:r>
      <w:r>
        <w:rPr>
          <w:noProof/>
        </w:rPr>
        <w:fldChar w:fldCharType="separate"/>
      </w:r>
      <w:r>
        <w:rPr>
          <w:noProof/>
        </w:rPr>
        <w:t>306</w:t>
      </w:r>
      <w:r>
        <w:rPr>
          <w:noProof/>
        </w:rPr>
        <w:fldChar w:fldCharType="end"/>
      </w:r>
    </w:p>
    <w:p w14:paraId="7D38144B" w14:textId="5FA83DC1" w:rsidR="00694F29" w:rsidRDefault="00694F29">
      <w:pPr>
        <w:pStyle w:val="TOC1"/>
        <w:rPr>
          <w:rFonts w:eastAsiaTheme="minorEastAsia"/>
          <w:noProof/>
          <w:kern w:val="2"/>
          <w:sz w:val="24"/>
          <w:szCs w:val="24"/>
          <w:lang w:eastAsia="en-CA"/>
          <w14:ligatures w14:val="standardContextual"/>
        </w:rPr>
      </w:pPr>
      <w:r>
        <w:rPr>
          <w:noProof/>
        </w:rPr>
        <w:t>42. Dawn of the New Empire</w:t>
      </w:r>
      <w:r>
        <w:rPr>
          <w:noProof/>
        </w:rPr>
        <w:tab/>
      </w:r>
      <w:r>
        <w:rPr>
          <w:noProof/>
        </w:rPr>
        <w:fldChar w:fldCharType="begin"/>
      </w:r>
      <w:r>
        <w:rPr>
          <w:noProof/>
        </w:rPr>
        <w:instrText xml:space="preserve"> PAGEREF _Toc202006241 \h </w:instrText>
      </w:r>
      <w:r>
        <w:rPr>
          <w:noProof/>
        </w:rPr>
      </w:r>
      <w:r>
        <w:rPr>
          <w:noProof/>
        </w:rPr>
        <w:fldChar w:fldCharType="separate"/>
      </w:r>
      <w:r>
        <w:rPr>
          <w:noProof/>
        </w:rPr>
        <w:t>313</w:t>
      </w:r>
      <w:r>
        <w:rPr>
          <w:noProof/>
        </w:rPr>
        <w:fldChar w:fldCharType="end"/>
      </w:r>
    </w:p>
    <w:p w14:paraId="6B6F7AB4" w14:textId="01242827" w:rsidR="00694F29" w:rsidRDefault="00694F29">
      <w:pPr>
        <w:pStyle w:val="TOC1"/>
        <w:rPr>
          <w:rFonts w:eastAsiaTheme="minorEastAsia"/>
          <w:noProof/>
          <w:kern w:val="2"/>
          <w:sz w:val="24"/>
          <w:szCs w:val="24"/>
          <w:lang w:eastAsia="en-CA"/>
          <w14:ligatures w14:val="standardContextual"/>
        </w:rPr>
      </w:pPr>
      <w:r>
        <w:rPr>
          <w:noProof/>
        </w:rPr>
        <w:t>43. The Segments of Babel</w:t>
      </w:r>
      <w:r>
        <w:rPr>
          <w:noProof/>
        </w:rPr>
        <w:tab/>
      </w:r>
      <w:r>
        <w:rPr>
          <w:noProof/>
        </w:rPr>
        <w:fldChar w:fldCharType="begin"/>
      </w:r>
      <w:r>
        <w:rPr>
          <w:noProof/>
        </w:rPr>
        <w:instrText xml:space="preserve"> PAGEREF _Toc202006242 \h </w:instrText>
      </w:r>
      <w:r>
        <w:rPr>
          <w:noProof/>
        </w:rPr>
      </w:r>
      <w:r>
        <w:rPr>
          <w:noProof/>
        </w:rPr>
        <w:fldChar w:fldCharType="separate"/>
      </w:r>
      <w:r>
        <w:rPr>
          <w:noProof/>
        </w:rPr>
        <w:t>319</w:t>
      </w:r>
      <w:r>
        <w:rPr>
          <w:noProof/>
        </w:rPr>
        <w:fldChar w:fldCharType="end"/>
      </w:r>
    </w:p>
    <w:p w14:paraId="2EC3362A" w14:textId="1DE8AFB7" w:rsidR="00694F29" w:rsidRDefault="00694F29">
      <w:pPr>
        <w:pStyle w:val="TOC1"/>
        <w:rPr>
          <w:rFonts w:eastAsiaTheme="minorEastAsia"/>
          <w:noProof/>
          <w:kern w:val="2"/>
          <w:sz w:val="24"/>
          <w:szCs w:val="24"/>
          <w:lang w:eastAsia="en-CA"/>
          <w14:ligatures w14:val="standardContextual"/>
        </w:rPr>
      </w:pPr>
      <w:r>
        <w:rPr>
          <w:noProof/>
        </w:rPr>
        <w:t>44. To be Heard</w:t>
      </w:r>
      <w:r>
        <w:rPr>
          <w:noProof/>
        </w:rPr>
        <w:tab/>
      </w:r>
      <w:r>
        <w:rPr>
          <w:noProof/>
        </w:rPr>
        <w:fldChar w:fldCharType="begin"/>
      </w:r>
      <w:r>
        <w:rPr>
          <w:noProof/>
        </w:rPr>
        <w:instrText xml:space="preserve"> PAGEREF _Toc202006243 \h </w:instrText>
      </w:r>
      <w:r>
        <w:rPr>
          <w:noProof/>
        </w:rPr>
      </w:r>
      <w:r>
        <w:rPr>
          <w:noProof/>
        </w:rPr>
        <w:fldChar w:fldCharType="separate"/>
      </w:r>
      <w:r>
        <w:rPr>
          <w:noProof/>
        </w:rPr>
        <w:t>327</w:t>
      </w:r>
      <w:r>
        <w:rPr>
          <w:noProof/>
        </w:rPr>
        <w:fldChar w:fldCharType="end"/>
      </w:r>
    </w:p>
    <w:p w14:paraId="1201BCF5" w14:textId="45E3D46A" w:rsidR="00694F29" w:rsidRDefault="00694F29">
      <w:pPr>
        <w:pStyle w:val="TOC1"/>
        <w:rPr>
          <w:rFonts w:eastAsiaTheme="minorEastAsia"/>
          <w:noProof/>
          <w:kern w:val="2"/>
          <w:sz w:val="24"/>
          <w:szCs w:val="24"/>
          <w:lang w:eastAsia="en-CA"/>
          <w14:ligatures w14:val="standardContextual"/>
        </w:rPr>
      </w:pPr>
      <w:r>
        <w:rPr>
          <w:noProof/>
        </w:rPr>
        <w:t>45. The Active Soul</w:t>
      </w:r>
      <w:r>
        <w:rPr>
          <w:noProof/>
        </w:rPr>
        <w:tab/>
      </w:r>
      <w:r>
        <w:rPr>
          <w:noProof/>
        </w:rPr>
        <w:fldChar w:fldCharType="begin"/>
      </w:r>
      <w:r>
        <w:rPr>
          <w:noProof/>
        </w:rPr>
        <w:instrText xml:space="preserve"> PAGEREF _Toc202006244 \h </w:instrText>
      </w:r>
      <w:r>
        <w:rPr>
          <w:noProof/>
        </w:rPr>
      </w:r>
      <w:r>
        <w:rPr>
          <w:noProof/>
        </w:rPr>
        <w:fldChar w:fldCharType="separate"/>
      </w:r>
      <w:r>
        <w:rPr>
          <w:noProof/>
        </w:rPr>
        <w:t>333</w:t>
      </w:r>
      <w:r>
        <w:rPr>
          <w:noProof/>
        </w:rPr>
        <w:fldChar w:fldCharType="end"/>
      </w:r>
    </w:p>
    <w:p w14:paraId="67BAB25B" w14:textId="76FD88D5" w:rsidR="00694F29" w:rsidRDefault="00694F29">
      <w:pPr>
        <w:pStyle w:val="TOC1"/>
        <w:rPr>
          <w:rFonts w:eastAsiaTheme="minorEastAsia"/>
          <w:noProof/>
          <w:kern w:val="2"/>
          <w:sz w:val="24"/>
          <w:szCs w:val="24"/>
          <w:lang w:eastAsia="en-CA"/>
          <w14:ligatures w14:val="standardContextual"/>
        </w:rPr>
      </w:pPr>
      <w:r>
        <w:rPr>
          <w:noProof/>
        </w:rPr>
        <w:t>46. The Blessed Leaves</w:t>
      </w:r>
      <w:r>
        <w:rPr>
          <w:noProof/>
        </w:rPr>
        <w:tab/>
      </w:r>
      <w:r>
        <w:rPr>
          <w:noProof/>
        </w:rPr>
        <w:fldChar w:fldCharType="begin"/>
      </w:r>
      <w:r>
        <w:rPr>
          <w:noProof/>
        </w:rPr>
        <w:instrText xml:space="preserve"> PAGEREF _Toc202006245 \h </w:instrText>
      </w:r>
      <w:r>
        <w:rPr>
          <w:noProof/>
        </w:rPr>
      </w:r>
      <w:r>
        <w:rPr>
          <w:noProof/>
        </w:rPr>
        <w:fldChar w:fldCharType="separate"/>
      </w:r>
      <w:r>
        <w:rPr>
          <w:noProof/>
        </w:rPr>
        <w:t>340</w:t>
      </w:r>
      <w:r>
        <w:rPr>
          <w:noProof/>
        </w:rPr>
        <w:fldChar w:fldCharType="end"/>
      </w:r>
    </w:p>
    <w:p w14:paraId="00594579" w14:textId="3752B25D" w:rsidR="00694F29" w:rsidRDefault="00694F29">
      <w:pPr>
        <w:pStyle w:val="TOC1"/>
        <w:rPr>
          <w:rFonts w:eastAsiaTheme="minorEastAsia"/>
          <w:noProof/>
          <w:kern w:val="2"/>
          <w:sz w:val="24"/>
          <w:szCs w:val="24"/>
          <w:lang w:eastAsia="en-CA"/>
          <w14:ligatures w14:val="standardContextual"/>
        </w:rPr>
      </w:pPr>
      <w:r>
        <w:rPr>
          <w:noProof/>
        </w:rPr>
        <w:t>47. A Taste of Immortality</w:t>
      </w:r>
      <w:r>
        <w:rPr>
          <w:noProof/>
        </w:rPr>
        <w:tab/>
      </w:r>
      <w:r>
        <w:rPr>
          <w:noProof/>
        </w:rPr>
        <w:fldChar w:fldCharType="begin"/>
      </w:r>
      <w:r>
        <w:rPr>
          <w:noProof/>
        </w:rPr>
        <w:instrText xml:space="preserve"> PAGEREF _Toc202006246 \h </w:instrText>
      </w:r>
      <w:r>
        <w:rPr>
          <w:noProof/>
        </w:rPr>
      </w:r>
      <w:r>
        <w:rPr>
          <w:noProof/>
        </w:rPr>
        <w:fldChar w:fldCharType="separate"/>
      </w:r>
      <w:r>
        <w:rPr>
          <w:noProof/>
        </w:rPr>
        <w:t>345</w:t>
      </w:r>
      <w:r>
        <w:rPr>
          <w:noProof/>
        </w:rPr>
        <w:fldChar w:fldCharType="end"/>
      </w:r>
    </w:p>
    <w:p w14:paraId="7BCAE275" w14:textId="36CEACAA" w:rsidR="00694F29" w:rsidRDefault="00694F29">
      <w:pPr>
        <w:pStyle w:val="TOC1"/>
        <w:rPr>
          <w:rFonts w:eastAsiaTheme="minorEastAsia"/>
          <w:noProof/>
          <w:kern w:val="2"/>
          <w:sz w:val="24"/>
          <w:szCs w:val="24"/>
          <w:lang w:eastAsia="en-CA"/>
          <w14:ligatures w14:val="standardContextual"/>
        </w:rPr>
      </w:pPr>
      <w:r>
        <w:rPr>
          <w:noProof/>
        </w:rPr>
        <w:t>48. Rise of the Wire</w:t>
      </w:r>
      <w:r>
        <w:rPr>
          <w:noProof/>
        </w:rPr>
        <w:tab/>
      </w:r>
      <w:r>
        <w:rPr>
          <w:noProof/>
        </w:rPr>
        <w:fldChar w:fldCharType="begin"/>
      </w:r>
      <w:r>
        <w:rPr>
          <w:noProof/>
        </w:rPr>
        <w:instrText xml:space="preserve"> PAGEREF _Toc202006247 \h </w:instrText>
      </w:r>
      <w:r>
        <w:rPr>
          <w:noProof/>
        </w:rPr>
      </w:r>
      <w:r>
        <w:rPr>
          <w:noProof/>
        </w:rPr>
        <w:fldChar w:fldCharType="separate"/>
      </w:r>
      <w:r>
        <w:rPr>
          <w:noProof/>
        </w:rPr>
        <w:t>352</w:t>
      </w:r>
      <w:r>
        <w:rPr>
          <w:noProof/>
        </w:rPr>
        <w:fldChar w:fldCharType="end"/>
      </w:r>
    </w:p>
    <w:p w14:paraId="315EA8DA" w14:textId="16A094EB" w:rsidR="00694F29" w:rsidRDefault="00694F29">
      <w:pPr>
        <w:pStyle w:val="TOC1"/>
        <w:rPr>
          <w:rFonts w:eastAsiaTheme="minorEastAsia"/>
          <w:noProof/>
          <w:kern w:val="2"/>
          <w:sz w:val="24"/>
          <w:szCs w:val="24"/>
          <w:lang w:eastAsia="en-CA"/>
          <w14:ligatures w14:val="standardContextual"/>
        </w:rPr>
      </w:pPr>
      <w:r>
        <w:rPr>
          <w:noProof/>
        </w:rPr>
        <w:t>49. The Path of Horrors</w:t>
      </w:r>
      <w:r>
        <w:rPr>
          <w:noProof/>
        </w:rPr>
        <w:tab/>
      </w:r>
      <w:r>
        <w:rPr>
          <w:noProof/>
        </w:rPr>
        <w:fldChar w:fldCharType="begin"/>
      </w:r>
      <w:r>
        <w:rPr>
          <w:noProof/>
        </w:rPr>
        <w:instrText xml:space="preserve"> PAGEREF _Toc202006248 \h </w:instrText>
      </w:r>
      <w:r>
        <w:rPr>
          <w:noProof/>
        </w:rPr>
      </w:r>
      <w:r>
        <w:rPr>
          <w:noProof/>
        </w:rPr>
        <w:fldChar w:fldCharType="separate"/>
      </w:r>
      <w:r>
        <w:rPr>
          <w:noProof/>
        </w:rPr>
        <w:t>363</w:t>
      </w:r>
      <w:r>
        <w:rPr>
          <w:noProof/>
        </w:rPr>
        <w:fldChar w:fldCharType="end"/>
      </w:r>
    </w:p>
    <w:p w14:paraId="17808F49" w14:textId="5461DB3F" w:rsidR="00694F29" w:rsidRDefault="00694F29">
      <w:pPr>
        <w:pStyle w:val="TOC1"/>
        <w:rPr>
          <w:rFonts w:eastAsiaTheme="minorEastAsia"/>
          <w:noProof/>
          <w:kern w:val="2"/>
          <w:sz w:val="24"/>
          <w:szCs w:val="24"/>
          <w:lang w:eastAsia="en-CA"/>
          <w14:ligatures w14:val="standardContextual"/>
        </w:rPr>
      </w:pPr>
      <w:r>
        <w:rPr>
          <w:noProof/>
        </w:rPr>
        <w:t>50. The Bride of the Nation</w:t>
      </w:r>
      <w:r>
        <w:rPr>
          <w:noProof/>
        </w:rPr>
        <w:tab/>
      </w:r>
      <w:r>
        <w:rPr>
          <w:noProof/>
        </w:rPr>
        <w:fldChar w:fldCharType="begin"/>
      </w:r>
      <w:r>
        <w:rPr>
          <w:noProof/>
        </w:rPr>
        <w:instrText xml:space="preserve"> PAGEREF _Toc202006249 \h </w:instrText>
      </w:r>
      <w:r>
        <w:rPr>
          <w:noProof/>
        </w:rPr>
      </w:r>
      <w:r>
        <w:rPr>
          <w:noProof/>
        </w:rPr>
        <w:fldChar w:fldCharType="separate"/>
      </w:r>
      <w:r>
        <w:rPr>
          <w:noProof/>
        </w:rPr>
        <w:t>369</w:t>
      </w:r>
      <w:r>
        <w:rPr>
          <w:noProof/>
        </w:rPr>
        <w:fldChar w:fldCharType="end"/>
      </w:r>
    </w:p>
    <w:p w14:paraId="3A05A010" w14:textId="271A76BA" w:rsidR="00694F29" w:rsidRDefault="00694F29">
      <w:pPr>
        <w:pStyle w:val="TOC1"/>
        <w:rPr>
          <w:rFonts w:eastAsiaTheme="minorEastAsia"/>
          <w:noProof/>
          <w:kern w:val="2"/>
          <w:sz w:val="24"/>
          <w:szCs w:val="24"/>
          <w:lang w:eastAsia="en-CA"/>
          <w14:ligatures w14:val="standardContextual"/>
        </w:rPr>
      </w:pPr>
      <w:r>
        <w:rPr>
          <w:noProof/>
        </w:rPr>
        <w:t>Appendix 1. Map of the United States of America</w:t>
      </w:r>
      <w:r>
        <w:rPr>
          <w:noProof/>
        </w:rPr>
        <w:tab/>
      </w:r>
      <w:r>
        <w:rPr>
          <w:noProof/>
        </w:rPr>
        <w:fldChar w:fldCharType="begin"/>
      </w:r>
      <w:r>
        <w:rPr>
          <w:noProof/>
        </w:rPr>
        <w:instrText xml:space="preserve"> PAGEREF _Toc202006250 \h </w:instrText>
      </w:r>
      <w:r>
        <w:rPr>
          <w:noProof/>
        </w:rPr>
      </w:r>
      <w:r>
        <w:rPr>
          <w:noProof/>
        </w:rPr>
        <w:fldChar w:fldCharType="separate"/>
      </w:r>
      <w:r>
        <w:rPr>
          <w:noProof/>
        </w:rPr>
        <w:t>376</w:t>
      </w:r>
      <w:r>
        <w:rPr>
          <w:noProof/>
        </w:rPr>
        <w:fldChar w:fldCharType="end"/>
      </w:r>
    </w:p>
    <w:p w14:paraId="04DA56AA" w14:textId="46126491" w:rsidR="00694F29" w:rsidRDefault="00694F29">
      <w:pPr>
        <w:pStyle w:val="TOC1"/>
        <w:rPr>
          <w:rFonts w:eastAsiaTheme="minorEastAsia"/>
          <w:noProof/>
          <w:kern w:val="2"/>
          <w:sz w:val="24"/>
          <w:szCs w:val="24"/>
          <w:lang w:eastAsia="en-CA"/>
          <w14:ligatures w14:val="standardContextual"/>
        </w:rPr>
      </w:pPr>
      <w:r>
        <w:rPr>
          <w:noProof/>
        </w:rPr>
        <w:t>Appendix 2. States of the United States of America</w:t>
      </w:r>
      <w:r>
        <w:rPr>
          <w:noProof/>
        </w:rPr>
        <w:tab/>
      </w:r>
      <w:r>
        <w:rPr>
          <w:noProof/>
        </w:rPr>
        <w:fldChar w:fldCharType="begin"/>
      </w:r>
      <w:r>
        <w:rPr>
          <w:noProof/>
        </w:rPr>
        <w:instrText xml:space="preserve"> PAGEREF _Toc202006251 \h </w:instrText>
      </w:r>
      <w:r>
        <w:rPr>
          <w:noProof/>
        </w:rPr>
      </w:r>
      <w:r>
        <w:rPr>
          <w:noProof/>
        </w:rPr>
        <w:fldChar w:fldCharType="separate"/>
      </w:r>
      <w:r>
        <w:rPr>
          <w:noProof/>
        </w:rPr>
        <w:t>377</w:t>
      </w:r>
      <w:r>
        <w:rPr>
          <w:noProof/>
        </w:rPr>
        <w:fldChar w:fldCharType="end"/>
      </w:r>
    </w:p>
    <w:p w14:paraId="473B6ADC" w14:textId="4AB97AF9" w:rsidR="00694F29" w:rsidRDefault="00694F29">
      <w:pPr>
        <w:pStyle w:val="TOC1"/>
        <w:rPr>
          <w:rFonts w:eastAsiaTheme="minorEastAsia"/>
          <w:noProof/>
          <w:kern w:val="2"/>
          <w:sz w:val="24"/>
          <w:szCs w:val="24"/>
          <w:lang w:eastAsia="en-CA"/>
          <w14:ligatures w14:val="standardContextual"/>
        </w:rPr>
      </w:pPr>
      <w:r>
        <w:rPr>
          <w:noProof/>
        </w:rPr>
        <w:t>Appendix 3. Population of the United States of America</w:t>
      </w:r>
      <w:r>
        <w:rPr>
          <w:noProof/>
        </w:rPr>
        <w:tab/>
      </w:r>
      <w:r>
        <w:rPr>
          <w:noProof/>
        </w:rPr>
        <w:fldChar w:fldCharType="begin"/>
      </w:r>
      <w:r>
        <w:rPr>
          <w:noProof/>
        </w:rPr>
        <w:instrText xml:space="preserve"> PAGEREF _Toc202006252 \h </w:instrText>
      </w:r>
      <w:r>
        <w:rPr>
          <w:noProof/>
        </w:rPr>
      </w:r>
      <w:r>
        <w:rPr>
          <w:noProof/>
        </w:rPr>
        <w:fldChar w:fldCharType="separate"/>
      </w:r>
      <w:r>
        <w:rPr>
          <w:noProof/>
        </w:rPr>
        <w:t>379</w:t>
      </w:r>
      <w:r>
        <w:rPr>
          <w:noProof/>
        </w:rPr>
        <w:fldChar w:fldCharType="end"/>
      </w:r>
    </w:p>
    <w:p w14:paraId="4D7F4F1D" w14:textId="0F7F7E70" w:rsidR="00694F29" w:rsidRDefault="00694F29">
      <w:pPr>
        <w:pStyle w:val="TOC1"/>
        <w:rPr>
          <w:rFonts w:eastAsiaTheme="minorEastAsia"/>
          <w:noProof/>
          <w:kern w:val="2"/>
          <w:sz w:val="24"/>
          <w:szCs w:val="24"/>
          <w:lang w:eastAsia="en-CA"/>
          <w14:ligatures w14:val="standardContextual"/>
        </w:rPr>
      </w:pPr>
      <w:r>
        <w:rPr>
          <w:noProof/>
        </w:rPr>
        <w:t>Appendix 4. Presidents of the United States of America</w:t>
      </w:r>
      <w:r>
        <w:rPr>
          <w:noProof/>
        </w:rPr>
        <w:tab/>
      </w:r>
      <w:r>
        <w:rPr>
          <w:noProof/>
        </w:rPr>
        <w:fldChar w:fldCharType="begin"/>
      </w:r>
      <w:r>
        <w:rPr>
          <w:noProof/>
        </w:rPr>
        <w:instrText xml:space="preserve"> PAGEREF _Toc202006253 \h </w:instrText>
      </w:r>
      <w:r>
        <w:rPr>
          <w:noProof/>
        </w:rPr>
      </w:r>
      <w:r>
        <w:rPr>
          <w:noProof/>
        </w:rPr>
        <w:fldChar w:fldCharType="separate"/>
      </w:r>
      <w:r>
        <w:rPr>
          <w:noProof/>
        </w:rPr>
        <w:t>380</w:t>
      </w:r>
      <w:r>
        <w:rPr>
          <w:noProof/>
        </w:rPr>
        <w:fldChar w:fldCharType="end"/>
      </w:r>
    </w:p>
    <w:p w14:paraId="280AF988" w14:textId="25E8ED8C" w:rsidR="00694F29" w:rsidRDefault="00694F29">
      <w:pPr>
        <w:pStyle w:val="TOC1"/>
        <w:rPr>
          <w:rFonts w:eastAsiaTheme="minorEastAsia"/>
          <w:noProof/>
          <w:kern w:val="2"/>
          <w:sz w:val="24"/>
          <w:szCs w:val="24"/>
          <w:lang w:eastAsia="en-CA"/>
          <w14:ligatures w14:val="standardContextual"/>
        </w:rPr>
      </w:pPr>
      <w:r>
        <w:rPr>
          <w:noProof/>
        </w:rPr>
        <w:t>Appendix 5. Leaders of the Monetary Authority of the United States</w:t>
      </w:r>
      <w:r>
        <w:rPr>
          <w:noProof/>
        </w:rPr>
        <w:tab/>
      </w:r>
      <w:r>
        <w:rPr>
          <w:noProof/>
        </w:rPr>
        <w:fldChar w:fldCharType="begin"/>
      </w:r>
      <w:r>
        <w:rPr>
          <w:noProof/>
        </w:rPr>
        <w:instrText xml:space="preserve"> PAGEREF _Toc202006254 \h </w:instrText>
      </w:r>
      <w:r>
        <w:rPr>
          <w:noProof/>
        </w:rPr>
      </w:r>
      <w:r>
        <w:rPr>
          <w:noProof/>
        </w:rPr>
        <w:fldChar w:fldCharType="separate"/>
      </w:r>
      <w:r>
        <w:rPr>
          <w:noProof/>
        </w:rPr>
        <w:t>381</w:t>
      </w:r>
      <w:r>
        <w:rPr>
          <w:noProof/>
        </w:rPr>
        <w:fldChar w:fldCharType="end"/>
      </w:r>
    </w:p>
    <w:p w14:paraId="4813A2C2" w14:textId="078B974F" w:rsidR="00694F29" w:rsidRDefault="00694F29">
      <w:pPr>
        <w:pStyle w:val="TOC1"/>
        <w:rPr>
          <w:rFonts w:eastAsiaTheme="minorEastAsia"/>
          <w:noProof/>
          <w:kern w:val="2"/>
          <w:sz w:val="24"/>
          <w:szCs w:val="24"/>
          <w:lang w:eastAsia="en-CA"/>
          <w14:ligatures w14:val="standardContextual"/>
        </w:rPr>
      </w:pPr>
      <w:r>
        <w:rPr>
          <w:noProof/>
        </w:rPr>
        <w:t>Appendix 6. Leaders of the Railroad Authority of the United States</w:t>
      </w:r>
      <w:r>
        <w:rPr>
          <w:noProof/>
        </w:rPr>
        <w:tab/>
      </w:r>
      <w:r>
        <w:rPr>
          <w:noProof/>
        </w:rPr>
        <w:fldChar w:fldCharType="begin"/>
      </w:r>
      <w:r>
        <w:rPr>
          <w:noProof/>
        </w:rPr>
        <w:instrText xml:space="preserve"> PAGEREF _Toc202006255 \h </w:instrText>
      </w:r>
      <w:r>
        <w:rPr>
          <w:noProof/>
        </w:rPr>
      </w:r>
      <w:r>
        <w:rPr>
          <w:noProof/>
        </w:rPr>
        <w:fldChar w:fldCharType="separate"/>
      </w:r>
      <w:r>
        <w:rPr>
          <w:noProof/>
        </w:rPr>
        <w:t>382</w:t>
      </w:r>
      <w:r>
        <w:rPr>
          <w:noProof/>
        </w:rPr>
        <w:fldChar w:fldCharType="end"/>
      </w:r>
    </w:p>
    <w:p w14:paraId="3457C9D7" w14:textId="3D09AFF3" w:rsidR="00694F29" w:rsidRDefault="00694F29">
      <w:pPr>
        <w:pStyle w:val="TOC1"/>
        <w:rPr>
          <w:rFonts w:eastAsiaTheme="minorEastAsia"/>
          <w:noProof/>
          <w:kern w:val="2"/>
          <w:sz w:val="24"/>
          <w:szCs w:val="24"/>
          <w:lang w:eastAsia="en-CA"/>
          <w14:ligatures w14:val="standardContextual"/>
        </w:rPr>
      </w:pPr>
      <w:r>
        <w:rPr>
          <w:noProof/>
        </w:rPr>
        <w:t>Bibliography</w:t>
      </w:r>
      <w:r>
        <w:rPr>
          <w:noProof/>
        </w:rPr>
        <w:tab/>
      </w:r>
      <w:r>
        <w:rPr>
          <w:noProof/>
        </w:rPr>
        <w:fldChar w:fldCharType="begin"/>
      </w:r>
      <w:r>
        <w:rPr>
          <w:noProof/>
        </w:rPr>
        <w:instrText xml:space="preserve"> PAGEREF _Toc202006256 \h </w:instrText>
      </w:r>
      <w:r>
        <w:rPr>
          <w:noProof/>
        </w:rPr>
      </w:r>
      <w:r>
        <w:rPr>
          <w:noProof/>
        </w:rPr>
        <w:fldChar w:fldCharType="separate"/>
      </w:r>
      <w:r>
        <w:rPr>
          <w:noProof/>
        </w:rPr>
        <w:t>383</w:t>
      </w:r>
      <w:r>
        <w:rPr>
          <w:noProof/>
        </w:rPr>
        <w:fldChar w:fldCharType="end"/>
      </w:r>
    </w:p>
    <w:p w14:paraId="02AC8E18" w14:textId="26E6FD05" w:rsidR="0083769D" w:rsidRDefault="008E441A" w:rsidP="0083769D">
      <w:pPr>
        <w:pStyle w:val="TOCnormal"/>
      </w:pPr>
      <w:r>
        <w:fldChar w:fldCharType="end"/>
      </w:r>
      <w:r w:rsidR="0083769D">
        <w:br w:type="page"/>
      </w:r>
    </w:p>
    <w:p w14:paraId="54DE98F2" w14:textId="31996AF0" w:rsidR="00141700" w:rsidRDefault="00141700" w:rsidP="00031D2A">
      <w:pPr>
        <w:pStyle w:val="TOCHeader"/>
      </w:pPr>
      <w:r>
        <w:lastRenderedPageBreak/>
        <w:t>Table of Figures</w:t>
      </w:r>
    </w:p>
    <w:p w14:paraId="602B6B7F" w14:textId="278AAB3D" w:rsidR="00063024" w:rsidRDefault="00141700" w:rsidP="00063024">
      <w:pPr>
        <w:pStyle w:val="TOCnormal"/>
        <w:rPr>
          <w:rFonts w:eastAsiaTheme="minorEastAsia"/>
          <w:kern w:val="2"/>
          <w:sz w:val="24"/>
          <w:szCs w:val="24"/>
          <w:lang w:eastAsia="en-CA"/>
          <w14:ligatures w14:val="standardContextual"/>
        </w:rPr>
      </w:pPr>
      <w:r w:rsidRPr="0055070D">
        <w:fldChar w:fldCharType="begin"/>
      </w:r>
      <w:r w:rsidRPr="0055070D">
        <w:instrText xml:space="preserve"> TOC \h \z \c "Figure" </w:instrText>
      </w:r>
      <w:r w:rsidRPr="0055070D">
        <w:fldChar w:fldCharType="separate"/>
      </w:r>
      <w:hyperlink w:anchor="_Toc202006257" w:history="1">
        <w:r w:rsidR="00063024" w:rsidRPr="00586B96">
          <w:rPr>
            <w:rStyle w:val="Hyperlink"/>
          </w:rPr>
          <w:t>Figure 1: National debt, 1801-9</w:t>
        </w:r>
        <w:r w:rsidR="00063024">
          <w:rPr>
            <w:webHidden/>
          </w:rPr>
          <w:tab/>
        </w:r>
        <w:r w:rsidR="00063024">
          <w:rPr>
            <w:webHidden/>
          </w:rPr>
          <w:fldChar w:fldCharType="begin"/>
        </w:r>
        <w:r w:rsidR="00063024">
          <w:rPr>
            <w:webHidden/>
          </w:rPr>
          <w:instrText xml:space="preserve"> PAGEREF _Toc202006257 \h </w:instrText>
        </w:r>
        <w:r w:rsidR="00063024">
          <w:rPr>
            <w:webHidden/>
          </w:rPr>
        </w:r>
        <w:r w:rsidR="00063024">
          <w:rPr>
            <w:webHidden/>
          </w:rPr>
          <w:fldChar w:fldCharType="separate"/>
        </w:r>
        <w:r w:rsidR="00063024">
          <w:rPr>
            <w:webHidden/>
          </w:rPr>
          <w:t>10</w:t>
        </w:r>
        <w:r w:rsidR="00063024">
          <w:rPr>
            <w:webHidden/>
          </w:rPr>
          <w:fldChar w:fldCharType="end"/>
        </w:r>
      </w:hyperlink>
    </w:p>
    <w:p w14:paraId="7CC7CEFC" w14:textId="355C2C01" w:rsidR="00063024" w:rsidRDefault="00063024" w:rsidP="00063024">
      <w:pPr>
        <w:pStyle w:val="TOCnormal"/>
        <w:rPr>
          <w:rFonts w:eastAsiaTheme="minorEastAsia"/>
          <w:kern w:val="2"/>
          <w:sz w:val="24"/>
          <w:szCs w:val="24"/>
          <w:lang w:eastAsia="en-CA"/>
          <w14:ligatures w14:val="standardContextual"/>
        </w:rPr>
      </w:pPr>
      <w:hyperlink w:anchor="_Toc202006258" w:history="1">
        <w:r w:rsidRPr="00586B96">
          <w:rPr>
            <w:rStyle w:val="Hyperlink"/>
          </w:rPr>
          <w:t>Figure 2. The 1812 election, by state</w:t>
        </w:r>
        <w:r>
          <w:rPr>
            <w:webHidden/>
          </w:rPr>
          <w:tab/>
        </w:r>
        <w:r>
          <w:rPr>
            <w:webHidden/>
          </w:rPr>
          <w:fldChar w:fldCharType="begin"/>
        </w:r>
        <w:r>
          <w:rPr>
            <w:webHidden/>
          </w:rPr>
          <w:instrText xml:space="preserve"> PAGEREF _Toc202006258 \h </w:instrText>
        </w:r>
        <w:r>
          <w:rPr>
            <w:webHidden/>
          </w:rPr>
        </w:r>
        <w:r>
          <w:rPr>
            <w:webHidden/>
          </w:rPr>
          <w:fldChar w:fldCharType="separate"/>
        </w:r>
        <w:r>
          <w:rPr>
            <w:webHidden/>
          </w:rPr>
          <w:t>20</w:t>
        </w:r>
        <w:r>
          <w:rPr>
            <w:webHidden/>
          </w:rPr>
          <w:fldChar w:fldCharType="end"/>
        </w:r>
      </w:hyperlink>
    </w:p>
    <w:p w14:paraId="185C9050" w14:textId="1F1BD16F" w:rsidR="00063024" w:rsidRDefault="00063024" w:rsidP="00063024">
      <w:pPr>
        <w:pStyle w:val="TOCnormal"/>
        <w:rPr>
          <w:rFonts w:eastAsiaTheme="minorEastAsia"/>
          <w:kern w:val="2"/>
          <w:sz w:val="24"/>
          <w:szCs w:val="24"/>
          <w:lang w:eastAsia="en-CA"/>
          <w14:ligatures w14:val="standardContextual"/>
        </w:rPr>
      </w:pPr>
      <w:hyperlink w:anchor="_Toc202006259" w:history="1">
        <w:r w:rsidRPr="00586B96">
          <w:rPr>
            <w:rStyle w:val="Hyperlink"/>
          </w:rPr>
          <w:t>Figure 3. The 1816 election, by state</w:t>
        </w:r>
        <w:r>
          <w:rPr>
            <w:webHidden/>
          </w:rPr>
          <w:tab/>
        </w:r>
        <w:r>
          <w:rPr>
            <w:webHidden/>
          </w:rPr>
          <w:fldChar w:fldCharType="begin"/>
        </w:r>
        <w:r>
          <w:rPr>
            <w:webHidden/>
          </w:rPr>
          <w:instrText xml:space="preserve"> PAGEREF _Toc202006259 \h </w:instrText>
        </w:r>
        <w:r>
          <w:rPr>
            <w:webHidden/>
          </w:rPr>
        </w:r>
        <w:r>
          <w:rPr>
            <w:webHidden/>
          </w:rPr>
          <w:fldChar w:fldCharType="separate"/>
        </w:r>
        <w:r>
          <w:rPr>
            <w:webHidden/>
          </w:rPr>
          <w:t>24</w:t>
        </w:r>
        <w:r>
          <w:rPr>
            <w:webHidden/>
          </w:rPr>
          <w:fldChar w:fldCharType="end"/>
        </w:r>
      </w:hyperlink>
    </w:p>
    <w:p w14:paraId="3218FCCB" w14:textId="3433C88B" w:rsidR="00063024" w:rsidRDefault="00063024" w:rsidP="00063024">
      <w:pPr>
        <w:pStyle w:val="TOCnormal"/>
        <w:rPr>
          <w:rFonts w:eastAsiaTheme="minorEastAsia"/>
          <w:kern w:val="2"/>
          <w:sz w:val="24"/>
          <w:szCs w:val="24"/>
          <w:lang w:eastAsia="en-CA"/>
          <w14:ligatures w14:val="standardContextual"/>
        </w:rPr>
      </w:pPr>
      <w:hyperlink w:anchor="_Toc202006260" w:history="1">
        <w:r w:rsidRPr="00586B96">
          <w:rPr>
            <w:rStyle w:val="Hyperlink"/>
          </w:rPr>
          <w:t>Figure 4: Population of Luisiana and the Floridas 1800-1825</w:t>
        </w:r>
        <w:r>
          <w:rPr>
            <w:webHidden/>
          </w:rPr>
          <w:tab/>
        </w:r>
        <w:r>
          <w:rPr>
            <w:webHidden/>
          </w:rPr>
          <w:fldChar w:fldCharType="begin"/>
        </w:r>
        <w:r>
          <w:rPr>
            <w:webHidden/>
          </w:rPr>
          <w:instrText xml:space="preserve"> PAGEREF _Toc202006260 \h </w:instrText>
        </w:r>
        <w:r>
          <w:rPr>
            <w:webHidden/>
          </w:rPr>
        </w:r>
        <w:r>
          <w:rPr>
            <w:webHidden/>
          </w:rPr>
          <w:fldChar w:fldCharType="separate"/>
        </w:r>
        <w:r>
          <w:rPr>
            <w:webHidden/>
          </w:rPr>
          <w:t>61</w:t>
        </w:r>
        <w:r>
          <w:rPr>
            <w:webHidden/>
          </w:rPr>
          <w:fldChar w:fldCharType="end"/>
        </w:r>
      </w:hyperlink>
    </w:p>
    <w:p w14:paraId="03A6C646" w14:textId="63690AB5" w:rsidR="00063024" w:rsidRDefault="00063024" w:rsidP="00063024">
      <w:pPr>
        <w:pStyle w:val="TOCnormal"/>
        <w:rPr>
          <w:rFonts w:eastAsiaTheme="minorEastAsia"/>
          <w:kern w:val="2"/>
          <w:sz w:val="24"/>
          <w:szCs w:val="24"/>
          <w:lang w:eastAsia="en-CA"/>
          <w14:ligatures w14:val="standardContextual"/>
        </w:rPr>
      </w:pPr>
      <w:hyperlink w:anchor="_Toc202006261" w:history="1">
        <w:r w:rsidRPr="00586B96">
          <w:rPr>
            <w:rStyle w:val="Hyperlink"/>
          </w:rPr>
          <w:t>Figure 5: The 1820 election, by state</w:t>
        </w:r>
        <w:r>
          <w:rPr>
            <w:webHidden/>
          </w:rPr>
          <w:tab/>
        </w:r>
        <w:r>
          <w:rPr>
            <w:webHidden/>
          </w:rPr>
          <w:fldChar w:fldCharType="begin"/>
        </w:r>
        <w:r>
          <w:rPr>
            <w:webHidden/>
          </w:rPr>
          <w:instrText xml:space="preserve"> PAGEREF _Toc202006261 \h </w:instrText>
        </w:r>
        <w:r>
          <w:rPr>
            <w:webHidden/>
          </w:rPr>
        </w:r>
        <w:r>
          <w:rPr>
            <w:webHidden/>
          </w:rPr>
          <w:fldChar w:fldCharType="separate"/>
        </w:r>
        <w:r>
          <w:rPr>
            <w:webHidden/>
          </w:rPr>
          <w:t>67</w:t>
        </w:r>
        <w:r>
          <w:rPr>
            <w:webHidden/>
          </w:rPr>
          <w:fldChar w:fldCharType="end"/>
        </w:r>
      </w:hyperlink>
    </w:p>
    <w:p w14:paraId="30112CB2" w14:textId="7BCF75F8" w:rsidR="00063024" w:rsidRDefault="00063024" w:rsidP="00063024">
      <w:pPr>
        <w:pStyle w:val="TOCnormal"/>
        <w:rPr>
          <w:rFonts w:eastAsiaTheme="minorEastAsia"/>
          <w:kern w:val="2"/>
          <w:sz w:val="24"/>
          <w:szCs w:val="24"/>
          <w:lang w:eastAsia="en-CA"/>
          <w14:ligatures w14:val="standardContextual"/>
        </w:rPr>
      </w:pPr>
      <w:hyperlink w:anchor="_Toc202006262" w:history="1">
        <w:r w:rsidRPr="00586B96">
          <w:rPr>
            <w:rStyle w:val="Hyperlink"/>
          </w:rPr>
          <w:t>Figure 6: The US Navy, 1817-1825</w:t>
        </w:r>
        <w:r>
          <w:rPr>
            <w:webHidden/>
          </w:rPr>
          <w:tab/>
        </w:r>
        <w:r>
          <w:rPr>
            <w:webHidden/>
          </w:rPr>
          <w:fldChar w:fldCharType="begin"/>
        </w:r>
        <w:r>
          <w:rPr>
            <w:webHidden/>
          </w:rPr>
          <w:instrText xml:space="preserve"> PAGEREF _Toc202006262 \h </w:instrText>
        </w:r>
        <w:r>
          <w:rPr>
            <w:webHidden/>
          </w:rPr>
        </w:r>
        <w:r>
          <w:rPr>
            <w:webHidden/>
          </w:rPr>
          <w:fldChar w:fldCharType="separate"/>
        </w:r>
        <w:r>
          <w:rPr>
            <w:webHidden/>
          </w:rPr>
          <w:t>74</w:t>
        </w:r>
        <w:r>
          <w:rPr>
            <w:webHidden/>
          </w:rPr>
          <w:fldChar w:fldCharType="end"/>
        </w:r>
      </w:hyperlink>
    </w:p>
    <w:p w14:paraId="1DEC6429" w14:textId="1613F3EA" w:rsidR="00063024" w:rsidRDefault="00063024" w:rsidP="00063024">
      <w:pPr>
        <w:pStyle w:val="TOCnormal"/>
        <w:rPr>
          <w:rFonts w:eastAsiaTheme="minorEastAsia"/>
          <w:kern w:val="2"/>
          <w:sz w:val="24"/>
          <w:szCs w:val="24"/>
          <w:lang w:eastAsia="en-CA"/>
          <w14:ligatures w14:val="standardContextual"/>
        </w:rPr>
      </w:pPr>
      <w:hyperlink w:anchor="_Toc202006263" w:history="1">
        <w:r w:rsidRPr="00586B96">
          <w:rPr>
            <w:rStyle w:val="Hyperlink"/>
          </w:rPr>
          <w:t>Figure 7: The 1832 election, by state</w:t>
        </w:r>
        <w:r>
          <w:rPr>
            <w:webHidden/>
          </w:rPr>
          <w:tab/>
        </w:r>
        <w:r>
          <w:rPr>
            <w:webHidden/>
          </w:rPr>
          <w:fldChar w:fldCharType="begin"/>
        </w:r>
        <w:r>
          <w:rPr>
            <w:webHidden/>
          </w:rPr>
          <w:instrText xml:space="preserve"> PAGEREF _Toc202006263 \h </w:instrText>
        </w:r>
        <w:r>
          <w:rPr>
            <w:webHidden/>
          </w:rPr>
        </w:r>
        <w:r>
          <w:rPr>
            <w:webHidden/>
          </w:rPr>
          <w:fldChar w:fldCharType="separate"/>
        </w:r>
        <w:r>
          <w:rPr>
            <w:webHidden/>
          </w:rPr>
          <w:t>134</w:t>
        </w:r>
        <w:r>
          <w:rPr>
            <w:webHidden/>
          </w:rPr>
          <w:fldChar w:fldCharType="end"/>
        </w:r>
      </w:hyperlink>
    </w:p>
    <w:p w14:paraId="10CB34EA" w14:textId="71D2EC7F" w:rsidR="00063024" w:rsidRDefault="00063024" w:rsidP="00063024">
      <w:pPr>
        <w:pStyle w:val="TOCnormal"/>
        <w:rPr>
          <w:rFonts w:eastAsiaTheme="minorEastAsia"/>
          <w:kern w:val="2"/>
          <w:sz w:val="24"/>
          <w:szCs w:val="24"/>
          <w:lang w:eastAsia="en-CA"/>
          <w14:ligatures w14:val="standardContextual"/>
        </w:rPr>
      </w:pPr>
      <w:hyperlink w:anchor="_Toc202006264" w:history="1">
        <w:r w:rsidRPr="00586B96">
          <w:rPr>
            <w:rStyle w:val="Hyperlink"/>
          </w:rPr>
          <w:t>Figure 8: The 1836 election, by state</w:t>
        </w:r>
        <w:r>
          <w:rPr>
            <w:webHidden/>
          </w:rPr>
          <w:tab/>
        </w:r>
        <w:r>
          <w:rPr>
            <w:webHidden/>
          </w:rPr>
          <w:fldChar w:fldCharType="begin"/>
        </w:r>
        <w:r>
          <w:rPr>
            <w:webHidden/>
          </w:rPr>
          <w:instrText xml:space="preserve"> PAGEREF _Toc202006264 \h </w:instrText>
        </w:r>
        <w:r>
          <w:rPr>
            <w:webHidden/>
          </w:rPr>
        </w:r>
        <w:r>
          <w:rPr>
            <w:webHidden/>
          </w:rPr>
          <w:fldChar w:fldCharType="separate"/>
        </w:r>
        <w:r>
          <w:rPr>
            <w:webHidden/>
          </w:rPr>
          <w:t>157</w:t>
        </w:r>
        <w:r>
          <w:rPr>
            <w:webHidden/>
          </w:rPr>
          <w:fldChar w:fldCharType="end"/>
        </w:r>
      </w:hyperlink>
    </w:p>
    <w:p w14:paraId="5EB9BB70" w14:textId="62006C8F" w:rsidR="00063024" w:rsidRDefault="00063024" w:rsidP="00063024">
      <w:pPr>
        <w:pStyle w:val="TOCnormal"/>
        <w:rPr>
          <w:rFonts w:eastAsiaTheme="minorEastAsia"/>
          <w:kern w:val="2"/>
          <w:sz w:val="24"/>
          <w:szCs w:val="24"/>
          <w:lang w:eastAsia="en-CA"/>
          <w14:ligatures w14:val="standardContextual"/>
        </w:rPr>
      </w:pPr>
      <w:hyperlink w:anchor="_Toc202006265" w:history="1">
        <w:r w:rsidRPr="00586B96">
          <w:rPr>
            <w:rStyle w:val="Hyperlink"/>
          </w:rPr>
          <w:t>Figure 9: The 1840 election, by state</w:t>
        </w:r>
        <w:r>
          <w:rPr>
            <w:webHidden/>
          </w:rPr>
          <w:tab/>
        </w:r>
        <w:r>
          <w:rPr>
            <w:webHidden/>
          </w:rPr>
          <w:fldChar w:fldCharType="begin"/>
        </w:r>
        <w:r>
          <w:rPr>
            <w:webHidden/>
          </w:rPr>
          <w:instrText xml:space="preserve"> PAGEREF _Toc202006265 \h </w:instrText>
        </w:r>
        <w:r>
          <w:rPr>
            <w:webHidden/>
          </w:rPr>
        </w:r>
        <w:r>
          <w:rPr>
            <w:webHidden/>
          </w:rPr>
          <w:fldChar w:fldCharType="separate"/>
        </w:r>
        <w:r>
          <w:rPr>
            <w:webHidden/>
          </w:rPr>
          <w:t>186</w:t>
        </w:r>
        <w:r>
          <w:rPr>
            <w:webHidden/>
          </w:rPr>
          <w:fldChar w:fldCharType="end"/>
        </w:r>
      </w:hyperlink>
    </w:p>
    <w:p w14:paraId="1658AE01" w14:textId="676F9D8E" w:rsidR="00063024" w:rsidRDefault="00063024" w:rsidP="00063024">
      <w:pPr>
        <w:pStyle w:val="TOCnormal"/>
        <w:rPr>
          <w:rFonts w:eastAsiaTheme="minorEastAsia"/>
          <w:kern w:val="2"/>
          <w:sz w:val="24"/>
          <w:szCs w:val="24"/>
          <w:lang w:eastAsia="en-CA"/>
          <w14:ligatures w14:val="standardContextual"/>
        </w:rPr>
      </w:pPr>
      <w:hyperlink w:anchor="_Toc202006266" w:history="1">
        <w:r w:rsidRPr="00586B96">
          <w:rPr>
            <w:rStyle w:val="Hyperlink"/>
          </w:rPr>
          <w:t>Figure 10: The 1848 election, by state</w:t>
        </w:r>
        <w:r>
          <w:rPr>
            <w:webHidden/>
          </w:rPr>
          <w:tab/>
        </w:r>
        <w:r>
          <w:rPr>
            <w:webHidden/>
          </w:rPr>
          <w:fldChar w:fldCharType="begin"/>
        </w:r>
        <w:r>
          <w:rPr>
            <w:webHidden/>
          </w:rPr>
          <w:instrText xml:space="preserve"> PAGEREF _Toc202006266 \h </w:instrText>
        </w:r>
        <w:r>
          <w:rPr>
            <w:webHidden/>
          </w:rPr>
        </w:r>
        <w:r>
          <w:rPr>
            <w:webHidden/>
          </w:rPr>
          <w:fldChar w:fldCharType="separate"/>
        </w:r>
        <w:r>
          <w:rPr>
            <w:webHidden/>
          </w:rPr>
          <w:t>239</w:t>
        </w:r>
        <w:r>
          <w:rPr>
            <w:webHidden/>
          </w:rPr>
          <w:fldChar w:fldCharType="end"/>
        </w:r>
      </w:hyperlink>
    </w:p>
    <w:p w14:paraId="63180892" w14:textId="4C021A95" w:rsidR="00063024" w:rsidRDefault="00063024" w:rsidP="00063024">
      <w:pPr>
        <w:pStyle w:val="TOCnormal"/>
        <w:rPr>
          <w:rFonts w:eastAsiaTheme="minorEastAsia"/>
          <w:kern w:val="2"/>
          <w:sz w:val="24"/>
          <w:szCs w:val="24"/>
          <w:lang w:eastAsia="en-CA"/>
          <w14:ligatures w14:val="standardContextual"/>
        </w:rPr>
      </w:pPr>
      <w:hyperlink w:anchor="_Toc202006267" w:history="1">
        <w:r w:rsidRPr="00586B96">
          <w:rPr>
            <w:rStyle w:val="Hyperlink"/>
          </w:rPr>
          <w:t>Figure 11: Population of the capital District of Columbia, 1800-1850</w:t>
        </w:r>
        <w:r>
          <w:rPr>
            <w:webHidden/>
          </w:rPr>
          <w:tab/>
        </w:r>
        <w:r>
          <w:rPr>
            <w:webHidden/>
          </w:rPr>
          <w:fldChar w:fldCharType="begin"/>
        </w:r>
        <w:r>
          <w:rPr>
            <w:webHidden/>
          </w:rPr>
          <w:instrText xml:space="preserve"> PAGEREF _Toc202006267 \h </w:instrText>
        </w:r>
        <w:r>
          <w:rPr>
            <w:webHidden/>
          </w:rPr>
        </w:r>
        <w:r>
          <w:rPr>
            <w:webHidden/>
          </w:rPr>
          <w:fldChar w:fldCharType="separate"/>
        </w:r>
        <w:r>
          <w:rPr>
            <w:webHidden/>
          </w:rPr>
          <w:t>249</w:t>
        </w:r>
        <w:r>
          <w:rPr>
            <w:webHidden/>
          </w:rPr>
          <w:fldChar w:fldCharType="end"/>
        </w:r>
      </w:hyperlink>
    </w:p>
    <w:p w14:paraId="2C0DA953" w14:textId="51B350ED" w:rsidR="00063024" w:rsidRDefault="00063024" w:rsidP="00063024">
      <w:pPr>
        <w:pStyle w:val="TOCnormal"/>
        <w:rPr>
          <w:rFonts w:eastAsiaTheme="minorEastAsia"/>
          <w:kern w:val="2"/>
          <w:sz w:val="24"/>
          <w:szCs w:val="24"/>
          <w:lang w:eastAsia="en-CA"/>
          <w14:ligatures w14:val="standardContextual"/>
        </w:rPr>
      </w:pPr>
      <w:hyperlink w:anchor="_Toc202006268" w:history="1">
        <w:r w:rsidRPr="00586B96">
          <w:rPr>
            <w:rStyle w:val="Hyperlink"/>
          </w:rPr>
          <w:t>Figure 12: Telegraph wire length, 1847-1868</w:t>
        </w:r>
        <w:r>
          <w:rPr>
            <w:webHidden/>
          </w:rPr>
          <w:tab/>
        </w:r>
        <w:r>
          <w:rPr>
            <w:webHidden/>
          </w:rPr>
          <w:fldChar w:fldCharType="begin"/>
        </w:r>
        <w:r>
          <w:rPr>
            <w:webHidden/>
          </w:rPr>
          <w:instrText xml:space="preserve"> PAGEREF _Toc202006268 \h </w:instrText>
        </w:r>
        <w:r>
          <w:rPr>
            <w:webHidden/>
          </w:rPr>
        </w:r>
        <w:r>
          <w:rPr>
            <w:webHidden/>
          </w:rPr>
          <w:fldChar w:fldCharType="separate"/>
        </w:r>
        <w:r>
          <w:rPr>
            <w:webHidden/>
          </w:rPr>
          <w:t>263</w:t>
        </w:r>
        <w:r>
          <w:rPr>
            <w:webHidden/>
          </w:rPr>
          <w:fldChar w:fldCharType="end"/>
        </w:r>
      </w:hyperlink>
    </w:p>
    <w:p w14:paraId="2325984A" w14:textId="6441A123" w:rsidR="00063024" w:rsidRDefault="00063024" w:rsidP="00063024">
      <w:pPr>
        <w:pStyle w:val="TOCnormal"/>
        <w:rPr>
          <w:rFonts w:eastAsiaTheme="minorEastAsia"/>
          <w:kern w:val="2"/>
          <w:sz w:val="24"/>
          <w:szCs w:val="24"/>
          <w:lang w:eastAsia="en-CA"/>
          <w14:ligatures w14:val="standardContextual"/>
        </w:rPr>
      </w:pPr>
      <w:hyperlink w:anchor="_Toc202006269" w:history="1">
        <w:r w:rsidRPr="00586B96">
          <w:rPr>
            <w:rStyle w:val="Hyperlink"/>
          </w:rPr>
          <w:t>Figure 13: The 1852 election, by state</w:t>
        </w:r>
        <w:r>
          <w:rPr>
            <w:webHidden/>
          </w:rPr>
          <w:tab/>
        </w:r>
        <w:r>
          <w:rPr>
            <w:webHidden/>
          </w:rPr>
          <w:fldChar w:fldCharType="begin"/>
        </w:r>
        <w:r>
          <w:rPr>
            <w:webHidden/>
          </w:rPr>
          <w:instrText xml:space="preserve"> PAGEREF _Toc202006269 \h </w:instrText>
        </w:r>
        <w:r>
          <w:rPr>
            <w:webHidden/>
          </w:rPr>
        </w:r>
        <w:r>
          <w:rPr>
            <w:webHidden/>
          </w:rPr>
          <w:fldChar w:fldCharType="separate"/>
        </w:r>
        <w:r>
          <w:rPr>
            <w:webHidden/>
          </w:rPr>
          <w:t>303</w:t>
        </w:r>
        <w:r>
          <w:rPr>
            <w:webHidden/>
          </w:rPr>
          <w:fldChar w:fldCharType="end"/>
        </w:r>
      </w:hyperlink>
    </w:p>
    <w:p w14:paraId="74501F21" w14:textId="6F522496" w:rsidR="00063024" w:rsidRDefault="00063024" w:rsidP="00063024">
      <w:pPr>
        <w:pStyle w:val="TOCnormal"/>
        <w:rPr>
          <w:rFonts w:eastAsiaTheme="minorEastAsia"/>
          <w:kern w:val="2"/>
          <w:sz w:val="24"/>
          <w:szCs w:val="24"/>
          <w:lang w:eastAsia="en-CA"/>
          <w14:ligatures w14:val="standardContextual"/>
        </w:rPr>
      </w:pPr>
      <w:hyperlink w:anchor="_Toc202006270" w:history="1">
        <w:r w:rsidRPr="00586B96">
          <w:rPr>
            <w:rStyle w:val="Hyperlink"/>
          </w:rPr>
          <w:t>Figure 14: The 1856 election, by state</w:t>
        </w:r>
        <w:r>
          <w:rPr>
            <w:webHidden/>
          </w:rPr>
          <w:tab/>
        </w:r>
        <w:r>
          <w:rPr>
            <w:webHidden/>
          </w:rPr>
          <w:fldChar w:fldCharType="begin"/>
        </w:r>
        <w:r>
          <w:rPr>
            <w:webHidden/>
          </w:rPr>
          <w:instrText xml:space="preserve"> PAGEREF _Toc202006270 \h </w:instrText>
        </w:r>
        <w:r>
          <w:rPr>
            <w:webHidden/>
          </w:rPr>
        </w:r>
        <w:r>
          <w:rPr>
            <w:webHidden/>
          </w:rPr>
          <w:fldChar w:fldCharType="separate"/>
        </w:r>
        <w:r>
          <w:rPr>
            <w:webHidden/>
          </w:rPr>
          <w:t>366</w:t>
        </w:r>
        <w:r>
          <w:rPr>
            <w:webHidden/>
          </w:rPr>
          <w:fldChar w:fldCharType="end"/>
        </w:r>
      </w:hyperlink>
    </w:p>
    <w:p w14:paraId="6A6FBD7F" w14:textId="40C7236F" w:rsidR="00DF4F27" w:rsidRDefault="00141700" w:rsidP="00063024">
      <w:pPr>
        <w:pStyle w:val="TOCnormal"/>
      </w:pPr>
      <w:r w:rsidRPr="0055070D">
        <w:fldChar w:fldCharType="end"/>
      </w:r>
    </w:p>
    <w:p w14:paraId="49AA0E5B" w14:textId="77777777" w:rsidR="0055070D" w:rsidRDefault="0055070D" w:rsidP="00063024">
      <w:pPr>
        <w:pStyle w:val="TOCnormal"/>
      </w:pPr>
    </w:p>
    <w:p w14:paraId="07BA49A3" w14:textId="25E71BBF" w:rsidR="0055070D" w:rsidRDefault="0055070D" w:rsidP="00063024">
      <w:pPr>
        <w:pStyle w:val="TOCnormal"/>
        <w:sectPr w:rsidR="0055070D" w:rsidSect="00DF4F27">
          <w:endnotePr>
            <w:numFmt w:val="decimal"/>
          </w:endnotePr>
          <w:type w:val="continuous"/>
          <w:pgSz w:w="12240" w:h="15840"/>
          <w:pgMar w:top="1440" w:right="1440" w:bottom="1440" w:left="1440" w:header="708" w:footer="708" w:gutter="0"/>
          <w:pgNumType w:start="0"/>
          <w:cols w:space="708"/>
          <w:titlePg/>
          <w:docGrid w:linePitch="360"/>
        </w:sectPr>
      </w:pPr>
    </w:p>
    <w:p w14:paraId="2DD6B84E" w14:textId="10A7A625" w:rsidR="008E441A" w:rsidRDefault="008E441A" w:rsidP="00AA7DB7">
      <w:pPr>
        <w:pStyle w:val="TOCnormal"/>
      </w:pPr>
      <w:r>
        <w:br w:type="page"/>
      </w:r>
    </w:p>
    <w:p w14:paraId="607B45F4" w14:textId="6CBBFB1F" w:rsidR="008E441A" w:rsidRPr="0004309F" w:rsidRDefault="00F27305" w:rsidP="00C91F77">
      <w:pPr>
        <w:pStyle w:val="Heading1"/>
      </w:pPr>
      <w:bookmarkStart w:id="0" w:name="_Toc202006200"/>
      <w:r>
        <w:lastRenderedPageBreak/>
        <w:t xml:space="preserve">1. </w:t>
      </w:r>
      <w:r w:rsidR="008E441A" w:rsidRPr="0004309F">
        <w:t>The Revolution of 1800</w:t>
      </w:r>
      <w:bookmarkEnd w:id="0"/>
    </w:p>
    <w:p w14:paraId="10A2A2AF" w14:textId="5339EA6B" w:rsidR="008E441A" w:rsidRDefault="008E441A" w:rsidP="009D2A1D">
      <w:r>
        <w:t xml:space="preserve">By 1800, the United States was, if </w:t>
      </w:r>
      <w:r w:rsidR="0004309F">
        <w:t>still young, out of its awkward adolescence. The national disarray of the Confederation years</w:t>
      </w:r>
      <w:r w:rsidR="008E39CB">
        <w:t>, when the nation seemed on the verge of collapse repeatedly and the Congress little more than an assembly of ministers plenipotentiary,</w:t>
      </w:r>
      <w:r w:rsidR="0004309F">
        <w:t xml:space="preserve"> had been put behind it by the ratification of the Constitution of 1787, and the new </w:t>
      </w:r>
      <w:r w:rsidR="0004309F" w:rsidRPr="00382409">
        <w:t>institutions</w:t>
      </w:r>
      <w:r w:rsidR="0004309F">
        <w:t xml:space="preserve"> it established</w:t>
      </w:r>
      <w:r w:rsidR="006C3559">
        <w:t>,</w:t>
      </w:r>
      <w:r w:rsidR="0004309F">
        <w:t xml:space="preserve"> truly </w:t>
      </w:r>
      <w:r w:rsidR="0004309F" w:rsidRPr="009D2A1D">
        <w:t>unified</w:t>
      </w:r>
      <w:r w:rsidR="0004309F">
        <w:t xml:space="preserve"> the nation under </w:t>
      </w:r>
      <w:r w:rsidR="008E39CB">
        <w:t>a</w:t>
      </w:r>
      <w:r w:rsidR="0004309F">
        <w:t xml:space="preserve"> single </w:t>
      </w:r>
      <w:r w:rsidR="008E39CB">
        <w:t xml:space="preserve">federal government consisting of the presidency, the two Houses of Congress, and </w:t>
      </w:r>
      <w:r w:rsidR="00120575">
        <w:t>a Supreme Court</w:t>
      </w:r>
      <w:r w:rsidR="0004309F">
        <w:t>. The economies of the several states began to unite into one,</w:t>
      </w:r>
      <w:r w:rsidR="00F14C75">
        <w:t xml:space="preserve"> the nation slowly turned into a single cohesive unit,</w:t>
      </w:r>
      <w:r w:rsidR="0004309F">
        <w:t xml:space="preserve"> and the immediate fear of national collapse began to subside. </w:t>
      </w:r>
    </w:p>
    <w:p w14:paraId="785ACDB5" w14:textId="56A6CC70" w:rsidR="0004309F" w:rsidRDefault="0004309F" w:rsidP="009D2A1D">
      <w:r>
        <w:t xml:space="preserve">However, this also saw the rise of several growing pains. The </w:t>
      </w:r>
      <w:proofErr w:type="spellStart"/>
      <w:r>
        <w:t>nonpartisan</w:t>
      </w:r>
      <w:r w:rsidR="0045708A">
        <w:t>ism</w:t>
      </w:r>
      <w:proofErr w:type="spellEnd"/>
      <w:r>
        <w:t xml:space="preserve"> </w:t>
      </w:r>
      <w:r w:rsidR="007E3B20">
        <w:t xml:space="preserve">that surrounded President Washington </w:t>
      </w:r>
      <w:r w:rsidR="00757B86">
        <w:t xml:space="preserve">when he first became president in 1789 began to fall apart, around the rivalry between his ambitious Secretary of the Treasury Alexander Hamilton and his equally ambitious Secretary of State Thomas Jefferson. </w:t>
      </w:r>
      <w:r w:rsidR="005E48C0">
        <w:t xml:space="preserve">Hamilton’s desires to establish an eastern-looking United States of bankers and commerce-men, that resembled nothing more than </w:t>
      </w:r>
      <w:r w:rsidR="001E49E1">
        <w:t>Britain’s</w:t>
      </w:r>
      <w:r w:rsidR="005E48C0">
        <w:t xml:space="preserve"> </w:t>
      </w:r>
      <w:r w:rsidR="001E49E1">
        <w:t>Guelph monarchy</w:t>
      </w:r>
      <w:r w:rsidR="005E48C0">
        <w:t xml:space="preserve">, clashed with Jefferson’s desires to make a western-looking United States of </w:t>
      </w:r>
      <w:r w:rsidR="008C40F5">
        <w:t>agrarian freeholds and plantations</w:t>
      </w:r>
      <w:r w:rsidR="00D26730">
        <w:rPr>
          <w:rStyle w:val="EndnoteReference"/>
        </w:rPr>
        <w:endnoteReference w:id="1"/>
      </w:r>
      <w:r w:rsidR="005E48C0">
        <w:t xml:space="preserve">. With the outbreak of the French Revolution, this only escalated: to Hamilton, the Revolution was disordered anarchy contrary to </w:t>
      </w:r>
      <w:r w:rsidR="00382409">
        <w:t>Anglo-American tradition</w:t>
      </w:r>
      <w:r w:rsidR="005E48C0">
        <w:t>, and to Jefferson the Revolution was the reverberations of America’s own</w:t>
      </w:r>
      <w:r w:rsidR="000E0777">
        <w:t xml:space="preserve"> and deserved to be celebrated</w:t>
      </w:r>
      <w:r w:rsidR="00ED3D5B">
        <w:t xml:space="preserve"> as such</w:t>
      </w:r>
      <w:r w:rsidR="004C6880">
        <w:t>. It did not take long for these divides to spiral in the open, and it quickly divided the American republic into two national factions</w:t>
      </w:r>
      <w:r w:rsidR="000C74E3">
        <w:rPr>
          <w:rStyle w:val="EndnoteReference"/>
        </w:rPr>
        <w:endnoteReference w:id="2"/>
      </w:r>
      <w:r w:rsidR="00382409">
        <w:t xml:space="preserve">. The signing in 1794 of the Jay Treaty between America and Britain, which promoted Hamiltonian goals of close relations, turned this breach into a chasm; Jefferson finally departed government and fully joined the Republican opposition to Hamilton’s Federalism. </w:t>
      </w:r>
      <w:r w:rsidR="007701CB">
        <w:t xml:space="preserve">Washington’s </w:t>
      </w:r>
      <w:proofErr w:type="spellStart"/>
      <w:r w:rsidR="007701CB">
        <w:t>nonpartisanism</w:t>
      </w:r>
      <w:proofErr w:type="spellEnd"/>
      <w:r w:rsidR="007701CB">
        <w:t xml:space="preserve"> was buried by history; though </w:t>
      </w:r>
      <w:r w:rsidR="007701CB">
        <w:lastRenderedPageBreak/>
        <w:t>today, we remember him as having lacked a party, in truth, he had become a Federalist, and the United States had truly entered an age of party.</w:t>
      </w:r>
    </w:p>
    <w:p w14:paraId="78188DD4" w14:textId="5896A8E5" w:rsidR="004014F6" w:rsidRDefault="00382409" w:rsidP="009D2A1D">
      <w:r>
        <w:t>The 1796 presidential election was the first competitive election in American history</w:t>
      </w:r>
      <w:r w:rsidR="006A1D32">
        <w:t xml:space="preserve"> – the still-popular Washington exhausted after the chaotic politicking of the era</w:t>
      </w:r>
      <w:r w:rsidR="00897CE4">
        <w:t>. Lacking anything resembling systems of committees or conventions, both the Federalist and Republican</w:t>
      </w:r>
      <w:r w:rsidR="005C1B65">
        <w:t xml:space="preserve"> partie</w:t>
      </w:r>
      <w:r w:rsidR="00897CE4">
        <w:t xml:space="preserve">s </w:t>
      </w:r>
      <w:r w:rsidR="005C1B65">
        <w:t>nominated their leaders through simply assembling their congressmen into a caucus and having them nominate candidates by majority vote</w:t>
      </w:r>
      <w:r w:rsidR="00343342">
        <w:t xml:space="preserve">. The obvious deficiencies of this mode of nomination were clear even at this time, </w:t>
      </w:r>
      <w:r w:rsidR="007A07F4">
        <w:t>but this was an unprecedented situation; as far as both sides were concerned, only the houses of Congress could be said to be national institutions</w:t>
      </w:r>
      <w:r w:rsidR="005C1B65">
        <w:t xml:space="preserve">. The Federalists nominated for president John Adams, the incumbent vice president John Adams, a skilled if dull statesman and a doctrinaire follower of Hamiltonian principles, and for vice president they nominated the South Carolinian </w:t>
      </w:r>
      <w:proofErr w:type="gramStart"/>
      <w:r w:rsidR="005C1B65">
        <w:t>diplomat</w:t>
      </w:r>
      <w:proofErr w:type="gramEnd"/>
      <w:r w:rsidR="005C1B65">
        <w:t xml:space="preserve"> Thomas Pinckney</w:t>
      </w:r>
      <w:r w:rsidR="00D36E52">
        <w:t xml:space="preserve">. On the other hand, the Republicans nominated for </w:t>
      </w:r>
      <w:proofErr w:type="gramStart"/>
      <w:r w:rsidR="00D36E52">
        <w:t>president</w:t>
      </w:r>
      <w:proofErr w:type="gramEnd"/>
      <w:r w:rsidR="00D36E52">
        <w:t xml:space="preserve"> Thomas Jefferson, and for vice president they nominated Aaron Burr, who had already made his name as an opponent of Federalism </w:t>
      </w:r>
      <w:proofErr w:type="gramStart"/>
      <w:r w:rsidR="00D36E52">
        <w:t>and</w:t>
      </w:r>
      <w:r w:rsidR="006E000F">
        <w:t>,</w:t>
      </w:r>
      <w:proofErr w:type="gramEnd"/>
      <w:r w:rsidR="006E000F">
        <w:t xml:space="preserve"> being the highest New York Republican,</w:t>
      </w:r>
      <w:r w:rsidR="00D36E52">
        <w:t xml:space="preserve"> </w:t>
      </w:r>
      <w:proofErr w:type="gramStart"/>
      <w:r w:rsidR="00D36E52">
        <w:t>arch-enemy</w:t>
      </w:r>
      <w:proofErr w:type="gramEnd"/>
      <w:r w:rsidR="00D36E52">
        <w:t xml:space="preserve"> of Alexander Hamilton. The ensuing election was bitter and chaotic: the Federalists accused Jefferson of plotting an American Reign of Terror on the French model, while the Republicans accused </w:t>
      </w:r>
      <w:r w:rsidR="001E49E1">
        <w:t>Adams of plotting to establish a Guelph-style monarchy over the United States. The election ended messily: a narrow victory for Adams and the Federalists, that presidential elections were, at this point, indirect and both parties disorganized</w:t>
      </w:r>
      <w:r w:rsidR="004014F6">
        <w:rPr>
          <w:rStyle w:val="EndnoteReference"/>
        </w:rPr>
        <w:endnoteReference w:id="3"/>
      </w:r>
      <w:r w:rsidR="004014F6" w:rsidRPr="004014F6">
        <w:t xml:space="preserve"> </w:t>
      </w:r>
      <w:r w:rsidR="004014F6">
        <w:t>led to his vice president being none other than Thomas Jefferson.</w:t>
      </w:r>
    </w:p>
    <w:p w14:paraId="09886A0A" w14:textId="1A9E5DC8" w:rsidR="009D2A1D" w:rsidRDefault="009D2A1D" w:rsidP="009D2A1D">
      <w:r>
        <w:t xml:space="preserve">The election having gone the way he wanted, Washington </w:t>
      </w:r>
      <w:r w:rsidR="006E000F">
        <w:t>easily handed power off to John Adams</w:t>
      </w:r>
      <w:r w:rsidR="006A1D32">
        <w:t>, who even retained Washington’s cabinet</w:t>
      </w:r>
      <w:r w:rsidR="006E000F">
        <w:t xml:space="preserve">. </w:t>
      </w:r>
      <w:r w:rsidR="006A1D32">
        <w:t>This practically meant Hamilton dominated the government through friendly cabinet secretaries</w:t>
      </w:r>
      <w:r w:rsidR="006A1D32">
        <w:rPr>
          <w:rStyle w:val="EndnoteReference"/>
        </w:rPr>
        <w:endnoteReference w:id="4"/>
      </w:r>
      <w:r w:rsidR="006A1D32">
        <w:t xml:space="preserve">. And inevitably, his presidency became </w:t>
      </w:r>
      <w:r w:rsidR="006A1D32">
        <w:lastRenderedPageBreak/>
        <w:t>consumed with a single question, the question of war with France. The Anglophilic attitude of the Federalists</w:t>
      </w:r>
      <w:r w:rsidR="0063039C">
        <w:t xml:space="preserve">, in the middle of the War of the French Revolution, led to French attacks on American shipping, and Adams, Hamilton and the rest of the Federalist establishment became increasingly belligerent. </w:t>
      </w:r>
      <w:r w:rsidR="00921139">
        <w:t xml:space="preserve">Tensions growing, Adams organized a commission to go to France and negotiate, although that it consisted of two Federalists – John Marshall and Charles C. Pinckney – and one nonpartisan man, Elbridge Gerry. </w:t>
      </w:r>
      <w:r w:rsidR="00D63B22">
        <w:t xml:space="preserve">France’s foreign minister, the infamously slippery </w:t>
      </w:r>
      <w:r w:rsidR="00D63B22" w:rsidRPr="00D63B22">
        <w:t>Charles Maurice de Talleyrand</w:t>
      </w:r>
      <w:r w:rsidR="00D63B22">
        <w:t>, sought first to delay the proceedings, and then he asked for a series of bribes. This culminated in Pinckney rejecting the bribes by saying, in no uncertain terms, “</w:t>
      </w:r>
      <w:r w:rsidR="00D63B22" w:rsidRPr="00D63B22">
        <w:t>No, no, not a sixpence!</w:t>
      </w:r>
      <w:r w:rsidR="00D63B22">
        <w:t xml:space="preserve">”. Concluding the mission a failure, Adams readied for war, and </w:t>
      </w:r>
      <w:r w:rsidR="008D3D8D">
        <w:t>the publication of several dispatches, including the bribe-trail</w:t>
      </w:r>
      <w:r w:rsidR="006018AD">
        <w:t>, in what came to be known as the XYZ Affair</w:t>
      </w:r>
      <w:r w:rsidR="008D3D8D">
        <w:t xml:space="preserve">, led to an uproar which culminated in the approval of attacks on French ships, but </w:t>
      </w:r>
      <w:r w:rsidR="00341887">
        <w:t xml:space="preserve">fearing military retaliation </w:t>
      </w:r>
      <w:r w:rsidR="008D3D8D">
        <w:t>not a war – in what is known as the</w:t>
      </w:r>
      <w:r w:rsidR="000F22F3">
        <w:t xml:space="preserve"> First</w:t>
      </w:r>
      <w:r w:rsidR="008D3D8D">
        <w:t xml:space="preserve"> Quasi</w:t>
      </w:r>
      <w:r w:rsidR="000F22F3">
        <w:t xml:space="preserve"> </w:t>
      </w:r>
      <w:r w:rsidR="008D3D8D">
        <w:t>War</w:t>
      </w:r>
      <w:r w:rsidR="0009006E">
        <w:rPr>
          <w:rStyle w:val="EndnoteReference"/>
        </w:rPr>
        <w:endnoteReference w:id="5"/>
      </w:r>
      <w:r w:rsidR="008D3D8D">
        <w:t xml:space="preserve">. </w:t>
      </w:r>
    </w:p>
    <w:p w14:paraId="04BEE1E6" w14:textId="7F89F9F7" w:rsidR="008304CC" w:rsidRDefault="008D3D8D" w:rsidP="009D2A1D">
      <w:r>
        <w:t>The ensuing conflict blew open the casket of domestic tensions; to Federalists, the Republicans’ endorsement of the French Revolution and opposition to war meant treason</w:t>
      </w:r>
      <w:r w:rsidR="00341887">
        <w:t xml:space="preserve">, and to the Republicans, this was simply a plot to establish a </w:t>
      </w:r>
      <w:r w:rsidR="003936CF">
        <w:t>despotism</w:t>
      </w:r>
      <w:r>
        <w:t xml:space="preserve">. </w:t>
      </w:r>
      <w:r w:rsidR="003936CF">
        <w:t xml:space="preserve">At home, it stoked fears that immigrants were secretly loyal to their mother </w:t>
      </w:r>
      <w:proofErr w:type="gramStart"/>
      <w:r w:rsidR="003936CF">
        <w:t>countries, and</w:t>
      </w:r>
      <w:proofErr w:type="gramEnd"/>
      <w:r w:rsidR="003936CF">
        <w:t xml:space="preserve"> combined with criticism of the war that Hamilton regarded as disloyal, it led to the passage of the Alien and Sedition Acts. </w:t>
      </w:r>
      <w:r w:rsidR="008304CC">
        <w:t>Giving the president broad power to deport immigrants, delaying naturalization, and making it a crime to make false statements against the government, it set the tone for the Adams presidency</w:t>
      </w:r>
      <w:r w:rsidR="00BF1476">
        <w:t xml:space="preserve"> and ensured he would be remembered as a despot</w:t>
      </w:r>
      <w:r w:rsidR="008304CC">
        <w:t xml:space="preserve">. </w:t>
      </w:r>
      <w:r w:rsidR="00236B29">
        <w:t xml:space="preserve">Additionally, </w:t>
      </w:r>
      <w:r w:rsidR="007051C3">
        <w:t>Adams faced growing pressure for escalating the war</w:t>
      </w:r>
      <w:r w:rsidR="00EB76E5">
        <w:t>, to turn it into a war of international conquest</w:t>
      </w:r>
      <w:r w:rsidR="007051C3">
        <w:t xml:space="preserve">. Alexander Hamilton readied himself with increasingly ambitious war plans to not only go after the French, but also to take Louisiana and the </w:t>
      </w:r>
      <w:proofErr w:type="spellStart"/>
      <w:r w:rsidR="007051C3">
        <w:t>Floridas</w:t>
      </w:r>
      <w:proofErr w:type="spellEnd"/>
      <w:r w:rsidR="007051C3">
        <w:t xml:space="preserve"> from their Spanish allies. The 1798 House and Senate elections saw, in the passions of wartime, a Federalist landslide</w:t>
      </w:r>
      <w:r w:rsidR="00A72BDF">
        <w:t xml:space="preserve">, but a backlash slowly escalated. The enforcement </w:t>
      </w:r>
      <w:r w:rsidR="00A72BDF">
        <w:lastRenderedPageBreak/>
        <w:t>of the Sedition Act against political opponents</w:t>
      </w:r>
      <w:r w:rsidR="004455CA">
        <w:t xml:space="preserve"> only sparked further crisis, as it provided easy proof for the Republican charge that the Federalists were plotting to </w:t>
      </w:r>
      <w:r w:rsidR="00F2290E">
        <w:t xml:space="preserve">end constitutional government and </w:t>
      </w:r>
      <w:r w:rsidR="004455CA">
        <w:t xml:space="preserve">establish a despotism. </w:t>
      </w:r>
    </w:p>
    <w:p w14:paraId="36B9C0C0" w14:textId="590B7E71" w:rsidR="004455CA" w:rsidRDefault="004455CA" w:rsidP="009D2A1D">
      <w:r>
        <w:t>This opposition</w:t>
      </w:r>
      <w:r w:rsidR="00D54BAA">
        <w:t xml:space="preserve"> moved, </w:t>
      </w:r>
      <w:r w:rsidR="005E3ADF">
        <w:t>and having been blocked</w:t>
      </w:r>
      <w:r w:rsidR="00D54BAA">
        <w:t xml:space="preserve"> from the newspapers, </w:t>
      </w:r>
      <w:r w:rsidR="005E3ADF">
        <w:t xml:space="preserve">it moved </w:t>
      </w:r>
      <w:r w:rsidR="00D54BAA">
        <w:t>to the Republican-controlled states</w:t>
      </w:r>
      <w:r w:rsidR="008D36D9">
        <w:t>,</w:t>
      </w:r>
      <w:r w:rsidR="00A776AE">
        <w:t xml:space="preserve"> </w:t>
      </w:r>
      <w:r w:rsidR="00D54BAA">
        <w:t>in</w:t>
      </w:r>
      <w:r w:rsidR="00A776AE">
        <w:t xml:space="preserve"> the form of</w:t>
      </w:r>
      <w:r>
        <w:t xml:space="preserve"> the Virginia and Kentucky Resolutions of 1798 and 1799. </w:t>
      </w:r>
      <w:r w:rsidR="00D54BAA">
        <w:t xml:space="preserve">Ghostwritten by Thomas Jefferson and James Madison, respectively, the resolutions not only declared the Alien and Sedition Acts bad laws, but </w:t>
      </w:r>
      <w:r w:rsidR="00085752">
        <w:t xml:space="preserve">they </w:t>
      </w:r>
      <w:r w:rsidR="00D54BAA">
        <w:t>also</w:t>
      </w:r>
      <w:r w:rsidR="00085752">
        <w:t xml:space="preserve"> declared it</w:t>
      </w:r>
      <w:r w:rsidR="00D54BAA">
        <w:t xml:space="preserve"> unconstitutional. </w:t>
      </w:r>
      <w:r w:rsidR="001A05EF">
        <w:t>The Virginia Resolutions merely declared each state could declare laws unconstitutional, but the Kentucky Resolutions went so far as to declare states could entirely nullify laws within their boundaries. If either state had hoped to get others to join them, they entirely failed; instead, most states, including those controlled by Republicans, rejected them outright.</w:t>
      </w:r>
      <w:r w:rsidR="006018AD">
        <w:t xml:space="preserve"> </w:t>
      </w:r>
      <w:r w:rsidR="001A05EF">
        <w:t>And Hamilton, hard at work on building up the army, suggested launching a military force into Virginia to suppress its government</w:t>
      </w:r>
      <w:r w:rsidR="006018AD">
        <w:t>.</w:t>
      </w:r>
      <w:r w:rsidR="001A05EF">
        <w:t xml:space="preserve"> </w:t>
      </w:r>
      <w:r w:rsidR="006018AD">
        <w:t>As t</w:t>
      </w:r>
      <w:r w:rsidR="001A05EF">
        <w:t>he national crisis continued to deepen</w:t>
      </w:r>
      <w:r w:rsidR="006018AD">
        <w:t>;</w:t>
      </w:r>
      <w:r w:rsidR="001A05EF">
        <w:t xml:space="preserve"> </w:t>
      </w:r>
      <w:r w:rsidR="00D973D5">
        <w:t xml:space="preserve">as 1799 turned to 1800, all could see the ensuing election would be a most </w:t>
      </w:r>
      <w:r w:rsidR="006018AD">
        <w:t>chaotic</w:t>
      </w:r>
      <w:r w:rsidR="00D973D5">
        <w:t xml:space="preserve"> affair. </w:t>
      </w:r>
    </w:p>
    <w:p w14:paraId="3EC19543" w14:textId="79F6BF87" w:rsidR="006018AD" w:rsidRDefault="006018AD" w:rsidP="009D2A1D">
      <w:r>
        <w:t xml:space="preserve">For the coming elections, the Federalist caucus nominated John Adams as many would have expected; and for their </w:t>
      </w:r>
      <w:proofErr w:type="gramStart"/>
      <w:r>
        <w:t>vice presidential</w:t>
      </w:r>
      <w:proofErr w:type="gramEnd"/>
      <w:r>
        <w:t xml:space="preserve"> nominee, they nominated Charles C. Pinckney, whose role in the XYZ Affair had made him a Federalist ico</w:t>
      </w:r>
      <w:r w:rsidR="00CA1648">
        <w:t>n</w:t>
      </w:r>
      <w:r w:rsidR="00562581">
        <w:t xml:space="preserve"> – and he was a Southerner, </w:t>
      </w:r>
      <w:r w:rsidR="002316D6">
        <w:t>who would appeal to slaveowners terrified at revolutionary equality</w:t>
      </w:r>
      <w:r>
        <w:t xml:space="preserve">. </w:t>
      </w:r>
      <w:proofErr w:type="gramStart"/>
      <w:r w:rsidR="00CA1648">
        <w:t>Similarly</w:t>
      </w:r>
      <w:proofErr w:type="gramEnd"/>
      <w:r w:rsidR="00CA1648">
        <w:t xml:space="preserve"> unsurprisingly, the Republican caucus nominated Thomas Jefferson as president, and for vice president they nominated Aaron Burr, whose masterful organizing of the party in New York was a harbinger of the coming era of democracy. The ensuing election was the dirtiest and </w:t>
      </w:r>
      <w:r w:rsidR="00553080">
        <w:t xml:space="preserve">most </w:t>
      </w:r>
      <w:r w:rsidR="00CA1648">
        <w:t xml:space="preserve">chaotic in American history – it would only be exceeded by the disaster year of 1840. The Federalists spoke of Jefferson as a Francophile traitor loyal to the French enemy, who would launch a reign of terror and ally himself with </w:t>
      </w:r>
      <w:r w:rsidR="000E428D">
        <w:t xml:space="preserve">the </w:t>
      </w:r>
      <w:r w:rsidR="000E428D">
        <w:lastRenderedPageBreak/>
        <w:t>government</w:t>
      </w:r>
      <w:r w:rsidR="00CA1648">
        <w:t xml:space="preserve"> of Saint-Domingue (today Haiti)</w:t>
      </w:r>
      <w:r w:rsidR="000E428D">
        <w:rPr>
          <w:rStyle w:val="EndnoteReference"/>
        </w:rPr>
        <w:endnoteReference w:id="6"/>
      </w:r>
      <w:r w:rsidR="00407B1B">
        <w:t xml:space="preserve"> and inaugurate the end of the white race. In contrast,</w:t>
      </w:r>
      <w:r w:rsidR="00CA1648">
        <w:t xml:space="preserve"> the Republicans spoke of the Alien and Sedition Laws as harbingers of a plot to establish an American monarchy, no less tyrannical than the lately overthrown Guelphs</w:t>
      </w:r>
      <w:r w:rsidR="003B3A33">
        <w:t>, and imprison all their foes</w:t>
      </w:r>
      <w:r w:rsidR="00CA1648">
        <w:t>. And all feared that, whatever the result, there would be civil war</w:t>
      </w:r>
      <w:r w:rsidR="00700BCC">
        <w:t xml:space="preserve"> as the losing side would seek to prevent the treason of the other side – violently</w:t>
      </w:r>
      <w:r w:rsidR="004F4C11">
        <w:t xml:space="preserve">. </w:t>
      </w:r>
    </w:p>
    <w:p w14:paraId="50366CBD" w14:textId="712A4C3B" w:rsidR="00CA1648" w:rsidRDefault="00CA1648" w:rsidP="009D2A1D">
      <w:r>
        <w:t xml:space="preserve">Communication across the nation taking days, </w:t>
      </w:r>
      <w:r w:rsidR="00441973">
        <w:t xml:space="preserve">this meant each state cast its vote for the presidency gradually. A decisive moment in the election came from New York, where a Federalist scheme to change its electors were frustrated by Aaron Burr’s embryonic political machine securing control of the state assembly for the Republicans; promptly, the state cast its votes for Jefferson and Burr. This did not decide the election by itself, but it did mean that, when the last state, South Carolina, cast its votes, it would decide the whole election. It was a state whose elections returned a legislature in flux between Federalists, Republicans, and independents; its vote consumed many hours of debate, but in the end those independents, motivated by southern sectionalism, split their tickets for Jefferson and Pinckney. This meant, in the final totals, that Jefferson came in first and Pinckney in second, with a one vote difference between the two. The election had come down to the wire, but it had ended with a Republican win. If Burr, and many other Republicans, were unhappy with the way the vice presidency had gone, they could still exalt in victory. </w:t>
      </w:r>
    </w:p>
    <w:p w14:paraId="507897F1" w14:textId="15FAA09B" w:rsidR="00441973" w:rsidRDefault="00441973" w:rsidP="009D2A1D">
      <w:r>
        <w:t xml:space="preserve">The next great question was whether Adams and the Federalists would accept their loss at </w:t>
      </w:r>
      <w:proofErr w:type="gramStart"/>
      <w:r>
        <w:t>all, or</w:t>
      </w:r>
      <w:proofErr w:type="gramEnd"/>
      <w:r>
        <w:t xml:space="preserve"> instead hold on to power. What ensured they would </w:t>
      </w:r>
      <w:proofErr w:type="gramStart"/>
      <w:r>
        <w:t>is</w:t>
      </w:r>
      <w:proofErr w:type="gramEnd"/>
      <w:r>
        <w:t xml:space="preserve"> a few things – divisions within the Adams cabinet, as he chafed at the capture by Hamilton appointees; the consolation prize of Pinckney </w:t>
      </w:r>
      <w:r w:rsidR="0049799F">
        <w:t>rather than</w:t>
      </w:r>
      <w:r>
        <w:t xml:space="preserve"> the overly democratic Burr as vice president; and perhaps a secret deal between Adams and Jefferson. But whatever the details, there would be a peaceful exchange of </w:t>
      </w:r>
      <w:r>
        <w:lastRenderedPageBreak/>
        <w:t xml:space="preserve">power, in </w:t>
      </w:r>
      <w:r w:rsidR="001D2B57">
        <w:t>an unprecedented</w:t>
      </w:r>
      <w:r>
        <w:t xml:space="preserve"> event in history; the succession was secured with little more than shaking heads</w:t>
      </w:r>
      <w:r>
        <w:rPr>
          <w:rStyle w:val="EndnoteReference"/>
        </w:rPr>
        <w:endnoteReference w:id="7"/>
      </w:r>
      <w:r>
        <w:t xml:space="preserve">. </w:t>
      </w:r>
      <w:r w:rsidR="001D2B57">
        <w:t>The Age of the Federalists had come to an end; the Age of Jefferson had begun</w:t>
      </w:r>
      <w:r w:rsidR="008A75F3">
        <w:t xml:space="preserve">. </w:t>
      </w:r>
    </w:p>
    <w:p w14:paraId="16BCDA8E" w14:textId="377453C8" w:rsidR="004014F6" w:rsidRDefault="004014F6" w:rsidP="009D2A1D">
      <w:r>
        <w:br w:type="page"/>
      </w:r>
    </w:p>
    <w:p w14:paraId="42FBEDBB" w14:textId="77777777" w:rsidR="004014F6" w:rsidRDefault="004014F6" w:rsidP="009D2A1D"/>
    <w:p w14:paraId="1C167568" w14:textId="6DD73C82" w:rsidR="004014F6" w:rsidRDefault="004014F6" w:rsidP="00CA1648">
      <w:pPr>
        <w:ind w:firstLine="0"/>
        <w:sectPr w:rsidR="004014F6" w:rsidSect="00DF4F27">
          <w:headerReference w:type="default" r:id="rId8"/>
          <w:endnotePr>
            <w:numFmt w:val="decimal"/>
          </w:endnotePr>
          <w:type w:val="continuous"/>
          <w:pgSz w:w="12240" w:h="15840"/>
          <w:pgMar w:top="1440" w:right="1440" w:bottom="1440" w:left="1440" w:header="708" w:footer="708" w:gutter="0"/>
          <w:pgNumType w:start="0"/>
          <w:cols w:space="708"/>
          <w:titlePg/>
          <w:docGrid w:linePitch="360"/>
        </w:sectPr>
      </w:pPr>
    </w:p>
    <w:p w14:paraId="4B425300" w14:textId="69E32EDE" w:rsidR="004014F6" w:rsidRDefault="004014F6" w:rsidP="00CA1648">
      <w:pPr>
        <w:ind w:firstLine="0"/>
      </w:pPr>
      <w:r>
        <w:br w:type="page"/>
      </w:r>
    </w:p>
    <w:p w14:paraId="437EFE64" w14:textId="4FD70711" w:rsidR="004014F6" w:rsidRDefault="00F27305" w:rsidP="00C91F77">
      <w:pPr>
        <w:pStyle w:val="Heading1"/>
      </w:pPr>
      <w:bookmarkStart w:id="1" w:name="_Toc202006201"/>
      <w:r>
        <w:lastRenderedPageBreak/>
        <w:t xml:space="preserve">2. </w:t>
      </w:r>
      <w:r w:rsidR="006E78DF">
        <w:t>The Age of Jefferson</w:t>
      </w:r>
      <w:bookmarkEnd w:id="1"/>
    </w:p>
    <w:p w14:paraId="65438AE0" w14:textId="79DB3523" w:rsidR="00141700" w:rsidRDefault="000E428D" w:rsidP="008A75F3">
      <w:r>
        <w:t>Already by 1800, Thomas Jefferson was a grand man of the republic. Born in 1743 to a planter family in Virginia, Jefferson had immense privilege; despite this, he scorned it in favor of the principles of the Age of Reason, and in the early emancipationist phase of his life he opposed the institution of slavery</w:t>
      </w:r>
      <w:r w:rsidR="00B35B22">
        <w:t xml:space="preserve"> despite his family’s wealth being dependent on it</w:t>
      </w:r>
      <w:r w:rsidR="008A75F3">
        <w:rPr>
          <w:rStyle w:val="EndnoteReference"/>
        </w:rPr>
        <w:endnoteReference w:id="8"/>
      </w:r>
      <w:r>
        <w:t xml:space="preserve">. </w:t>
      </w:r>
      <w:r w:rsidR="006504E9">
        <w:t>As George III’s centralizing designs pointed through the increasingly-submissive Parliament towards the Thirteen Colonies,</w:t>
      </w:r>
      <w:r w:rsidR="002225E2">
        <w:t xml:space="preserve"> </w:t>
      </w:r>
      <w:r w:rsidR="006504E9">
        <w:t>Jefferson became</w:t>
      </w:r>
      <w:r w:rsidR="002225E2">
        <w:t xml:space="preserve"> a revolutionary, and as a delegate to the Continental Congress, he wrote the Declaration of Independence</w:t>
      </w:r>
      <w:r w:rsidR="006504E9">
        <w:t>, which</w:t>
      </w:r>
      <w:r w:rsidR="00850927">
        <w:t xml:space="preserve"> elevated the American Revolution from simply another stage in the British conflict between </w:t>
      </w:r>
      <w:r w:rsidR="00636347">
        <w:t>c</w:t>
      </w:r>
      <w:r w:rsidR="00850927">
        <w:t xml:space="preserve">rown and the </w:t>
      </w:r>
      <w:r w:rsidR="00636347">
        <w:t>p</w:t>
      </w:r>
      <w:r w:rsidR="00850927">
        <w:t xml:space="preserve">eople, into the inauguration of the </w:t>
      </w:r>
      <w:r w:rsidR="006504E9">
        <w:t xml:space="preserve">Age of </w:t>
      </w:r>
      <w:r w:rsidR="00B0324D">
        <w:t>Revolutions</w:t>
      </w:r>
      <w:r w:rsidR="002855F2">
        <w:t>,</w:t>
      </w:r>
      <w:r w:rsidR="006504E9">
        <w:t xml:space="preserve"> in </w:t>
      </w:r>
      <w:r w:rsidR="00847AE4">
        <w:t>skilled rhetoric</w:t>
      </w:r>
      <w:r w:rsidR="00E51901">
        <w:t xml:space="preserve"> encapsulating the</w:t>
      </w:r>
      <w:r w:rsidR="00E63548">
        <w:t xml:space="preserve"> values of the</w:t>
      </w:r>
      <w:r w:rsidR="00E51901">
        <w:t xml:space="preserve"> Age of Reason</w:t>
      </w:r>
      <w:r w:rsidR="005C7BB6">
        <w:t xml:space="preserve"> that has since become iconic</w:t>
      </w:r>
      <w:r w:rsidR="002225E2">
        <w:t xml:space="preserve">. </w:t>
      </w:r>
      <w:r w:rsidR="006504E9">
        <w:t>After serving</w:t>
      </w:r>
      <w:r w:rsidR="000D60DD">
        <w:t xml:space="preserve"> as </w:t>
      </w:r>
      <w:r w:rsidR="00FF2F9B">
        <w:t xml:space="preserve">the foremost revolutionary leader of Virginia, Jefferson won election to Congress during the Confederation years, </w:t>
      </w:r>
      <w:r w:rsidR="002B3558">
        <w:t>which</w:t>
      </w:r>
      <w:r w:rsidR="00FF2F9B">
        <w:t xml:space="preserve"> resembled less the Congress of today and more the International Forum</w:t>
      </w:r>
      <w:r w:rsidR="00F74819">
        <w:rPr>
          <w:rStyle w:val="EndnoteReference"/>
        </w:rPr>
        <w:endnoteReference w:id="9"/>
      </w:r>
      <w:r w:rsidR="00FF2F9B">
        <w:t>, Jefferson nevertheless achieved a great victory against slavery in the form of the Northwest Ordinance of 1787, which barred slavery from what is today the Middle West</w:t>
      </w:r>
      <w:r w:rsidR="00487B30">
        <w:t>; most historians agree that, in its absence, slavery would have assuredly expanded to Ohio and Indiana</w:t>
      </w:r>
      <w:r w:rsidR="00FF2F9B">
        <w:t xml:space="preserve">. </w:t>
      </w:r>
      <w:r w:rsidR="00B93F15">
        <w:t>After the passage of the Constitution, Washington selected him as his Secretary of State</w:t>
      </w:r>
      <w:r w:rsidR="00294784">
        <w:t xml:space="preserve">, where he led the opposition to Hamilton’s Federalist agenda. </w:t>
      </w:r>
      <w:r w:rsidR="00483FBF">
        <w:t xml:space="preserve">Resigning after the Jay Treaty, Jefferson became the leader of the Republican opposition to the Federalists and, after losing the 1796 election, became increasingly radical in his opposition to the Adams administration over the Alien and Sedition Acts, and wrote the Kentucky Resolutions of 1798-9 which declared them null and void. </w:t>
      </w:r>
      <w:r w:rsidR="00FF6156">
        <w:t xml:space="preserve">His ascension to the presidency was nothing less than the final prize of a man who had spent many years close to or near the halls of power. </w:t>
      </w:r>
    </w:p>
    <w:p w14:paraId="46FD39D5" w14:textId="5D3B9D1B" w:rsidR="00FF6156" w:rsidRDefault="00FF6156" w:rsidP="008A75F3">
      <w:r>
        <w:lastRenderedPageBreak/>
        <w:t>A</w:t>
      </w:r>
      <w:r w:rsidR="004B2A15">
        <w:t>lmost immediately</w:t>
      </w:r>
      <w:r>
        <w:t xml:space="preserve">, Jefferson swiftly abandoned several monarchical </w:t>
      </w:r>
      <w:r w:rsidR="001F1E5E">
        <w:t>trappings</w:t>
      </w:r>
      <w:r>
        <w:t xml:space="preserve"> his predecessors followed. He refused to wear a sword during his inauguration ceremony, and he sold off the luxurious carriage </w:t>
      </w:r>
      <w:r w:rsidR="00E81872">
        <w:t xml:space="preserve">purchased </w:t>
      </w:r>
      <w:r w:rsidR="008E19C2">
        <w:t>under</w:t>
      </w:r>
      <w:r w:rsidR="00E81872">
        <w:t xml:space="preserve"> the Adams </w:t>
      </w:r>
      <w:r>
        <w:t xml:space="preserve">presidency. Indeed, to his inauguration, he walked like an ordinary citizen to the </w:t>
      </w:r>
      <w:r w:rsidR="004B2A15">
        <w:t>Capitol, in what has since become a tradition</w:t>
      </w:r>
      <w:r>
        <w:t xml:space="preserve">. </w:t>
      </w:r>
      <w:r w:rsidR="004B2A15">
        <w:t>His inauguration</w:t>
      </w:r>
      <w:r w:rsidR="00501C03">
        <w:t xml:space="preserve"> address</w:t>
      </w:r>
      <w:r w:rsidR="004B2A15">
        <w:t>, advocating unity</w:t>
      </w:r>
      <w:r w:rsidR="00906BC3">
        <w:t xml:space="preserve"> and reconciliation</w:t>
      </w:r>
      <w:r w:rsidR="004B2A15">
        <w:t xml:space="preserve"> after the tumultuous election season, received widespread republication, as proof of party principles. </w:t>
      </w:r>
      <w:r w:rsidR="005D4AE5">
        <w:t xml:space="preserve">This was only one of two speeches he gave to Congress – his second being his other inauguration – as he gave his annual messages to Congress in the form of </w:t>
      </w:r>
      <w:r w:rsidR="004D61A2">
        <w:t xml:space="preserve">writing, because </w:t>
      </w:r>
      <w:r w:rsidR="00DD5678">
        <w:t xml:space="preserve">his republicanism was so astute that </w:t>
      </w:r>
      <w:r w:rsidR="004D61A2">
        <w:t>he considered the act</w:t>
      </w:r>
      <w:r w:rsidR="00A70A5D">
        <w:t xml:space="preserve"> of giving it in the form of a speech</w:t>
      </w:r>
      <w:r w:rsidR="004D61A2">
        <w:t xml:space="preserve"> too similar to the </w:t>
      </w:r>
      <w:r w:rsidR="007F518A">
        <w:t>Throne Speeches which the Guelph kings were contemporaneously giving in the British Isles</w:t>
      </w:r>
      <w:r w:rsidR="00162D14">
        <w:rPr>
          <w:rStyle w:val="EndnoteReference"/>
        </w:rPr>
        <w:endnoteReference w:id="10"/>
      </w:r>
      <w:r w:rsidR="007F518A">
        <w:t xml:space="preserve">. </w:t>
      </w:r>
    </w:p>
    <w:p w14:paraId="22D5E322" w14:textId="6C95E6F9" w:rsidR="004B2A15" w:rsidRDefault="004B2A15" w:rsidP="008A75F3">
      <w:r>
        <w:t xml:space="preserve">As president, Jefferson’s cabinet resembled the </w:t>
      </w:r>
      <w:r w:rsidR="001467DC">
        <w:t xml:space="preserve">sort of coalition that got him into power. Having to satiate </w:t>
      </w:r>
      <w:r w:rsidR="00E30445">
        <w:t xml:space="preserve">the ambitious and charismatic </w:t>
      </w:r>
      <w:r w:rsidR="001467DC">
        <w:t>Aaron Burr, whose party organization work was crucial to his victory, Jefferson made him Secretary of State</w:t>
      </w:r>
      <w:r w:rsidR="00610993">
        <w:t xml:space="preserve">. As </w:t>
      </w:r>
      <w:r w:rsidR="00F063A7">
        <w:t>his Secretary of the Treasury Jefferson selected another leading Northern Republican, Albert Gallatin</w:t>
      </w:r>
      <w:r w:rsidR="00610993">
        <w:t>, an emigrant from Geneva, France (then an independent city-state), and like Jefferson a learned child of the Age of Reason</w:t>
      </w:r>
      <w:r w:rsidR="00F063A7">
        <w:t xml:space="preserve">. Additionally, not long after his inauguration Jefferson organized for the establishment of a Domestic Department led by his disciple, James Madison. </w:t>
      </w:r>
      <w:r w:rsidR="00EC2892">
        <w:t xml:space="preserve">These three figures would dominate the Jefferson cabinet and animate its various goals. </w:t>
      </w:r>
      <w:r w:rsidR="00D2401C">
        <w:t xml:space="preserve">Jefferson’s creation of the Domestic Department, to weaken the position of Burr within the cabinet, represented the growing divide that had emerged between </w:t>
      </w:r>
      <w:r w:rsidR="00D378BC">
        <w:t>the two.</w:t>
      </w:r>
      <w:r w:rsidR="00D2401C">
        <w:t xml:space="preserve"> </w:t>
      </w:r>
      <w:r w:rsidR="00EC2892">
        <w:t xml:space="preserve">Additionally, Jefferson took a remarkably measured attitude towards federal patronage; though Burr advocated wholesale replacement of the Federalists in positions of power, Jefferson instead declined to do so. Perhaps it was out of principle, regarding it as corruption, or perhaps it was part of a deal made with Adams </w:t>
      </w:r>
      <w:r w:rsidR="009A7135">
        <w:t>to secure</w:t>
      </w:r>
      <w:r w:rsidR="00EC2892">
        <w:t xml:space="preserve"> the peaceful transition of power</w:t>
      </w:r>
      <w:r w:rsidR="009A7135">
        <w:t xml:space="preserve"> in the </w:t>
      </w:r>
      <w:r w:rsidR="009A7135">
        <w:lastRenderedPageBreak/>
        <w:t>first place</w:t>
      </w:r>
      <w:r w:rsidR="00EC2892">
        <w:t xml:space="preserve">. But regardless, it set the tone for the Jefferson presidency, </w:t>
      </w:r>
      <w:r w:rsidR="005B453A">
        <w:t>less</w:t>
      </w:r>
      <w:r w:rsidR="00EC2892">
        <w:t xml:space="preserve"> the wholesale destruction of the </w:t>
      </w:r>
      <w:r w:rsidR="005B453A">
        <w:t>Federalist agenda, and more Jeffersonian ends through Hamiltonian means</w:t>
      </w:r>
      <w:r w:rsidR="00EC2892">
        <w:t xml:space="preserve">. </w:t>
      </w:r>
    </w:p>
    <w:p w14:paraId="30074DF5" w14:textId="26846AF9" w:rsidR="00012A86" w:rsidRDefault="00EC2892" w:rsidP="001A447C">
      <w:r>
        <w:t xml:space="preserve">The single greatest goal of the Jefferson administration was the elimination of the national debt. </w:t>
      </w:r>
      <w:r w:rsidR="004E4B6D">
        <w:t>He regarded national debt not as the blessing Hamilton praised it as, but rather as a curse. He believed it to be a sin applied on future generations by overspending of the current. Thus, though Jefferson abolished all internal taxes, he nevertheless allowed for an annual surplus, for the payment of all debt</w:t>
      </w:r>
      <w:r w:rsidR="00B47639">
        <w:t>, through drastic cuts on spending</w:t>
      </w:r>
      <w:r w:rsidR="004E4B6D">
        <w:t>. And though he initially sought to abolish the Bank of the United States, Gallatin convinced him that it might instead be a useful tool in paying off the debt</w:t>
      </w:r>
      <w:r w:rsidR="00036320">
        <w:t>, and that it should instead be allowed to retire peacefully when the time came</w:t>
      </w:r>
      <w:r w:rsidR="004E4B6D">
        <w:t>. The result of this policy may be seen below:</w:t>
      </w:r>
    </w:p>
    <w:p w14:paraId="17974DA2" w14:textId="77777777" w:rsidR="00FF33C1" w:rsidRDefault="00FF33C1" w:rsidP="001A447C"/>
    <w:p w14:paraId="125531FA" w14:textId="7589F574" w:rsidR="00141700" w:rsidRPr="00141700" w:rsidRDefault="00141700" w:rsidP="00141700">
      <w:pPr>
        <w:pStyle w:val="Caption"/>
      </w:pPr>
      <w:bookmarkStart w:id="2" w:name="_Toc202006257"/>
      <w:r>
        <w:t xml:space="preserve">Figure </w:t>
      </w:r>
      <w:fldSimple w:instr=" SEQ Figure \* ARABIC ">
        <w:r w:rsidR="00567D66">
          <w:rPr>
            <w:noProof/>
          </w:rPr>
          <w:t>1</w:t>
        </w:r>
      </w:fldSimple>
      <w:r>
        <w:t>: National debt, 1801-9</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1700" w:rsidRPr="00F0605D" w14:paraId="4FBB5582" w14:textId="77777777" w:rsidTr="00294784">
        <w:tc>
          <w:tcPr>
            <w:tcW w:w="4675" w:type="dxa"/>
            <w:tcBorders>
              <w:bottom w:val="single" w:sz="4" w:space="0" w:color="auto"/>
              <w:right w:val="single" w:sz="4" w:space="0" w:color="auto"/>
            </w:tcBorders>
          </w:tcPr>
          <w:p w14:paraId="719A3875" w14:textId="1C251E24" w:rsidR="00141700" w:rsidRPr="00F0605D" w:rsidRDefault="00141700" w:rsidP="00AF4CAA">
            <w:pPr>
              <w:pStyle w:val="NoSpacing"/>
              <w:rPr>
                <w:b/>
                <w:bCs/>
              </w:rPr>
            </w:pPr>
            <w:r w:rsidRPr="00F0605D">
              <w:rPr>
                <w:b/>
                <w:bCs/>
              </w:rPr>
              <w:t>Year</w:t>
            </w:r>
          </w:p>
        </w:tc>
        <w:tc>
          <w:tcPr>
            <w:tcW w:w="4675" w:type="dxa"/>
            <w:tcBorders>
              <w:left w:val="single" w:sz="4" w:space="0" w:color="auto"/>
              <w:bottom w:val="single" w:sz="4" w:space="0" w:color="auto"/>
            </w:tcBorders>
          </w:tcPr>
          <w:p w14:paraId="4474CBCD" w14:textId="150044C9" w:rsidR="00141700" w:rsidRPr="00F0605D" w:rsidRDefault="00141700" w:rsidP="00AF4CAA">
            <w:pPr>
              <w:pStyle w:val="NoSpacing"/>
              <w:rPr>
                <w:b/>
                <w:bCs/>
              </w:rPr>
            </w:pPr>
            <w:r w:rsidRPr="00F0605D">
              <w:rPr>
                <w:b/>
                <w:bCs/>
              </w:rPr>
              <w:t>National debt outstanding</w:t>
            </w:r>
          </w:p>
        </w:tc>
      </w:tr>
      <w:tr w:rsidR="00141700" w14:paraId="39FDDD85" w14:textId="77777777" w:rsidTr="00294784">
        <w:tc>
          <w:tcPr>
            <w:tcW w:w="4675" w:type="dxa"/>
            <w:tcBorders>
              <w:top w:val="single" w:sz="4" w:space="0" w:color="auto"/>
              <w:right w:val="single" w:sz="4" w:space="0" w:color="auto"/>
            </w:tcBorders>
          </w:tcPr>
          <w:p w14:paraId="60CC347E" w14:textId="5F5D0FBA" w:rsidR="00141700" w:rsidRPr="00141700" w:rsidRDefault="00141700" w:rsidP="00AF4CAA">
            <w:pPr>
              <w:pStyle w:val="NoSpacing"/>
            </w:pPr>
            <w:r>
              <w:t>1801</w:t>
            </w:r>
          </w:p>
        </w:tc>
        <w:tc>
          <w:tcPr>
            <w:tcW w:w="4675" w:type="dxa"/>
            <w:tcBorders>
              <w:top w:val="single" w:sz="4" w:space="0" w:color="auto"/>
              <w:left w:val="single" w:sz="4" w:space="0" w:color="auto"/>
            </w:tcBorders>
          </w:tcPr>
          <w:p w14:paraId="15069E91" w14:textId="17B0EB87" w:rsidR="00141700" w:rsidRPr="00141700" w:rsidRDefault="00141700" w:rsidP="00AF4CAA">
            <w:pPr>
              <w:pStyle w:val="NoSpacing"/>
            </w:pPr>
            <w:r w:rsidRPr="00141700">
              <w:t>$83,038,050.80</w:t>
            </w:r>
          </w:p>
        </w:tc>
      </w:tr>
      <w:tr w:rsidR="00141700" w14:paraId="124901B6" w14:textId="77777777" w:rsidTr="00294784">
        <w:tc>
          <w:tcPr>
            <w:tcW w:w="4675" w:type="dxa"/>
            <w:tcBorders>
              <w:right w:val="single" w:sz="4" w:space="0" w:color="auto"/>
            </w:tcBorders>
          </w:tcPr>
          <w:p w14:paraId="5B27FDAC" w14:textId="2425B9FC" w:rsidR="00141700" w:rsidRPr="00141700" w:rsidRDefault="00141700" w:rsidP="00AF4CAA">
            <w:pPr>
              <w:pStyle w:val="NoSpacing"/>
            </w:pPr>
            <w:r>
              <w:t>1802</w:t>
            </w:r>
          </w:p>
        </w:tc>
        <w:tc>
          <w:tcPr>
            <w:tcW w:w="4675" w:type="dxa"/>
            <w:tcBorders>
              <w:left w:val="single" w:sz="4" w:space="0" w:color="auto"/>
            </w:tcBorders>
          </w:tcPr>
          <w:p w14:paraId="283B9ED4" w14:textId="4298DB9C" w:rsidR="00141700" w:rsidRPr="00141700" w:rsidRDefault="00294784" w:rsidP="00AF4CAA">
            <w:pPr>
              <w:pStyle w:val="NoSpacing"/>
            </w:pPr>
            <w:r w:rsidRPr="00294784">
              <w:t>$80,712,632.25</w:t>
            </w:r>
          </w:p>
        </w:tc>
      </w:tr>
      <w:tr w:rsidR="00141700" w14:paraId="7761435C" w14:textId="77777777" w:rsidTr="00294784">
        <w:tc>
          <w:tcPr>
            <w:tcW w:w="4675" w:type="dxa"/>
            <w:tcBorders>
              <w:right w:val="single" w:sz="4" w:space="0" w:color="auto"/>
            </w:tcBorders>
          </w:tcPr>
          <w:p w14:paraId="15D35CAA" w14:textId="0F8647CB" w:rsidR="00141700" w:rsidRPr="00141700" w:rsidRDefault="00141700" w:rsidP="00AF4CAA">
            <w:pPr>
              <w:pStyle w:val="NoSpacing"/>
            </w:pPr>
            <w:r>
              <w:t>1803</w:t>
            </w:r>
          </w:p>
        </w:tc>
        <w:tc>
          <w:tcPr>
            <w:tcW w:w="4675" w:type="dxa"/>
            <w:tcBorders>
              <w:left w:val="single" w:sz="4" w:space="0" w:color="auto"/>
            </w:tcBorders>
          </w:tcPr>
          <w:p w14:paraId="6896AC6A" w14:textId="7F652E99" w:rsidR="00141700" w:rsidRPr="00141700" w:rsidRDefault="00294784" w:rsidP="00AF4CAA">
            <w:pPr>
              <w:pStyle w:val="NoSpacing"/>
            </w:pPr>
            <w:r w:rsidRPr="00294784">
              <w:t>$77,054,686.40</w:t>
            </w:r>
          </w:p>
        </w:tc>
      </w:tr>
      <w:tr w:rsidR="00141700" w14:paraId="2148CB05" w14:textId="77777777" w:rsidTr="00294784">
        <w:tc>
          <w:tcPr>
            <w:tcW w:w="4675" w:type="dxa"/>
            <w:tcBorders>
              <w:right w:val="single" w:sz="4" w:space="0" w:color="auto"/>
            </w:tcBorders>
          </w:tcPr>
          <w:p w14:paraId="69620CFE" w14:textId="5429D9ED" w:rsidR="00141700" w:rsidRPr="00141700" w:rsidRDefault="00294784" w:rsidP="00AF4CAA">
            <w:pPr>
              <w:pStyle w:val="NoSpacing"/>
            </w:pPr>
            <w:r>
              <w:t>1804</w:t>
            </w:r>
          </w:p>
        </w:tc>
        <w:tc>
          <w:tcPr>
            <w:tcW w:w="4675" w:type="dxa"/>
            <w:tcBorders>
              <w:left w:val="single" w:sz="4" w:space="0" w:color="auto"/>
            </w:tcBorders>
          </w:tcPr>
          <w:p w14:paraId="71994DC1" w14:textId="74E221D4" w:rsidR="00141700" w:rsidRPr="00141700" w:rsidRDefault="00294784" w:rsidP="00AF4CAA">
            <w:pPr>
              <w:pStyle w:val="NoSpacing"/>
            </w:pPr>
            <w:r w:rsidRPr="00294784">
              <w:t>$</w:t>
            </w:r>
            <w:r>
              <w:t>71</w:t>
            </w:r>
            <w:r w:rsidRPr="00294784">
              <w:t>,427,120.88</w:t>
            </w:r>
          </w:p>
        </w:tc>
      </w:tr>
      <w:tr w:rsidR="00294784" w14:paraId="6B319F98" w14:textId="77777777" w:rsidTr="00294784">
        <w:tc>
          <w:tcPr>
            <w:tcW w:w="4675" w:type="dxa"/>
            <w:tcBorders>
              <w:right w:val="single" w:sz="4" w:space="0" w:color="auto"/>
            </w:tcBorders>
          </w:tcPr>
          <w:p w14:paraId="7E19ABB3" w14:textId="528CEBFF" w:rsidR="00294784" w:rsidRDefault="00294784" w:rsidP="00AF4CAA">
            <w:pPr>
              <w:pStyle w:val="NoSpacing"/>
            </w:pPr>
            <w:r>
              <w:t>1805</w:t>
            </w:r>
          </w:p>
        </w:tc>
        <w:tc>
          <w:tcPr>
            <w:tcW w:w="4675" w:type="dxa"/>
            <w:tcBorders>
              <w:left w:val="single" w:sz="4" w:space="0" w:color="auto"/>
            </w:tcBorders>
          </w:tcPr>
          <w:p w14:paraId="39DCEB0A" w14:textId="08AC6603" w:rsidR="00294784" w:rsidRPr="00294784" w:rsidRDefault="00294784" w:rsidP="00AF4CAA">
            <w:pPr>
              <w:pStyle w:val="NoSpacing"/>
            </w:pPr>
            <w:r w:rsidRPr="00294784">
              <w:t>$</w:t>
            </w:r>
            <w:r>
              <w:t>6</w:t>
            </w:r>
            <w:r w:rsidR="00EC2892">
              <w:t>3</w:t>
            </w:r>
            <w:r w:rsidRPr="00294784">
              <w:t>,312,150.50</w:t>
            </w:r>
          </w:p>
        </w:tc>
      </w:tr>
      <w:tr w:rsidR="00294784" w14:paraId="5B14747D" w14:textId="77777777" w:rsidTr="00294784">
        <w:tc>
          <w:tcPr>
            <w:tcW w:w="4675" w:type="dxa"/>
            <w:tcBorders>
              <w:right w:val="single" w:sz="4" w:space="0" w:color="auto"/>
            </w:tcBorders>
          </w:tcPr>
          <w:p w14:paraId="370D1A63" w14:textId="2A0E99BD" w:rsidR="00294784" w:rsidRDefault="00294784" w:rsidP="00AF4CAA">
            <w:pPr>
              <w:pStyle w:val="NoSpacing"/>
            </w:pPr>
            <w:r>
              <w:t>1806</w:t>
            </w:r>
          </w:p>
        </w:tc>
        <w:tc>
          <w:tcPr>
            <w:tcW w:w="4675" w:type="dxa"/>
            <w:tcBorders>
              <w:left w:val="single" w:sz="4" w:space="0" w:color="auto"/>
            </w:tcBorders>
          </w:tcPr>
          <w:p w14:paraId="0CBA1DC3" w14:textId="7032F1F9" w:rsidR="00294784" w:rsidRPr="00294784" w:rsidRDefault="00294784" w:rsidP="00AF4CAA">
            <w:pPr>
              <w:pStyle w:val="NoSpacing"/>
            </w:pPr>
            <w:r w:rsidRPr="00294784">
              <w:t>$</w:t>
            </w:r>
            <w:r>
              <w:t>5</w:t>
            </w:r>
            <w:r w:rsidR="004E4B6D">
              <w:t>5</w:t>
            </w:r>
            <w:r w:rsidRPr="00294784">
              <w:t>,723,270.66</w:t>
            </w:r>
          </w:p>
        </w:tc>
      </w:tr>
      <w:tr w:rsidR="00294784" w14:paraId="671D2D05" w14:textId="77777777" w:rsidTr="00294784">
        <w:tc>
          <w:tcPr>
            <w:tcW w:w="4675" w:type="dxa"/>
            <w:tcBorders>
              <w:right w:val="single" w:sz="4" w:space="0" w:color="auto"/>
            </w:tcBorders>
          </w:tcPr>
          <w:p w14:paraId="72B65BF3" w14:textId="0D5E130C" w:rsidR="00294784" w:rsidRDefault="00294784" w:rsidP="00AF4CAA">
            <w:pPr>
              <w:pStyle w:val="NoSpacing"/>
            </w:pPr>
            <w:r>
              <w:t>1807</w:t>
            </w:r>
          </w:p>
        </w:tc>
        <w:tc>
          <w:tcPr>
            <w:tcW w:w="4675" w:type="dxa"/>
            <w:tcBorders>
              <w:left w:val="single" w:sz="4" w:space="0" w:color="auto"/>
            </w:tcBorders>
          </w:tcPr>
          <w:p w14:paraId="58F26BC4" w14:textId="62D8418C" w:rsidR="00294784" w:rsidRPr="00294784" w:rsidRDefault="00294784" w:rsidP="00AF4CAA">
            <w:pPr>
              <w:pStyle w:val="NoSpacing"/>
            </w:pPr>
            <w:r w:rsidRPr="00294784">
              <w:t>$</w:t>
            </w:r>
            <w:r w:rsidR="00EC2892">
              <w:t>48</w:t>
            </w:r>
            <w:r w:rsidRPr="00294784">
              <w:t>,218,398.64</w:t>
            </w:r>
          </w:p>
        </w:tc>
      </w:tr>
      <w:tr w:rsidR="00294784" w14:paraId="7B576571" w14:textId="77777777" w:rsidTr="00294784">
        <w:tc>
          <w:tcPr>
            <w:tcW w:w="4675" w:type="dxa"/>
            <w:tcBorders>
              <w:right w:val="single" w:sz="4" w:space="0" w:color="auto"/>
            </w:tcBorders>
          </w:tcPr>
          <w:p w14:paraId="7F542D29" w14:textId="2F6F0A9C" w:rsidR="00294784" w:rsidRDefault="00294784" w:rsidP="00AF4CAA">
            <w:pPr>
              <w:pStyle w:val="NoSpacing"/>
            </w:pPr>
            <w:r>
              <w:t>1808</w:t>
            </w:r>
          </w:p>
        </w:tc>
        <w:tc>
          <w:tcPr>
            <w:tcW w:w="4675" w:type="dxa"/>
            <w:tcBorders>
              <w:left w:val="single" w:sz="4" w:space="0" w:color="auto"/>
            </w:tcBorders>
          </w:tcPr>
          <w:p w14:paraId="5B558836" w14:textId="3FAEA652" w:rsidR="00294784" w:rsidRPr="00294784" w:rsidRDefault="00294784" w:rsidP="00AF4CAA">
            <w:pPr>
              <w:pStyle w:val="NoSpacing"/>
            </w:pPr>
            <w:r w:rsidRPr="00294784">
              <w:t>$</w:t>
            </w:r>
            <w:r>
              <w:t>4</w:t>
            </w:r>
            <w:r w:rsidR="00EC2892">
              <w:t>1</w:t>
            </w:r>
            <w:r w:rsidRPr="00294784">
              <w:t>,196,317.97</w:t>
            </w:r>
          </w:p>
        </w:tc>
      </w:tr>
      <w:tr w:rsidR="00294784" w14:paraId="7BF423C1" w14:textId="77777777" w:rsidTr="00294784">
        <w:tc>
          <w:tcPr>
            <w:tcW w:w="4675" w:type="dxa"/>
            <w:tcBorders>
              <w:right w:val="single" w:sz="4" w:space="0" w:color="auto"/>
            </w:tcBorders>
          </w:tcPr>
          <w:p w14:paraId="43EC4312" w14:textId="18137998" w:rsidR="00294784" w:rsidRDefault="00294784" w:rsidP="00AF4CAA">
            <w:pPr>
              <w:pStyle w:val="NoSpacing"/>
            </w:pPr>
            <w:r>
              <w:t>1809</w:t>
            </w:r>
          </w:p>
        </w:tc>
        <w:tc>
          <w:tcPr>
            <w:tcW w:w="4675" w:type="dxa"/>
            <w:tcBorders>
              <w:left w:val="single" w:sz="4" w:space="0" w:color="auto"/>
            </w:tcBorders>
          </w:tcPr>
          <w:p w14:paraId="59D5D909" w14:textId="30777620" w:rsidR="00294784" w:rsidRPr="00294784" w:rsidRDefault="00294784" w:rsidP="00AF4CAA">
            <w:pPr>
              <w:pStyle w:val="NoSpacing"/>
            </w:pPr>
            <w:r w:rsidRPr="00294784">
              <w:t>$</w:t>
            </w:r>
            <w:r>
              <w:t>3</w:t>
            </w:r>
            <w:r w:rsidR="0002795B">
              <w:t>3</w:t>
            </w:r>
            <w:r w:rsidRPr="00294784">
              <w:t>,023,192.09</w:t>
            </w:r>
          </w:p>
        </w:tc>
      </w:tr>
    </w:tbl>
    <w:p w14:paraId="18E79B8A" w14:textId="77777777" w:rsidR="00141700" w:rsidRDefault="00141700" w:rsidP="008A75F3"/>
    <w:p w14:paraId="2F26DFAE" w14:textId="72AF70DA" w:rsidR="00141700" w:rsidRDefault="00012A86" w:rsidP="008A75F3">
      <w:r>
        <w:t>The success of the plan was such that the debt would be fully paid off in 1814</w:t>
      </w:r>
      <w:r w:rsidR="00320F0B">
        <w:t xml:space="preserve">, although by then the American government was beginning to break from Jeffersonianism. </w:t>
      </w:r>
    </w:p>
    <w:p w14:paraId="1BE3977C" w14:textId="5A213FEC" w:rsidR="00141700" w:rsidRDefault="00320F0B" w:rsidP="008A75F3">
      <w:r>
        <w:t xml:space="preserve">Beyond this, Jefferson was faced with a significant political battle, over the </w:t>
      </w:r>
      <w:r w:rsidR="004C6471">
        <w:t>judiciary. Immediately before his presidency was due to end, John Adams appointed several judges</w:t>
      </w:r>
      <w:r w:rsidR="009A7FEB">
        <w:t xml:space="preserve"> to </w:t>
      </w:r>
      <w:r w:rsidR="009A7FEB">
        <w:lastRenderedPageBreak/>
        <w:t>federal courts</w:t>
      </w:r>
      <w:r w:rsidR="004C6471">
        <w:t>, and he passed the Judiciary Act of 1801</w:t>
      </w:r>
      <w:r w:rsidR="009A7FEB">
        <w:t xml:space="preserve"> which reorganized the judiciary and opened several new judicial seats, which he promptly filled with Federalists</w:t>
      </w:r>
      <w:r w:rsidR="004C6471">
        <w:t xml:space="preserve">. </w:t>
      </w:r>
      <w:r w:rsidR="009A7FEB">
        <w:t xml:space="preserve">Though </w:t>
      </w:r>
      <w:r w:rsidR="00D219A2">
        <w:t>Jefferson</w:t>
      </w:r>
      <w:r w:rsidR="009A7FEB">
        <w:t xml:space="preserve"> successfully had the Act repealed, he failed to pass a new judiciary bill to replace it, by a margin of one vote in the Senate</w:t>
      </w:r>
      <w:r w:rsidR="004477EB">
        <w:t xml:space="preserve">; this instead meant the restoration of the </w:t>
      </w:r>
      <w:r w:rsidR="00666E54">
        <w:t>1789 Judiciary Act</w:t>
      </w:r>
      <w:r w:rsidR="007B7973">
        <w:t>, and</w:t>
      </w:r>
      <w:r w:rsidR="00F60942">
        <w:t xml:space="preserve"> rather than risk another humiliating defeat</w:t>
      </w:r>
      <w:r w:rsidR="00D219A2">
        <w:t>,</w:t>
      </w:r>
      <w:r w:rsidR="007B7973">
        <w:t xml:space="preserve"> Jefferson chose to stick with it</w:t>
      </w:r>
      <w:r w:rsidR="004477EB">
        <w:t>.</w:t>
      </w:r>
      <w:r w:rsidR="009A7FEB">
        <w:t xml:space="preserve"> </w:t>
      </w:r>
      <w:r w:rsidR="00C81A06">
        <w:t>With the defeat</w:t>
      </w:r>
      <w:r w:rsidR="009A7FEB">
        <w:t xml:space="preserve"> of this attempt at reform, </w:t>
      </w:r>
      <w:r w:rsidR="00C81A06">
        <w:t xml:space="preserve">Jefferson instead sought to truncate the power of the Supreme Court. Dominated by Federalists, and the huge personality of its Chief Justice, John Marshall, he now sought to confront it. </w:t>
      </w:r>
    </w:p>
    <w:p w14:paraId="558067AD" w14:textId="63C666DB" w:rsidR="00C81A06" w:rsidRDefault="00C81A06" w:rsidP="008A75F3">
      <w:r>
        <w:t>Associate Justice Samuel Chase, an alcoholic who openly opposed the Jefferson administration rather than maintain</w:t>
      </w:r>
      <w:r w:rsidR="004D2748">
        <w:t xml:space="preserve"> even</w:t>
      </w:r>
      <w:r>
        <w:t xml:space="preserve"> a</w:t>
      </w:r>
      <w:r w:rsidR="004D2748">
        <w:t xml:space="preserve"> thin</w:t>
      </w:r>
      <w:r>
        <w:t xml:space="preserve"> veneer of impartiality, was an obvious target, and against this Jefferson organized no less than the impeachment </w:t>
      </w:r>
      <w:r w:rsidR="002D7BC9">
        <w:t xml:space="preserve">and removal of him from office. The successful impeachment and removal from office of another Supreme Court Justice, John Pickering, undoubtedly provided this case with momentum; however, Chase ended up acquitted, as enough Republicans regarded this as a </w:t>
      </w:r>
      <w:proofErr w:type="gramStart"/>
      <w:r w:rsidR="002D7BC9">
        <w:t>politically-motivated</w:t>
      </w:r>
      <w:proofErr w:type="gramEnd"/>
      <w:r w:rsidR="002D7BC9">
        <w:t xml:space="preserve"> trial</w:t>
      </w:r>
      <w:r w:rsidR="000A7E8B">
        <w:t>, and they believed that impeachment should only be done for serious crimes,</w:t>
      </w:r>
      <w:r w:rsidR="002D7BC9">
        <w:t xml:space="preserve"> that they voted to acquit. The presence of Vice President Pinckney, who openly opposed the impeachment and, as President of the Senate, used all his knowledge of procedure to frustrate it, Jefferson blamed for this failure.</w:t>
      </w:r>
      <w:r w:rsidR="001823BE">
        <w:t xml:space="preserve"> But nevertheless, it collapsed the effort to remove Federalists from the Supreme Court, and when Jefferson did secure a friendlier Vice President, he would not force the issue</w:t>
      </w:r>
      <w:r w:rsidR="002D7BC9">
        <w:t xml:space="preserve"> </w:t>
      </w:r>
      <w:r w:rsidR="000C64DE">
        <w:t xml:space="preserve">It ensured that the Supreme Court would remain a stronghold of Federalism; and when the Marshall Court laid claim to the ability to strike down federal laws in </w:t>
      </w:r>
      <w:r w:rsidR="000C64DE" w:rsidRPr="000C64DE">
        <w:rPr>
          <w:i/>
          <w:iCs/>
        </w:rPr>
        <w:t>Marbury v. Burr</w:t>
      </w:r>
      <w:r w:rsidR="000C64DE">
        <w:t xml:space="preserve"> (1803), Jefferson had no choice but to accept it. </w:t>
      </w:r>
    </w:p>
    <w:p w14:paraId="6E62029C" w14:textId="7C7F87D0" w:rsidR="00F9385F" w:rsidRDefault="00F9385F" w:rsidP="008A75F3">
      <w:r>
        <w:lastRenderedPageBreak/>
        <w:t>This failure was merely a blemish on the era, however. The end of the War of the French Revolution brought Europe to an uneasy peace, and this allowed for economic prosperity</w:t>
      </w:r>
      <w:r w:rsidR="00B61825">
        <w:t xml:space="preserve"> as British and French attacks on shipping came to an end</w:t>
      </w:r>
      <w:r>
        <w:t>; it also vindicated reductions of the army and navy, as they became less necessary against the weakly-settled neighbors of British North America and Spanish Luisiana. Democracy, albeit the democracy of the white man, became the political order at home as states relaxed voting requirements, and genteel Federalists found themselves simply unable to compete in the newly popularized elections</w:t>
      </w:r>
      <w:r w:rsidR="00F47B9C">
        <w:t xml:space="preserve"> without compromising their very own values</w:t>
      </w:r>
      <w:r>
        <w:t xml:space="preserve">. Western settlement continued apace, and wishing to take it further, Jefferson sent several expeditions into Spanish Luisiana in the name of exploration. An expedition in 1803 to the Pacific, led by his good friend Meriweather Lewis, crossed the Mississippi over St. Louis in modern-day </w:t>
      </w:r>
      <w:proofErr w:type="spellStart"/>
      <w:r>
        <w:t>Minasota</w:t>
      </w:r>
      <w:proofErr w:type="spellEnd"/>
      <w:r>
        <w:t>; it would never be heard of again</w:t>
      </w:r>
      <w:r>
        <w:rPr>
          <w:rStyle w:val="EndnoteReference"/>
        </w:rPr>
        <w:endnoteReference w:id="11"/>
      </w:r>
      <w:r>
        <w:t xml:space="preserve">. </w:t>
      </w:r>
      <w:r w:rsidR="00EF242C">
        <w:t>Jefferson sent several other expeditions into Spanish Luisiana, but all of them either disappeared, or in the case of the famous Pike expedition of 1806-7, arrested by Spanish authorities. This blatant intrusion into their territory resulted in growing Spanish concern worry over their claims being ignored. Combined with the Selkirk settlers of modern-day Assiniboia similarly encroaching on Luisiana from the north, it led to the construction of several Spanish forts, as well as it organizing settlement from St. Louis to New Orleans. Nevertheless, such settlement could not hope to match American settlement over its frontier, and many regarded it as simply a matter of time before Luisiana would</w:t>
      </w:r>
      <w:r w:rsidR="00104F21">
        <w:t xml:space="preserve"> simply</w:t>
      </w:r>
      <w:r w:rsidR="00EF242C">
        <w:t xml:space="preserve"> fall into the laps of the United States. </w:t>
      </w:r>
    </w:p>
    <w:p w14:paraId="3C472664" w14:textId="3E65BD09" w:rsidR="000C64DE" w:rsidRDefault="000C64DE" w:rsidP="008A75F3">
      <w:r>
        <w:t>Re-elected in a landslide over his vice president in 1804 – and successfully securing Burr’s win of the vice presidency</w:t>
      </w:r>
      <w:r w:rsidR="00AA089A">
        <w:t xml:space="preserve"> –</w:t>
      </w:r>
      <w:r>
        <w:t xml:space="preserve"> Jefferson proved a popular president with the American people at large. Economic prosperity and the end of Federalist abuses of power made him wildly popular, and by the time his presidency came to an end, it was clear that Federalism was worn out, </w:t>
      </w:r>
      <w:r w:rsidR="00BC6BBB">
        <w:t xml:space="preserve">utterly obsolete </w:t>
      </w:r>
      <w:r w:rsidR="00BC6BBB">
        <w:lastRenderedPageBreak/>
        <w:t xml:space="preserve">and </w:t>
      </w:r>
      <w:r>
        <w:t>due simply</w:t>
      </w:r>
      <w:r w:rsidR="00BC6BBB">
        <w:t xml:space="preserve"> to</w:t>
      </w:r>
      <w:r>
        <w:t xml:space="preserve"> wither away. </w:t>
      </w:r>
      <w:r w:rsidR="00777B03">
        <w:t xml:space="preserve">By the time Thomas Jefferson turned power to his more vigorous vice president, few could deny his success. </w:t>
      </w:r>
    </w:p>
    <w:p w14:paraId="41C60539" w14:textId="5DB7C734" w:rsidR="008A75F3" w:rsidRDefault="008A75F3" w:rsidP="008A75F3">
      <w:r>
        <w:br w:type="page"/>
      </w:r>
    </w:p>
    <w:p w14:paraId="64C3467A" w14:textId="77777777" w:rsidR="008A75F3" w:rsidRDefault="008A75F3" w:rsidP="008A75F3"/>
    <w:p w14:paraId="3273B04E" w14:textId="77777777" w:rsidR="008A75F3" w:rsidRDefault="008A75F3" w:rsidP="008A75F3">
      <w:pPr>
        <w:ind w:firstLine="0"/>
        <w:sectPr w:rsidR="008A75F3" w:rsidSect="00DF4F27">
          <w:footnotePr>
            <w:numRestart w:val="eachSect"/>
          </w:footnotePr>
          <w:endnotePr>
            <w:numFmt w:val="decimal"/>
            <w:numRestart w:val="eachSect"/>
          </w:endnotePr>
          <w:type w:val="continuous"/>
          <w:pgSz w:w="12240" w:h="15840"/>
          <w:pgMar w:top="1440" w:right="1440" w:bottom="1440" w:left="1440" w:header="708" w:footer="708" w:gutter="0"/>
          <w:cols w:space="708"/>
          <w:titlePg/>
          <w:docGrid w:linePitch="360"/>
        </w:sectPr>
      </w:pPr>
    </w:p>
    <w:p w14:paraId="137C3E92" w14:textId="5CD6688B" w:rsidR="008A75F3" w:rsidRDefault="008A75F3">
      <w:pPr>
        <w:spacing w:before="0" w:line="259" w:lineRule="auto"/>
        <w:ind w:firstLine="0"/>
      </w:pPr>
      <w:r>
        <w:br w:type="page"/>
      </w:r>
    </w:p>
    <w:p w14:paraId="287585B2" w14:textId="58061FE1" w:rsidR="008304CC" w:rsidRDefault="00F27305" w:rsidP="00C91F77">
      <w:pPr>
        <w:pStyle w:val="Heading1"/>
      </w:pPr>
      <w:bookmarkStart w:id="3" w:name="_Toc202006202"/>
      <w:r>
        <w:lastRenderedPageBreak/>
        <w:t xml:space="preserve">3. </w:t>
      </w:r>
      <w:r w:rsidR="008A75F3">
        <w:t>Burr and Democracy</w:t>
      </w:r>
      <w:bookmarkEnd w:id="3"/>
    </w:p>
    <w:p w14:paraId="4D842C93" w14:textId="3F0C3E64" w:rsidR="004C6471" w:rsidRDefault="0001160C" w:rsidP="004C6471">
      <w:r>
        <w:t xml:space="preserve">Aaron Burr was not a grand old man of the republic; rather he was the product of a new age of American history. </w:t>
      </w:r>
      <w:r w:rsidR="001B1498">
        <w:t xml:space="preserve">Born in 1756 to a prominent family in New York, he abandoned his education to become an officer in the American Revolution. </w:t>
      </w:r>
      <w:r w:rsidR="006633FE">
        <w:t>Serving with skill in command of a disorganized mass of troops, he was forced to retire in 1779; however, his career as an officer did allow him to meet one Theodosia Prevost, the wife of a prominent Loyalist soldier. The two fell in love and had an affair; after her husband’s death, the two of them married. Their relationship represented the very pinnacle of the Age of Reason, as the two regarded one another as equals – the two even strongly admired early women’s rights activist Mary Wollstonecraft, and they raised their only child, a daughter, with the education and manner usually reserved for men</w:t>
      </w:r>
      <w:r w:rsidR="00DD4C0B">
        <w:rPr>
          <w:rStyle w:val="EndnoteReference"/>
        </w:rPr>
        <w:endnoteReference w:id="12"/>
      </w:r>
      <w:r w:rsidR="006633FE">
        <w:t xml:space="preserve">. After the Revolution, Burr became a prominent politician, and </w:t>
      </w:r>
      <w:proofErr w:type="gramStart"/>
      <w:r w:rsidR="006633FE">
        <w:t>in particular he</w:t>
      </w:r>
      <w:proofErr w:type="gramEnd"/>
      <w:r w:rsidR="006633FE">
        <w:t xml:space="preserve"> was in command of New York City’s Tammany Society, which he turned into a powerful political machine</w:t>
      </w:r>
      <w:r w:rsidR="001A51C4">
        <w:t>, befitting the coming age of democracy</w:t>
      </w:r>
      <w:r w:rsidR="002741BB">
        <w:rPr>
          <w:rStyle w:val="EndnoteReference"/>
        </w:rPr>
        <w:endnoteReference w:id="13"/>
      </w:r>
      <w:r w:rsidR="006633FE">
        <w:t xml:space="preserve">. </w:t>
      </w:r>
    </w:p>
    <w:p w14:paraId="4B2B65F8" w14:textId="003819C7" w:rsidR="006633FE" w:rsidRDefault="006633FE" w:rsidP="004C6471">
      <w:r>
        <w:t xml:space="preserve">Joining the Senate in 1791, </w:t>
      </w:r>
      <w:r w:rsidR="00E66126">
        <w:t xml:space="preserve">he </w:t>
      </w:r>
      <w:r w:rsidR="0078202C">
        <w:t xml:space="preserve">quickly became a leading member of the Republican opposition. </w:t>
      </w:r>
      <w:r w:rsidR="008F3480">
        <w:t xml:space="preserve">Much of this was personal; Burr and Hamilton were both ambitious New Yorkers, and this inevitably made them enemies. </w:t>
      </w:r>
      <w:r w:rsidR="0074294E">
        <w:t xml:space="preserve">But regardless, Burr became a firm Republican and a supporter of the French Revolution. The Democratic Societies that emerged across the Northern United States, headed by Aaron Burr, were among the first organizations of the era to use the term “democracy” positively, in an era where many regarded it as synonymous with mob rule. </w:t>
      </w:r>
      <w:r w:rsidR="00183D9A">
        <w:t xml:space="preserve">In the 1796 election, </w:t>
      </w:r>
      <w:r w:rsidR="00CA5188">
        <w:t>though the Republican caucus</w:t>
      </w:r>
      <w:r w:rsidR="00C73B88">
        <w:t xml:space="preserve"> nominated him for vice president</w:t>
      </w:r>
      <w:r w:rsidR="00CA5188">
        <w:t xml:space="preserve">, </w:t>
      </w:r>
      <w:r w:rsidR="00C73B88">
        <w:t xml:space="preserve">the various electors for the presidency split their vote away from Burr, and in the </w:t>
      </w:r>
      <w:proofErr w:type="gramStart"/>
      <w:r w:rsidR="00C73B88">
        <w:t>end</w:t>
      </w:r>
      <w:proofErr w:type="gramEnd"/>
      <w:r w:rsidR="00C73B88">
        <w:t xml:space="preserve"> he was quite far from winning the vice presidency. This disappointment aside, he </w:t>
      </w:r>
      <w:r w:rsidR="007F7743">
        <w:t>continued to organize the Republican Party in New York. Seeing the Alien and Sedition Acts as an attack on immigrants, he quickly became the patron of immigrants</w:t>
      </w:r>
      <w:r w:rsidR="00EE4EA3">
        <w:t xml:space="preserve"> to the city</w:t>
      </w:r>
      <w:r w:rsidR="007F7743">
        <w:t xml:space="preserve">, particularly the many Irish immigrants who came </w:t>
      </w:r>
      <w:r w:rsidR="007F7743">
        <w:lastRenderedPageBreak/>
        <w:t>fleeing the British suppression of the Great Irish Rebellion</w:t>
      </w:r>
      <w:r w:rsidR="00EE4EA3">
        <w:t xml:space="preserve">. </w:t>
      </w:r>
      <w:r w:rsidR="000713FE">
        <w:t>Founding the Manhattan Company in 1799, nominally as a water company, he successfully secured passage of its charter through the state legislature</w:t>
      </w:r>
      <w:r w:rsidR="004D4335">
        <w:t xml:space="preserve">, complete with a section that allowed it to invest surplus funds in any </w:t>
      </w:r>
      <w:proofErr w:type="gramStart"/>
      <w:r w:rsidR="004D4335">
        <w:t>cause</w:t>
      </w:r>
      <w:proofErr w:type="gramEnd"/>
      <w:r w:rsidR="004D4335">
        <w:t xml:space="preserve"> that did not violate the law. </w:t>
      </w:r>
      <w:proofErr w:type="gramStart"/>
      <w:r w:rsidR="004D4335">
        <w:t>Using this to the fullest extent</w:t>
      </w:r>
      <w:proofErr w:type="gramEnd"/>
      <w:r w:rsidR="004D4335">
        <w:t xml:space="preserve"> possible, he used it to turn the Company into a bank; given that both the Bank of New York and the state branch of the Bank of the United States, the only two banks in the state, were dominated by Federalists, this successfully broke the local banking monopoly. </w:t>
      </w:r>
      <w:r w:rsidR="00456E13">
        <w:t>With</w:t>
      </w:r>
      <w:r w:rsidR="00D91DAD">
        <w:t xml:space="preserve"> </w:t>
      </w:r>
      <w:proofErr w:type="gramStart"/>
      <w:r w:rsidR="00D91DAD">
        <w:t>it</w:t>
      </w:r>
      <w:proofErr w:type="gramEnd"/>
      <w:r w:rsidR="00456E13">
        <w:t xml:space="preserve"> institution</w:t>
      </w:r>
      <w:r w:rsidR="00D91DAD">
        <w:t xml:space="preserve">, he organized loans and extended credit to the lower classes, and through this he successfully got them to qualify for the franchise despite restrictive laws on the subject. </w:t>
      </w:r>
      <w:r w:rsidR="006B0DC1">
        <w:t xml:space="preserve">Combined with his considerable talents as a political organizer at a time when most politicians maintained a genteel façade of indifference, it successfully turned New York’s state legislature Republican the following year. This won the state for Jefferson in the 1800 election; however, Burr found himself frustrated from the vice presidency again when South Carolina voted for Jefferson and Pinckney. </w:t>
      </w:r>
    </w:p>
    <w:p w14:paraId="682DBD0A" w14:textId="73FADF02" w:rsidR="006B0DC1" w:rsidRDefault="006B0DC1" w:rsidP="004C6471">
      <w:r>
        <w:t>Needing to prevent a man as talented as Burr from being alienated from the</w:t>
      </w:r>
      <w:r w:rsidR="00386CA2">
        <w:t xml:space="preserve"> party, Jefferson made him his Secretary of State. Here, the two of them had a testy if working relationship. Jefferson regarded Burr’s involvement in mass politics less as political organization, and increasingly more as pure demagoguery. In terms of policy, Burr was no fan of Jefferson’s refusal to take advantage of federal patronage, and additionally he opposed Jefferson’s refusal to spend; instead, he wanted large-scale investment in internal improvements, to unify the nation together and to keep the west as part of the country. No doubt, this was much of the reason Jefferson established a Domestic Department led by his disciple, James Madison, to relegate the Department of State on foreign affairs in which the two concurred. In the 1804 election, Burr won nomination for the vice presidency once more, and this time he won it. Here, he was extremely effective, and his presiding </w:t>
      </w:r>
      <w:r w:rsidR="00386CA2">
        <w:lastRenderedPageBreak/>
        <w:t>over the Senate won him plaudits even from Federalists who despised him. And his farewell speech from the Senate</w:t>
      </w:r>
      <w:r w:rsidR="003C520B">
        <w:t xml:space="preserve"> was so eloquent it</w:t>
      </w:r>
      <w:r w:rsidR="00386CA2">
        <w:t xml:space="preserve"> left </w:t>
      </w:r>
      <w:r w:rsidR="003C520B">
        <w:t>observers</w:t>
      </w:r>
      <w:r w:rsidR="00386CA2">
        <w:t xml:space="preserve"> in tears. </w:t>
      </w:r>
    </w:p>
    <w:p w14:paraId="5E14BA9E" w14:textId="5FAB6686" w:rsidR="009D1C27" w:rsidRDefault="009D1C27" w:rsidP="004C6471">
      <w:r>
        <w:t>Come 1808, he was the inevitable candidate for the presidency. Despite this, in the Republican caucus, there was a large effort from the South, regarding Burr as a demagogue</w:t>
      </w:r>
      <w:r w:rsidR="00AE6817">
        <w:t xml:space="preserve"> and as unsound on slavery</w:t>
      </w:r>
      <w:r>
        <w:t>, to depose him and instead nominate James Madison; however, it failed, not in the least because other Southern states were jealous of the potential election of two Virginia-born presidents in a row</w:t>
      </w:r>
      <w:r w:rsidR="009045A3">
        <w:t>, and so there was no unified Planter Ascendancy that could stop him</w:t>
      </w:r>
      <w:r>
        <w:t>. This nomination secured</w:t>
      </w:r>
      <w:r w:rsidR="002741BB">
        <w:t xml:space="preserve"> and Virginians unhappy about Madison satiated by his selection of James Monroe as vice presidential candidate</w:t>
      </w:r>
      <w:r>
        <w:t xml:space="preserve">, Burr campaigned for the presidency openly, organizing Republican support from his residence in Washington and publishing open letters in newspapers; in an era where politicians were expected to maintain a genteel aloofness, many regarded this as little more than demagoguery. But Burr nevertheless won easy election over the Federalists’ Charles C. Pinckney, and he became president. </w:t>
      </w:r>
    </w:p>
    <w:p w14:paraId="356460D5" w14:textId="543503D4" w:rsidR="00AB5351" w:rsidRDefault="00AB5351" w:rsidP="004C6471">
      <w:r>
        <w:t xml:space="preserve">In office, Burr changed tack from Jefferson almost immediately. He fired over ten percent of all people holding government positions, in a total cleanout which he replaced by appointing his friends. This, many regarded as dangerous, more essentially able to relegate the government under the command of one man. </w:t>
      </w:r>
      <w:r w:rsidR="0077417D">
        <w:t>As</w:t>
      </w:r>
      <w:r>
        <w:t xml:space="preserve"> </w:t>
      </w:r>
      <w:r w:rsidR="0077417D">
        <w:t>patronage</w:t>
      </w:r>
      <w:r w:rsidR="006E1964">
        <w:t xml:space="preserve"> opportunities</w:t>
      </w:r>
      <w:r>
        <w:t xml:space="preserve"> </w:t>
      </w:r>
      <w:r w:rsidR="0077417D">
        <w:t xml:space="preserve">rapidly </w:t>
      </w:r>
      <w:r w:rsidR="006E1964">
        <w:t>expanded</w:t>
      </w:r>
      <w:r>
        <w:t xml:space="preserve"> </w:t>
      </w:r>
      <w:r w:rsidR="00EC5172">
        <w:t>thanks to</w:t>
      </w:r>
      <w:r>
        <w:t xml:space="preserve"> the growth of </w:t>
      </w:r>
      <w:r w:rsidR="00EF1FBE">
        <w:t>semaphoric</w:t>
      </w:r>
      <w:r w:rsidR="007964DE">
        <w:t xml:space="preserve"> telegraph</w:t>
      </w:r>
      <w:r w:rsidR="00DA622E">
        <w:t xml:space="preserve"> lines</w:t>
      </w:r>
      <w:r>
        <w:t xml:space="preserve"> over his presidency, such fears only enhanced in scope. </w:t>
      </w:r>
      <w:r w:rsidR="002A76C8">
        <w:t xml:space="preserve">This remains controversial – some historians regard this a move to prevent the formation of a state-within-a-state, and others regard it as simply rewarding political friends, and increasing corruption as a result. At the time, a strange coalition of Federalists and </w:t>
      </w:r>
      <w:proofErr w:type="gramStart"/>
      <w:r w:rsidR="002A76C8">
        <w:t>ultra Republicans</w:t>
      </w:r>
      <w:proofErr w:type="gramEnd"/>
      <w:r w:rsidR="002A76C8">
        <w:t xml:space="preserve"> who criticized this as an act of executive aggrandizement; despite this Burr got away with it. This wave of firings also </w:t>
      </w:r>
      <w:r w:rsidR="002A76C8">
        <w:lastRenderedPageBreak/>
        <w:t xml:space="preserve">reached the cabinet, where Burr replaced all of Jefferson’s appointees except for Secretary of the Treasury Albert Gallatin, who </w:t>
      </w:r>
      <w:r w:rsidR="00615DA9">
        <w:t>he</w:t>
      </w:r>
      <w:r w:rsidR="003C520B">
        <w:t xml:space="preserve"> regarded as a close ally. </w:t>
      </w:r>
    </w:p>
    <w:p w14:paraId="5DE014FF" w14:textId="0E1BEA4F" w:rsidR="005B63A2" w:rsidRDefault="005B63A2" w:rsidP="004C6471">
      <w:r>
        <w:t xml:space="preserve">Another change in political tack came when Burr authorized an unprecedented programme of spending on, in the parlance of the era, internal improvements. This was hardly a new policy – beyond Hamiltonian Federalist policies, Albert Gallatin had in 1808 presented a plan </w:t>
      </w:r>
      <w:r w:rsidR="004E1086">
        <w:t xml:space="preserve">to Congress </w:t>
      </w:r>
      <w:r>
        <w:t xml:space="preserve">for constructing canals and </w:t>
      </w:r>
      <w:r w:rsidR="004E1086">
        <w:t>roads across the nation. This plan was received with enthusiasm, and most historians agree that Jefferson planned, once the debt was paid off, to make money available</w:t>
      </w:r>
      <w:r w:rsidR="00551C17">
        <w:t xml:space="preserve"> for it</w:t>
      </w:r>
      <w:r w:rsidR="004E1086">
        <w:t xml:space="preserve"> once the national debt was paid off, but Burr wanted it available earlier. Thus, he proposed a bill through Congress which would authorize the use of federal funds to construct a series of canals across the nation, and despite opposition from ultra-Republicans, he secured its passage through Congress. The centerpiece of this was the Erie Canal; though begun construction with New York’s state funds in 1806, the federal funds made available helped its construction dramatically and turned this into Burr’s pet project.</w:t>
      </w:r>
      <w:r w:rsidR="00093B96">
        <w:t xml:space="preserve"> But it was hardly alone in this, as it was one of several canals planned to the west, and it was joined by several intracoastal canals cutting peninsulas to quicken shipping times. </w:t>
      </w:r>
      <w:r w:rsidR="001F3FB9">
        <w:t>These programs</w:t>
      </w:r>
      <w:r w:rsidR="00093B96">
        <w:t xml:space="preserve"> received Burr the strong support of the West</w:t>
      </w:r>
      <w:r w:rsidR="001F3FB9">
        <w:t xml:space="preserve"> in particular</w:t>
      </w:r>
      <w:r w:rsidR="00093B96">
        <w:t>. But this also drew opposition, including from one notable figure.</w:t>
      </w:r>
      <w:r w:rsidR="004E1086">
        <w:t xml:space="preserve"> </w:t>
      </w:r>
      <w:r w:rsidR="00093B96">
        <w:t>In retirement on his plantation,</w:t>
      </w:r>
      <w:r w:rsidR="00E867F5">
        <w:t xml:space="preserve"> Thomas</w:t>
      </w:r>
      <w:r w:rsidR="00093B96">
        <w:t xml:space="preserve"> Jefferson criticized this as loose construction of constitutional powers, and with his support Virginia issued resolutions condemning this as unconstitutional. Despite this, when the federal government handed Virginia money to use</w:t>
      </w:r>
      <w:r w:rsidR="002874C5">
        <w:t xml:space="preserve"> to whatever end it may desire</w:t>
      </w:r>
      <w:r w:rsidR="00093B96">
        <w:t xml:space="preserve">, its long-held ambitions of cutting the way through canals only made it </w:t>
      </w:r>
      <w:proofErr w:type="gramStart"/>
      <w:r w:rsidR="00093B96">
        <w:t>too</w:t>
      </w:r>
      <w:proofErr w:type="gramEnd"/>
      <w:r w:rsidR="00093B96">
        <w:t xml:space="preserve"> happy to accept it</w:t>
      </w:r>
      <w:r w:rsidR="0055070D">
        <w:t xml:space="preserve">. </w:t>
      </w:r>
      <w:r w:rsidR="00DD4C0B">
        <w:t>Additionally,</w:t>
      </w:r>
      <w:r w:rsidR="0055070D">
        <w:t xml:space="preserve"> the Tariff of 1810, by increasing tariffs in a time of public prosperity, ensured that the budget would still be balanced and the national debt be paid off</w:t>
      </w:r>
      <w:r w:rsidR="00093B96">
        <w:t xml:space="preserve">. Increasingly, Jefferson fumed; he regarded Burr as nothing short of an American Catiline, using demagoguery to erode constitutional norms and limits for his </w:t>
      </w:r>
      <w:r w:rsidR="00093B96">
        <w:lastRenderedPageBreak/>
        <w:t xml:space="preserve">personal aggrandizement. </w:t>
      </w:r>
      <w:r w:rsidR="00363B8D">
        <w:t xml:space="preserve">In such feelings, he was also influenced by his bottom line – the tariff undercut the export of raw cotton that was the entire basis of the Southern economy, after all. </w:t>
      </w:r>
    </w:p>
    <w:p w14:paraId="4A44BD1B" w14:textId="494454BE" w:rsidR="002741BB" w:rsidRDefault="00093B96" w:rsidP="004C6471">
      <w:r>
        <w:t xml:space="preserve">Such controversy only increased when </w:t>
      </w:r>
      <w:r w:rsidR="002741BB">
        <w:t xml:space="preserve">it came time to </w:t>
      </w:r>
      <w:r w:rsidR="00874921">
        <w:t>renew the Bank of the United States. As an institution, this was the only bank chartered by the federal government</w:t>
      </w:r>
      <w:r w:rsidR="00713647">
        <w:t xml:space="preserve">, and it served some but not </w:t>
      </w:r>
      <w:proofErr w:type="gramStart"/>
      <w:r w:rsidR="00713647">
        <w:t>all of</w:t>
      </w:r>
      <w:proofErr w:type="gramEnd"/>
      <w:r w:rsidR="00713647">
        <w:t xml:space="preserve"> the duties of a modern central bank. Its banknotes served as a medium of exchange, and in a time when specie was rare, it was the only medium of exchange available </w:t>
      </w:r>
      <w:proofErr w:type="gramStart"/>
      <w:r w:rsidR="00713647">
        <w:t>all across</w:t>
      </w:r>
      <w:proofErr w:type="gramEnd"/>
      <w:r w:rsidR="00713647">
        <w:t xml:space="preserve"> the US. Additionally, it served a sort of supervisory role over the various state banks; it served something of a regulating role in that it intentionally collapsed state banks lacking enough deposits to back its loans, and other, more critical state banks it helped support by extending loans. Established in 1791 in an effort spearheaded by Hamilton, Jefferson allowed its continued existence only to pay off the national debt; with its 20-year charter up for renewal in 1811, he believed it was best to allow it to simply cease to exist. However, Burr believed a national bank necessary to establish financial security for the nation at large; as such, he presented a bill to renew its charter, but with several broad changes. Together, they would make it into an institution </w:t>
      </w:r>
      <w:proofErr w:type="gramStart"/>
      <w:r w:rsidR="00713647">
        <w:t>similar to</w:t>
      </w:r>
      <w:proofErr w:type="gramEnd"/>
      <w:r w:rsidR="00713647">
        <w:t xml:space="preserve"> the </w:t>
      </w:r>
      <w:r w:rsidR="00542FC7">
        <w:t xml:space="preserve">Manhattan Company – only American residents would be able to own shares, individuals would be capped in terms of how many shares they would own, and its directors would be several Republicans. However, this bill saw the opposition of many Republicans, not in the least Jefferson, and combined with Federalist votes it got handily defeated. The Bank of the United States would expire; its assets ended up getting purchased by the Philadelphian banker Stephen Girard, who made it the basis of a </w:t>
      </w:r>
      <w:r w:rsidR="002A6319">
        <w:t xml:space="preserve">smaller </w:t>
      </w:r>
      <w:r w:rsidR="00542FC7">
        <w:t>bank</w:t>
      </w:r>
      <w:r w:rsidR="002A6319">
        <w:t xml:space="preserve"> that nonetheless was the only one with a national scope</w:t>
      </w:r>
      <w:r w:rsidR="00542FC7">
        <w:t xml:space="preserve">. Legitimately believing a central bank to be necessary for American economic prosperity, </w:t>
      </w:r>
      <w:r w:rsidR="00D17DF3">
        <w:t xml:space="preserve">in 1812 </w:t>
      </w:r>
      <w:r w:rsidR="00542FC7">
        <w:t>Burr successfully established a smaller bank specifically meant to ope</w:t>
      </w:r>
      <w:r w:rsidR="00D17DF3">
        <w:t xml:space="preserve">rate in the capital, the Fiscal Bank of Washington. Though it proved important in the growth of the capital from a small set of villages, it was not a central bank, and this defeat helped further divide Burr and Jefferson. </w:t>
      </w:r>
    </w:p>
    <w:p w14:paraId="523B7B8A" w14:textId="4791CCDE" w:rsidR="00C1699C" w:rsidRDefault="00D17DF3" w:rsidP="00C1699C">
      <w:r>
        <w:lastRenderedPageBreak/>
        <w:t xml:space="preserve">The 1812 Republican caucus saw Burr </w:t>
      </w:r>
      <w:r w:rsidR="007B03E2">
        <w:t>nominated</w:t>
      </w:r>
      <w:r>
        <w:t xml:space="preserve">, although a section of the party refused to accept this and instead nominated William Crawford of Georgia. Most of the Party stood with Burr, but it was a close-run thing – his vice president also won renomination, with notably higher enthusiasm from </w:t>
      </w:r>
      <w:r w:rsidR="0070180A">
        <w:t xml:space="preserve">the southern </w:t>
      </w:r>
      <w:r>
        <w:t xml:space="preserve">section of the party. The ensuing election saw the Republicans prevail over both the Federalists’ John Marshall and the ultra-Republicans’ Crawford; that was, however, where the real drama was just beginning. A large section of the electors for Crawford voted also for Monroe, </w:t>
      </w:r>
      <w:r w:rsidR="0099754A">
        <w:t xml:space="preserve">the same </w:t>
      </w:r>
      <w:r>
        <w:t>number of the electors for Burr decided not to also vote for Monroe, instead throw</w:t>
      </w:r>
      <w:r w:rsidR="00C061C8">
        <w:t>ing</w:t>
      </w:r>
      <w:r>
        <w:t xml:space="preserve"> their vote away. The result was that Burr and Monroe ended up tied in number of votes won, in </w:t>
      </w:r>
      <w:r w:rsidR="00C061C8">
        <w:t>an unprecedented</w:t>
      </w:r>
      <w:r w:rsidR="00C1699C">
        <w:t xml:space="preserve"> moment in American electoral history</w:t>
      </w:r>
      <w:r w:rsidR="00912C90">
        <w:rPr>
          <w:rStyle w:val="EndnoteReference"/>
        </w:rPr>
        <w:endnoteReference w:id="14"/>
      </w:r>
      <w:r w:rsidR="00C1699C">
        <w:t xml:space="preserve">. </w:t>
      </w:r>
    </w:p>
    <w:p w14:paraId="7E7CC430" w14:textId="77777777" w:rsidR="00C1699C" w:rsidRDefault="00C1699C" w:rsidP="00C1699C"/>
    <w:p w14:paraId="56E7D2D5" w14:textId="364A1618" w:rsidR="00C061C8" w:rsidRDefault="00C061C8" w:rsidP="00C061C8">
      <w:pPr>
        <w:pStyle w:val="Caption"/>
      </w:pPr>
      <w:bookmarkStart w:id="4" w:name="_Toc202006258"/>
      <w:r>
        <w:t xml:space="preserve">Figure </w:t>
      </w:r>
      <w:fldSimple w:instr=" SEQ Figure \* ARABIC ">
        <w:r w:rsidR="00567D66">
          <w:rPr>
            <w:noProof/>
          </w:rPr>
          <w:t>2</w:t>
        </w:r>
      </w:fldSimple>
      <w:r>
        <w:t>. The 1812 election, by state</w:t>
      </w:r>
      <w:bookmarkEnd w:id="4"/>
    </w:p>
    <w:p w14:paraId="2FE72FEF" w14:textId="2DF9A020" w:rsidR="00C061C8" w:rsidRPr="00C061C8" w:rsidRDefault="00C061C8" w:rsidP="007B03E2">
      <w:pPr>
        <w:pStyle w:val="captionadd"/>
      </w:pPr>
      <w:r>
        <w:t>Note: Each elector, counted individually in “</w:t>
      </w:r>
      <w:r w:rsidR="00501C5E">
        <w:t>Electors</w:t>
      </w:r>
      <w:r>
        <w:t>”</w:t>
      </w:r>
      <w:r w:rsidR="00501C5E">
        <w:t>,</w:t>
      </w:r>
      <w:r>
        <w:t xml:space="preserve"> cast two different ballots for president. </w:t>
      </w:r>
      <w:r w:rsidR="007B03E2">
        <w:t>For the sake of simplicity, votes for candidates other than Burr and Monroe are grouped under “Other”</w:t>
      </w:r>
    </w:p>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809"/>
        <w:gridCol w:w="1755"/>
        <w:gridCol w:w="2002"/>
        <w:gridCol w:w="1546"/>
      </w:tblGrid>
      <w:tr w:rsidR="00C1699C" w:rsidRPr="00F0605D" w14:paraId="65AD57BB" w14:textId="433482F8" w:rsidTr="00501C5E">
        <w:trPr>
          <w:trHeight w:val="271"/>
        </w:trPr>
        <w:tc>
          <w:tcPr>
            <w:tcW w:w="2427" w:type="dxa"/>
            <w:tcBorders>
              <w:bottom w:val="single" w:sz="4" w:space="0" w:color="auto"/>
              <w:right w:val="single" w:sz="4" w:space="0" w:color="auto"/>
            </w:tcBorders>
          </w:tcPr>
          <w:p w14:paraId="276B4482" w14:textId="47D16973" w:rsidR="00C1699C" w:rsidRPr="00F0605D" w:rsidRDefault="00C1699C" w:rsidP="00AF4CAA">
            <w:pPr>
              <w:pStyle w:val="NoSpacing"/>
              <w:rPr>
                <w:b/>
                <w:bCs/>
              </w:rPr>
            </w:pPr>
            <w:r w:rsidRPr="00F0605D">
              <w:rPr>
                <w:b/>
                <w:bCs/>
              </w:rPr>
              <w:t>State</w:t>
            </w:r>
          </w:p>
        </w:tc>
        <w:tc>
          <w:tcPr>
            <w:tcW w:w="1809" w:type="dxa"/>
            <w:tcBorders>
              <w:left w:val="single" w:sz="4" w:space="0" w:color="auto"/>
              <w:bottom w:val="single" w:sz="4" w:space="0" w:color="auto"/>
              <w:right w:val="single" w:sz="4" w:space="0" w:color="auto"/>
            </w:tcBorders>
          </w:tcPr>
          <w:p w14:paraId="593008B1" w14:textId="6929FA50" w:rsidR="00C1699C" w:rsidRPr="00F0605D" w:rsidRDefault="00501C5E" w:rsidP="00AF4CAA">
            <w:pPr>
              <w:pStyle w:val="NoSpacing"/>
              <w:rPr>
                <w:b/>
                <w:bCs/>
              </w:rPr>
            </w:pPr>
            <w:r w:rsidRPr="00F0605D">
              <w:rPr>
                <w:b/>
                <w:bCs/>
              </w:rPr>
              <w:t>Electors</w:t>
            </w:r>
          </w:p>
        </w:tc>
        <w:tc>
          <w:tcPr>
            <w:tcW w:w="1755" w:type="dxa"/>
            <w:tcBorders>
              <w:left w:val="single" w:sz="4" w:space="0" w:color="auto"/>
              <w:bottom w:val="single" w:sz="4" w:space="0" w:color="auto"/>
            </w:tcBorders>
          </w:tcPr>
          <w:p w14:paraId="22CA437F" w14:textId="5B4F0FE9" w:rsidR="00C1699C" w:rsidRPr="00F0605D" w:rsidRDefault="00C1699C" w:rsidP="00AF4CAA">
            <w:pPr>
              <w:pStyle w:val="NoSpacing"/>
              <w:rPr>
                <w:b/>
                <w:bCs/>
              </w:rPr>
            </w:pPr>
            <w:r w:rsidRPr="00F0605D">
              <w:rPr>
                <w:b/>
                <w:bCs/>
              </w:rPr>
              <w:t>Burr</w:t>
            </w:r>
          </w:p>
        </w:tc>
        <w:tc>
          <w:tcPr>
            <w:tcW w:w="2002" w:type="dxa"/>
            <w:tcBorders>
              <w:bottom w:val="single" w:sz="4" w:space="0" w:color="auto"/>
            </w:tcBorders>
          </w:tcPr>
          <w:p w14:paraId="448C26C5" w14:textId="7DF2B99F" w:rsidR="00C1699C" w:rsidRPr="00F0605D" w:rsidRDefault="00C1699C" w:rsidP="00AF4CAA">
            <w:pPr>
              <w:pStyle w:val="NoSpacing"/>
              <w:rPr>
                <w:b/>
                <w:bCs/>
              </w:rPr>
            </w:pPr>
            <w:r w:rsidRPr="00F0605D">
              <w:rPr>
                <w:b/>
                <w:bCs/>
              </w:rPr>
              <w:t>Monroe</w:t>
            </w:r>
          </w:p>
        </w:tc>
        <w:tc>
          <w:tcPr>
            <w:tcW w:w="1546" w:type="dxa"/>
            <w:tcBorders>
              <w:bottom w:val="single" w:sz="4" w:space="0" w:color="auto"/>
            </w:tcBorders>
          </w:tcPr>
          <w:p w14:paraId="509140B4" w14:textId="6CFCAFE7" w:rsidR="00C1699C" w:rsidRPr="00F0605D" w:rsidRDefault="00C1699C" w:rsidP="00AF4CAA">
            <w:pPr>
              <w:pStyle w:val="NoSpacing"/>
              <w:rPr>
                <w:b/>
                <w:bCs/>
              </w:rPr>
            </w:pPr>
            <w:r w:rsidRPr="00F0605D">
              <w:rPr>
                <w:b/>
                <w:bCs/>
              </w:rPr>
              <w:t>Other</w:t>
            </w:r>
          </w:p>
        </w:tc>
      </w:tr>
      <w:tr w:rsidR="00C061C8" w14:paraId="4F0968C7" w14:textId="6F6C26B5" w:rsidTr="00501C5E">
        <w:trPr>
          <w:trHeight w:val="278"/>
        </w:trPr>
        <w:tc>
          <w:tcPr>
            <w:tcW w:w="2427" w:type="dxa"/>
            <w:tcBorders>
              <w:top w:val="single" w:sz="4" w:space="0" w:color="auto"/>
              <w:right w:val="single" w:sz="4" w:space="0" w:color="auto"/>
            </w:tcBorders>
          </w:tcPr>
          <w:p w14:paraId="460B8736" w14:textId="3416EC98" w:rsidR="00C061C8" w:rsidRDefault="00C061C8" w:rsidP="00AF4CAA">
            <w:pPr>
              <w:pStyle w:val="NoSpacing"/>
            </w:pPr>
            <w:r>
              <w:t>Massachusetts</w:t>
            </w:r>
          </w:p>
        </w:tc>
        <w:tc>
          <w:tcPr>
            <w:tcW w:w="1809" w:type="dxa"/>
            <w:tcBorders>
              <w:top w:val="single" w:sz="4" w:space="0" w:color="auto"/>
              <w:left w:val="single" w:sz="4" w:space="0" w:color="auto"/>
              <w:right w:val="single" w:sz="4" w:space="0" w:color="auto"/>
            </w:tcBorders>
          </w:tcPr>
          <w:p w14:paraId="434EFA22" w14:textId="61C80FE3" w:rsidR="00C061C8" w:rsidRDefault="00C061C8" w:rsidP="00AF4CAA">
            <w:pPr>
              <w:pStyle w:val="NoSpacing"/>
            </w:pPr>
            <w:r>
              <w:t>22</w:t>
            </w:r>
          </w:p>
        </w:tc>
        <w:tc>
          <w:tcPr>
            <w:tcW w:w="1755" w:type="dxa"/>
            <w:tcBorders>
              <w:top w:val="single" w:sz="4" w:space="0" w:color="auto"/>
              <w:left w:val="single" w:sz="4" w:space="0" w:color="auto"/>
            </w:tcBorders>
          </w:tcPr>
          <w:p w14:paraId="47DECA2F" w14:textId="380216A9" w:rsidR="00C061C8" w:rsidRDefault="00C061C8" w:rsidP="00AF4CAA">
            <w:pPr>
              <w:pStyle w:val="NoSpacing"/>
            </w:pPr>
            <w:r w:rsidRPr="00766E32">
              <w:t>0</w:t>
            </w:r>
          </w:p>
        </w:tc>
        <w:tc>
          <w:tcPr>
            <w:tcW w:w="2002" w:type="dxa"/>
            <w:tcBorders>
              <w:top w:val="single" w:sz="4" w:space="0" w:color="auto"/>
            </w:tcBorders>
          </w:tcPr>
          <w:p w14:paraId="48FF5320" w14:textId="7D9E0D8E" w:rsidR="00C061C8" w:rsidRDefault="00C061C8" w:rsidP="00AF4CAA">
            <w:pPr>
              <w:pStyle w:val="NoSpacing"/>
            </w:pPr>
            <w:r w:rsidRPr="00766E32">
              <w:t>0</w:t>
            </w:r>
          </w:p>
        </w:tc>
        <w:tc>
          <w:tcPr>
            <w:tcW w:w="1546" w:type="dxa"/>
            <w:tcBorders>
              <w:top w:val="single" w:sz="4" w:space="0" w:color="auto"/>
            </w:tcBorders>
          </w:tcPr>
          <w:p w14:paraId="2315EE7C" w14:textId="003886F1" w:rsidR="00C061C8" w:rsidRDefault="00C061C8" w:rsidP="00AF4CAA">
            <w:pPr>
              <w:pStyle w:val="NoSpacing"/>
            </w:pPr>
            <w:r>
              <w:t>44</w:t>
            </w:r>
          </w:p>
        </w:tc>
      </w:tr>
      <w:tr w:rsidR="00C061C8" w14:paraId="4A0F4BAE" w14:textId="77777777" w:rsidTr="00501C5E">
        <w:trPr>
          <w:trHeight w:val="239"/>
        </w:trPr>
        <w:tc>
          <w:tcPr>
            <w:tcW w:w="2427" w:type="dxa"/>
            <w:tcBorders>
              <w:right w:val="single" w:sz="4" w:space="0" w:color="auto"/>
            </w:tcBorders>
          </w:tcPr>
          <w:p w14:paraId="0BF9C10C" w14:textId="2C37D889" w:rsidR="00C061C8" w:rsidRDefault="00C061C8" w:rsidP="00AF4CAA">
            <w:pPr>
              <w:pStyle w:val="NoSpacing"/>
            </w:pPr>
            <w:r>
              <w:t>New Hampshire</w:t>
            </w:r>
          </w:p>
        </w:tc>
        <w:tc>
          <w:tcPr>
            <w:tcW w:w="1809" w:type="dxa"/>
            <w:tcBorders>
              <w:left w:val="single" w:sz="4" w:space="0" w:color="auto"/>
              <w:right w:val="single" w:sz="4" w:space="0" w:color="auto"/>
            </w:tcBorders>
          </w:tcPr>
          <w:p w14:paraId="076FA5D5" w14:textId="53166FA6" w:rsidR="00C061C8" w:rsidRDefault="00C061C8" w:rsidP="00AF4CAA">
            <w:pPr>
              <w:pStyle w:val="NoSpacing"/>
            </w:pPr>
            <w:r>
              <w:t>8</w:t>
            </w:r>
          </w:p>
        </w:tc>
        <w:tc>
          <w:tcPr>
            <w:tcW w:w="1755" w:type="dxa"/>
            <w:tcBorders>
              <w:left w:val="single" w:sz="4" w:space="0" w:color="auto"/>
            </w:tcBorders>
          </w:tcPr>
          <w:p w14:paraId="61397FE5" w14:textId="432C258A" w:rsidR="00C061C8" w:rsidRDefault="00C061C8" w:rsidP="00AF4CAA">
            <w:pPr>
              <w:pStyle w:val="NoSpacing"/>
            </w:pPr>
            <w:r w:rsidRPr="00766E32">
              <w:t>8</w:t>
            </w:r>
          </w:p>
        </w:tc>
        <w:tc>
          <w:tcPr>
            <w:tcW w:w="2002" w:type="dxa"/>
          </w:tcPr>
          <w:p w14:paraId="75EC51C6" w14:textId="7BEE7A47" w:rsidR="00C061C8" w:rsidRDefault="00C061C8" w:rsidP="00AF4CAA">
            <w:pPr>
              <w:pStyle w:val="NoSpacing"/>
            </w:pPr>
            <w:r>
              <w:t>2</w:t>
            </w:r>
          </w:p>
        </w:tc>
        <w:tc>
          <w:tcPr>
            <w:tcW w:w="1546" w:type="dxa"/>
          </w:tcPr>
          <w:p w14:paraId="1640ABE6" w14:textId="139D8925" w:rsidR="00C061C8" w:rsidRDefault="00C061C8" w:rsidP="00AF4CAA">
            <w:pPr>
              <w:pStyle w:val="NoSpacing"/>
            </w:pPr>
            <w:r>
              <w:t>6</w:t>
            </w:r>
          </w:p>
        </w:tc>
      </w:tr>
      <w:tr w:rsidR="00C061C8" w14:paraId="01132844" w14:textId="77777777" w:rsidTr="00501C5E">
        <w:trPr>
          <w:trHeight w:val="271"/>
        </w:trPr>
        <w:tc>
          <w:tcPr>
            <w:tcW w:w="2427" w:type="dxa"/>
            <w:tcBorders>
              <w:right w:val="single" w:sz="4" w:space="0" w:color="auto"/>
            </w:tcBorders>
          </w:tcPr>
          <w:p w14:paraId="3E740EE4" w14:textId="4989CA5A" w:rsidR="00C061C8" w:rsidRDefault="00C061C8" w:rsidP="00AF4CAA">
            <w:pPr>
              <w:pStyle w:val="NoSpacing"/>
            </w:pPr>
            <w:r>
              <w:t>Vermont</w:t>
            </w:r>
          </w:p>
        </w:tc>
        <w:tc>
          <w:tcPr>
            <w:tcW w:w="1809" w:type="dxa"/>
            <w:tcBorders>
              <w:left w:val="single" w:sz="4" w:space="0" w:color="auto"/>
              <w:right w:val="single" w:sz="4" w:space="0" w:color="auto"/>
            </w:tcBorders>
          </w:tcPr>
          <w:p w14:paraId="056C2503" w14:textId="1EC61AA2" w:rsidR="00C061C8" w:rsidRDefault="00C061C8" w:rsidP="00AF4CAA">
            <w:pPr>
              <w:pStyle w:val="NoSpacing"/>
            </w:pPr>
            <w:r>
              <w:t>8</w:t>
            </w:r>
          </w:p>
        </w:tc>
        <w:tc>
          <w:tcPr>
            <w:tcW w:w="1755" w:type="dxa"/>
            <w:tcBorders>
              <w:left w:val="single" w:sz="4" w:space="0" w:color="auto"/>
            </w:tcBorders>
          </w:tcPr>
          <w:p w14:paraId="20D491F3" w14:textId="0FA8F84D" w:rsidR="00C061C8" w:rsidRDefault="00C061C8" w:rsidP="00AF4CAA">
            <w:pPr>
              <w:pStyle w:val="NoSpacing"/>
            </w:pPr>
            <w:r w:rsidRPr="00766E32">
              <w:t>8</w:t>
            </w:r>
          </w:p>
        </w:tc>
        <w:tc>
          <w:tcPr>
            <w:tcW w:w="2002" w:type="dxa"/>
          </w:tcPr>
          <w:p w14:paraId="15EFD10D" w14:textId="43FB5583" w:rsidR="00C061C8" w:rsidRDefault="00C061C8" w:rsidP="00AF4CAA">
            <w:pPr>
              <w:pStyle w:val="NoSpacing"/>
            </w:pPr>
            <w:r>
              <w:t>7</w:t>
            </w:r>
          </w:p>
        </w:tc>
        <w:tc>
          <w:tcPr>
            <w:tcW w:w="1546" w:type="dxa"/>
          </w:tcPr>
          <w:p w14:paraId="58604A67" w14:textId="272AD6C2" w:rsidR="00C061C8" w:rsidRDefault="00C061C8" w:rsidP="00AF4CAA">
            <w:pPr>
              <w:pStyle w:val="NoSpacing"/>
            </w:pPr>
            <w:r>
              <w:t>1</w:t>
            </w:r>
          </w:p>
        </w:tc>
      </w:tr>
      <w:tr w:rsidR="00C061C8" w14:paraId="0E3206A3" w14:textId="77777777" w:rsidTr="00501C5E">
        <w:trPr>
          <w:trHeight w:val="278"/>
        </w:trPr>
        <w:tc>
          <w:tcPr>
            <w:tcW w:w="2427" w:type="dxa"/>
            <w:tcBorders>
              <w:right w:val="single" w:sz="4" w:space="0" w:color="auto"/>
            </w:tcBorders>
          </w:tcPr>
          <w:p w14:paraId="609F337D" w14:textId="29FDBAA7" w:rsidR="00C061C8" w:rsidRDefault="00C061C8" w:rsidP="00AF4CAA">
            <w:pPr>
              <w:pStyle w:val="NoSpacing"/>
            </w:pPr>
            <w:r>
              <w:t>Rhode Island</w:t>
            </w:r>
          </w:p>
        </w:tc>
        <w:tc>
          <w:tcPr>
            <w:tcW w:w="1809" w:type="dxa"/>
            <w:tcBorders>
              <w:left w:val="single" w:sz="4" w:space="0" w:color="auto"/>
              <w:right w:val="single" w:sz="4" w:space="0" w:color="auto"/>
            </w:tcBorders>
          </w:tcPr>
          <w:p w14:paraId="56871A60" w14:textId="30F87ED6" w:rsidR="00C061C8" w:rsidRDefault="00C061C8" w:rsidP="00AF4CAA">
            <w:pPr>
              <w:pStyle w:val="NoSpacing"/>
            </w:pPr>
            <w:r>
              <w:t>4</w:t>
            </w:r>
          </w:p>
        </w:tc>
        <w:tc>
          <w:tcPr>
            <w:tcW w:w="1755" w:type="dxa"/>
            <w:tcBorders>
              <w:left w:val="single" w:sz="4" w:space="0" w:color="auto"/>
            </w:tcBorders>
          </w:tcPr>
          <w:p w14:paraId="180BB828" w14:textId="604A5B4B" w:rsidR="00C061C8" w:rsidRDefault="00C061C8" w:rsidP="00AF4CAA">
            <w:pPr>
              <w:pStyle w:val="NoSpacing"/>
            </w:pPr>
            <w:r w:rsidRPr="00766E32">
              <w:t>4</w:t>
            </w:r>
          </w:p>
        </w:tc>
        <w:tc>
          <w:tcPr>
            <w:tcW w:w="2002" w:type="dxa"/>
          </w:tcPr>
          <w:p w14:paraId="14A4A3DC" w14:textId="4173961F" w:rsidR="00C061C8" w:rsidRDefault="00C061C8" w:rsidP="00AF4CAA">
            <w:pPr>
              <w:pStyle w:val="NoSpacing"/>
            </w:pPr>
            <w:r w:rsidRPr="00766E32">
              <w:t>4</w:t>
            </w:r>
          </w:p>
        </w:tc>
        <w:tc>
          <w:tcPr>
            <w:tcW w:w="1546" w:type="dxa"/>
          </w:tcPr>
          <w:p w14:paraId="12B39399" w14:textId="317D99C2" w:rsidR="00C061C8" w:rsidRDefault="00C061C8" w:rsidP="00AF4CAA">
            <w:pPr>
              <w:pStyle w:val="NoSpacing"/>
            </w:pPr>
            <w:r>
              <w:t>0</w:t>
            </w:r>
          </w:p>
        </w:tc>
      </w:tr>
      <w:tr w:rsidR="00C061C8" w14:paraId="37D32582" w14:textId="77777777" w:rsidTr="00501C5E">
        <w:trPr>
          <w:trHeight w:val="271"/>
        </w:trPr>
        <w:tc>
          <w:tcPr>
            <w:tcW w:w="2427" w:type="dxa"/>
            <w:tcBorders>
              <w:right w:val="single" w:sz="4" w:space="0" w:color="auto"/>
            </w:tcBorders>
          </w:tcPr>
          <w:p w14:paraId="2E57E3C2" w14:textId="744E0FD6" w:rsidR="00C061C8" w:rsidRDefault="00C061C8" w:rsidP="00AF4CAA">
            <w:pPr>
              <w:pStyle w:val="NoSpacing"/>
            </w:pPr>
            <w:r>
              <w:t>Connecticut</w:t>
            </w:r>
          </w:p>
        </w:tc>
        <w:tc>
          <w:tcPr>
            <w:tcW w:w="1809" w:type="dxa"/>
            <w:tcBorders>
              <w:left w:val="single" w:sz="4" w:space="0" w:color="auto"/>
              <w:right w:val="single" w:sz="4" w:space="0" w:color="auto"/>
            </w:tcBorders>
          </w:tcPr>
          <w:p w14:paraId="7CC9596C" w14:textId="0D77C9D3" w:rsidR="00C061C8" w:rsidRDefault="00C061C8" w:rsidP="00AF4CAA">
            <w:pPr>
              <w:pStyle w:val="NoSpacing"/>
            </w:pPr>
            <w:r>
              <w:t>10</w:t>
            </w:r>
          </w:p>
        </w:tc>
        <w:tc>
          <w:tcPr>
            <w:tcW w:w="1755" w:type="dxa"/>
            <w:tcBorders>
              <w:left w:val="single" w:sz="4" w:space="0" w:color="auto"/>
            </w:tcBorders>
          </w:tcPr>
          <w:p w14:paraId="53787D2B" w14:textId="1F9D245D" w:rsidR="00C061C8" w:rsidRDefault="00C061C8" w:rsidP="00AF4CAA">
            <w:pPr>
              <w:pStyle w:val="NoSpacing"/>
            </w:pPr>
            <w:r w:rsidRPr="00766E32">
              <w:t>0</w:t>
            </w:r>
          </w:p>
        </w:tc>
        <w:tc>
          <w:tcPr>
            <w:tcW w:w="2002" w:type="dxa"/>
          </w:tcPr>
          <w:p w14:paraId="5066BB0E" w14:textId="0A52F2EA" w:rsidR="00C061C8" w:rsidRDefault="00C061C8" w:rsidP="00AF4CAA">
            <w:pPr>
              <w:pStyle w:val="NoSpacing"/>
            </w:pPr>
            <w:r w:rsidRPr="00766E32">
              <w:t>0</w:t>
            </w:r>
          </w:p>
        </w:tc>
        <w:tc>
          <w:tcPr>
            <w:tcW w:w="1546" w:type="dxa"/>
          </w:tcPr>
          <w:p w14:paraId="0CA883C0" w14:textId="6CE2A9A2" w:rsidR="00C061C8" w:rsidRDefault="00C061C8" w:rsidP="00AF4CAA">
            <w:pPr>
              <w:pStyle w:val="NoSpacing"/>
            </w:pPr>
            <w:r>
              <w:t>20</w:t>
            </w:r>
          </w:p>
        </w:tc>
      </w:tr>
      <w:tr w:rsidR="00C061C8" w14:paraId="1F6088A5" w14:textId="77777777" w:rsidTr="00501C5E">
        <w:trPr>
          <w:trHeight w:val="278"/>
        </w:trPr>
        <w:tc>
          <w:tcPr>
            <w:tcW w:w="2427" w:type="dxa"/>
            <w:tcBorders>
              <w:right w:val="single" w:sz="4" w:space="0" w:color="auto"/>
            </w:tcBorders>
          </w:tcPr>
          <w:p w14:paraId="1B41A3DA" w14:textId="7F5C09CE" w:rsidR="00C061C8" w:rsidRDefault="00C061C8" w:rsidP="00AF4CAA">
            <w:pPr>
              <w:pStyle w:val="NoSpacing"/>
            </w:pPr>
            <w:r>
              <w:t>New York</w:t>
            </w:r>
          </w:p>
        </w:tc>
        <w:tc>
          <w:tcPr>
            <w:tcW w:w="1809" w:type="dxa"/>
            <w:tcBorders>
              <w:left w:val="single" w:sz="4" w:space="0" w:color="auto"/>
              <w:right w:val="single" w:sz="4" w:space="0" w:color="auto"/>
            </w:tcBorders>
          </w:tcPr>
          <w:p w14:paraId="4037A675" w14:textId="086A576C" w:rsidR="00C061C8" w:rsidRDefault="00C061C8" w:rsidP="00AF4CAA">
            <w:pPr>
              <w:pStyle w:val="NoSpacing"/>
            </w:pPr>
            <w:r>
              <w:t>33</w:t>
            </w:r>
          </w:p>
        </w:tc>
        <w:tc>
          <w:tcPr>
            <w:tcW w:w="1755" w:type="dxa"/>
            <w:tcBorders>
              <w:left w:val="single" w:sz="4" w:space="0" w:color="auto"/>
            </w:tcBorders>
          </w:tcPr>
          <w:p w14:paraId="31F99C30" w14:textId="6A88CEA3" w:rsidR="00C061C8" w:rsidRDefault="00C061C8" w:rsidP="00AF4CAA">
            <w:pPr>
              <w:pStyle w:val="NoSpacing"/>
            </w:pPr>
            <w:r w:rsidRPr="00766E32">
              <w:t>33</w:t>
            </w:r>
          </w:p>
        </w:tc>
        <w:tc>
          <w:tcPr>
            <w:tcW w:w="2002" w:type="dxa"/>
          </w:tcPr>
          <w:p w14:paraId="4FE9B46E" w14:textId="4654B89D" w:rsidR="00C061C8" w:rsidRDefault="00C061C8" w:rsidP="00AF4CAA">
            <w:pPr>
              <w:pStyle w:val="NoSpacing"/>
            </w:pPr>
            <w:r>
              <w:t>0</w:t>
            </w:r>
          </w:p>
        </w:tc>
        <w:tc>
          <w:tcPr>
            <w:tcW w:w="1546" w:type="dxa"/>
          </w:tcPr>
          <w:p w14:paraId="631E6048" w14:textId="4E929A5F" w:rsidR="00C061C8" w:rsidRDefault="00C061C8" w:rsidP="00AF4CAA">
            <w:pPr>
              <w:pStyle w:val="NoSpacing"/>
            </w:pPr>
            <w:r>
              <w:t>0</w:t>
            </w:r>
          </w:p>
        </w:tc>
      </w:tr>
      <w:tr w:rsidR="00C061C8" w14:paraId="309A90E3" w14:textId="77777777" w:rsidTr="00501C5E">
        <w:trPr>
          <w:trHeight w:val="271"/>
        </w:trPr>
        <w:tc>
          <w:tcPr>
            <w:tcW w:w="2427" w:type="dxa"/>
            <w:tcBorders>
              <w:right w:val="single" w:sz="4" w:space="0" w:color="auto"/>
            </w:tcBorders>
          </w:tcPr>
          <w:p w14:paraId="7DB54B09" w14:textId="16BFEB20" w:rsidR="00C061C8" w:rsidRDefault="00C061C8" w:rsidP="00AF4CAA">
            <w:pPr>
              <w:pStyle w:val="NoSpacing"/>
            </w:pPr>
            <w:r>
              <w:t>Pennsylvania</w:t>
            </w:r>
          </w:p>
        </w:tc>
        <w:tc>
          <w:tcPr>
            <w:tcW w:w="1809" w:type="dxa"/>
            <w:tcBorders>
              <w:left w:val="single" w:sz="4" w:space="0" w:color="auto"/>
              <w:right w:val="single" w:sz="4" w:space="0" w:color="auto"/>
            </w:tcBorders>
          </w:tcPr>
          <w:p w14:paraId="2F0CA12A" w14:textId="44C3429A" w:rsidR="00C061C8" w:rsidRDefault="00C061C8" w:rsidP="00AF4CAA">
            <w:pPr>
              <w:pStyle w:val="NoSpacing"/>
            </w:pPr>
            <w:r>
              <w:t>26</w:t>
            </w:r>
          </w:p>
        </w:tc>
        <w:tc>
          <w:tcPr>
            <w:tcW w:w="1755" w:type="dxa"/>
            <w:tcBorders>
              <w:left w:val="single" w:sz="4" w:space="0" w:color="auto"/>
            </w:tcBorders>
          </w:tcPr>
          <w:p w14:paraId="128F9CB5" w14:textId="1D6C2EAA" w:rsidR="00C061C8" w:rsidRDefault="00C061C8" w:rsidP="00AF4CAA">
            <w:pPr>
              <w:pStyle w:val="NoSpacing"/>
            </w:pPr>
            <w:r w:rsidRPr="00766E32">
              <w:t>26</w:t>
            </w:r>
          </w:p>
        </w:tc>
        <w:tc>
          <w:tcPr>
            <w:tcW w:w="2002" w:type="dxa"/>
          </w:tcPr>
          <w:p w14:paraId="2A7B7411" w14:textId="22A169DB" w:rsidR="00C061C8" w:rsidRDefault="00C061C8" w:rsidP="00AF4CAA">
            <w:pPr>
              <w:pStyle w:val="NoSpacing"/>
            </w:pPr>
            <w:r w:rsidRPr="00766E32">
              <w:t>2</w:t>
            </w:r>
            <w:r>
              <w:t>5</w:t>
            </w:r>
          </w:p>
        </w:tc>
        <w:tc>
          <w:tcPr>
            <w:tcW w:w="1546" w:type="dxa"/>
          </w:tcPr>
          <w:p w14:paraId="5C33218A" w14:textId="6939055A" w:rsidR="00C061C8" w:rsidRDefault="00C061C8" w:rsidP="00AF4CAA">
            <w:pPr>
              <w:pStyle w:val="NoSpacing"/>
            </w:pPr>
            <w:r>
              <w:t>1</w:t>
            </w:r>
          </w:p>
        </w:tc>
      </w:tr>
      <w:tr w:rsidR="00C061C8" w14:paraId="1F75191E" w14:textId="77777777" w:rsidTr="00501C5E">
        <w:trPr>
          <w:trHeight w:val="278"/>
        </w:trPr>
        <w:tc>
          <w:tcPr>
            <w:tcW w:w="2427" w:type="dxa"/>
            <w:tcBorders>
              <w:right w:val="single" w:sz="4" w:space="0" w:color="auto"/>
            </w:tcBorders>
          </w:tcPr>
          <w:p w14:paraId="03078D90" w14:textId="271BFF6F" w:rsidR="00C061C8" w:rsidRDefault="00C061C8" w:rsidP="00AF4CAA">
            <w:pPr>
              <w:pStyle w:val="NoSpacing"/>
            </w:pPr>
            <w:r>
              <w:t>New Jersey</w:t>
            </w:r>
          </w:p>
        </w:tc>
        <w:tc>
          <w:tcPr>
            <w:tcW w:w="1809" w:type="dxa"/>
            <w:tcBorders>
              <w:left w:val="single" w:sz="4" w:space="0" w:color="auto"/>
              <w:right w:val="single" w:sz="4" w:space="0" w:color="auto"/>
            </w:tcBorders>
          </w:tcPr>
          <w:p w14:paraId="53CE8BE0" w14:textId="11DED44E" w:rsidR="00C061C8" w:rsidRDefault="00C061C8" w:rsidP="00AF4CAA">
            <w:pPr>
              <w:pStyle w:val="NoSpacing"/>
            </w:pPr>
            <w:r>
              <w:t>8</w:t>
            </w:r>
          </w:p>
        </w:tc>
        <w:tc>
          <w:tcPr>
            <w:tcW w:w="1755" w:type="dxa"/>
            <w:tcBorders>
              <w:left w:val="single" w:sz="4" w:space="0" w:color="auto"/>
            </w:tcBorders>
          </w:tcPr>
          <w:p w14:paraId="35D903EB" w14:textId="5A46F55D" w:rsidR="00C061C8" w:rsidRDefault="00C061C8" w:rsidP="00AF4CAA">
            <w:pPr>
              <w:pStyle w:val="NoSpacing"/>
            </w:pPr>
            <w:r w:rsidRPr="00766E32">
              <w:t>8</w:t>
            </w:r>
          </w:p>
        </w:tc>
        <w:tc>
          <w:tcPr>
            <w:tcW w:w="2002" w:type="dxa"/>
          </w:tcPr>
          <w:p w14:paraId="61781C4B" w14:textId="736BE187" w:rsidR="00C061C8" w:rsidRDefault="00C061C8" w:rsidP="00AF4CAA">
            <w:pPr>
              <w:pStyle w:val="NoSpacing"/>
            </w:pPr>
            <w:r w:rsidRPr="00766E32">
              <w:t>8</w:t>
            </w:r>
          </w:p>
        </w:tc>
        <w:tc>
          <w:tcPr>
            <w:tcW w:w="1546" w:type="dxa"/>
          </w:tcPr>
          <w:p w14:paraId="3D0C646A" w14:textId="4B8F3B8A" w:rsidR="00C061C8" w:rsidRDefault="00C061C8" w:rsidP="00AF4CAA">
            <w:pPr>
              <w:pStyle w:val="NoSpacing"/>
            </w:pPr>
            <w:r>
              <w:t>0</w:t>
            </w:r>
          </w:p>
        </w:tc>
      </w:tr>
      <w:tr w:rsidR="00C061C8" w14:paraId="434F70EB" w14:textId="77777777" w:rsidTr="00501C5E">
        <w:trPr>
          <w:trHeight w:val="271"/>
        </w:trPr>
        <w:tc>
          <w:tcPr>
            <w:tcW w:w="2427" w:type="dxa"/>
            <w:tcBorders>
              <w:right w:val="single" w:sz="4" w:space="0" w:color="auto"/>
            </w:tcBorders>
          </w:tcPr>
          <w:p w14:paraId="78FAC7FA" w14:textId="35EA635F" w:rsidR="00C061C8" w:rsidRDefault="00C061C8" w:rsidP="00AF4CAA">
            <w:pPr>
              <w:pStyle w:val="NoSpacing"/>
            </w:pPr>
            <w:r>
              <w:t>Delaware</w:t>
            </w:r>
          </w:p>
        </w:tc>
        <w:tc>
          <w:tcPr>
            <w:tcW w:w="1809" w:type="dxa"/>
            <w:tcBorders>
              <w:left w:val="single" w:sz="4" w:space="0" w:color="auto"/>
              <w:right w:val="single" w:sz="4" w:space="0" w:color="auto"/>
            </w:tcBorders>
          </w:tcPr>
          <w:p w14:paraId="47D6AADF" w14:textId="2C837D51" w:rsidR="00C061C8" w:rsidRDefault="00C061C8" w:rsidP="00AF4CAA">
            <w:pPr>
              <w:pStyle w:val="NoSpacing"/>
            </w:pPr>
            <w:r>
              <w:t>4</w:t>
            </w:r>
          </w:p>
        </w:tc>
        <w:tc>
          <w:tcPr>
            <w:tcW w:w="1755" w:type="dxa"/>
            <w:tcBorders>
              <w:left w:val="single" w:sz="4" w:space="0" w:color="auto"/>
            </w:tcBorders>
          </w:tcPr>
          <w:p w14:paraId="1165F9F7" w14:textId="6F3FE72B" w:rsidR="00C061C8" w:rsidRDefault="00C061C8" w:rsidP="00AF4CAA">
            <w:pPr>
              <w:pStyle w:val="NoSpacing"/>
            </w:pPr>
            <w:r w:rsidRPr="00766E32">
              <w:t>0</w:t>
            </w:r>
          </w:p>
        </w:tc>
        <w:tc>
          <w:tcPr>
            <w:tcW w:w="2002" w:type="dxa"/>
          </w:tcPr>
          <w:p w14:paraId="1033411D" w14:textId="0CB7FCBF" w:rsidR="00C061C8" w:rsidRDefault="00C061C8" w:rsidP="00AF4CAA">
            <w:pPr>
              <w:pStyle w:val="NoSpacing"/>
            </w:pPr>
            <w:r w:rsidRPr="00766E32">
              <w:t>0</w:t>
            </w:r>
          </w:p>
        </w:tc>
        <w:tc>
          <w:tcPr>
            <w:tcW w:w="1546" w:type="dxa"/>
          </w:tcPr>
          <w:p w14:paraId="2590E936" w14:textId="50EC01E9" w:rsidR="00C061C8" w:rsidRDefault="00C061C8" w:rsidP="00AF4CAA">
            <w:pPr>
              <w:pStyle w:val="NoSpacing"/>
            </w:pPr>
            <w:r>
              <w:t>8</w:t>
            </w:r>
          </w:p>
        </w:tc>
      </w:tr>
      <w:tr w:rsidR="00C061C8" w14:paraId="41703933" w14:textId="77777777" w:rsidTr="00501C5E">
        <w:trPr>
          <w:trHeight w:val="271"/>
        </w:trPr>
        <w:tc>
          <w:tcPr>
            <w:tcW w:w="2427" w:type="dxa"/>
            <w:tcBorders>
              <w:right w:val="single" w:sz="4" w:space="0" w:color="auto"/>
            </w:tcBorders>
          </w:tcPr>
          <w:p w14:paraId="09F8689D" w14:textId="2EE0C3A8" w:rsidR="00C061C8" w:rsidRDefault="00C061C8" w:rsidP="00AF4CAA">
            <w:pPr>
              <w:pStyle w:val="NoSpacing"/>
            </w:pPr>
            <w:r>
              <w:t>Maryland</w:t>
            </w:r>
          </w:p>
        </w:tc>
        <w:tc>
          <w:tcPr>
            <w:tcW w:w="1809" w:type="dxa"/>
            <w:tcBorders>
              <w:left w:val="single" w:sz="4" w:space="0" w:color="auto"/>
              <w:right w:val="single" w:sz="4" w:space="0" w:color="auto"/>
            </w:tcBorders>
          </w:tcPr>
          <w:p w14:paraId="19D21326" w14:textId="71C655CE" w:rsidR="00C061C8" w:rsidRDefault="00C061C8" w:rsidP="00AF4CAA">
            <w:pPr>
              <w:pStyle w:val="NoSpacing"/>
            </w:pPr>
            <w:r>
              <w:t>11</w:t>
            </w:r>
          </w:p>
        </w:tc>
        <w:tc>
          <w:tcPr>
            <w:tcW w:w="1755" w:type="dxa"/>
            <w:tcBorders>
              <w:left w:val="single" w:sz="4" w:space="0" w:color="auto"/>
            </w:tcBorders>
          </w:tcPr>
          <w:p w14:paraId="2B35508E" w14:textId="01945C87" w:rsidR="00C061C8" w:rsidRDefault="00C061C8" w:rsidP="00AF4CAA">
            <w:pPr>
              <w:pStyle w:val="NoSpacing"/>
            </w:pPr>
            <w:r w:rsidRPr="00766E32">
              <w:t>7</w:t>
            </w:r>
          </w:p>
        </w:tc>
        <w:tc>
          <w:tcPr>
            <w:tcW w:w="2002" w:type="dxa"/>
          </w:tcPr>
          <w:p w14:paraId="37601075" w14:textId="0967D2E1" w:rsidR="00C061C8" w:rsidRDefault="00C061C8" w:rsidP="00AF4CAA">
            <w:pPr>
              <w:pStyle w:val="NoSpacing"/>
            </w:pPr>
            <w:r w:rsidRPr="00766E32">
              <w:t>7</w:t>
            </w:r>
          </w:p>
        </w:tc>
        <w:tc>
          <w:tcPr>
            <w:tcW w:w="1546" w:type="dxa"/>
          </w:tcPr>
          <w:p w14:paraId="3F588196" w14:textId="09122D40" w:rsidR="00C061C8" w:rsidRDefault="00C061C8" w:rsidP="00AF4CAA">
            <w:pPr>
              <w:pStyle w:val="NoSpacing"/>
            </w:pPr>
            <w:r>
              <w:t>8</w:t>
            </w:r>
          </w:p>
        </w:tc>
      </w:tr>
      <w:tr w:rsidR="00C061C8" w14:paraId="6A4874AF" w14:textId="77777777" w:rsidTr="00501C5E">
        <w:trPr>
          <w:trHeight w:val="278"/>
        </w:trPr>
        <w:tc>
          <w:tcPr>
            <w:tcW w:w="2427" w:type="dxa"/>
            <w:tcBorders>
              <w:right w:val="single" w:sz="4" w:space="0" w:color="auto"/>
            </w:tcBorders>
          </w:tcPr>
          <w:p w14:paraId="5AD9550A" w14:textId="1F58EC66" w:rsidR="00C061C8" w:rsidRDefault="00C061C8" w:rsidP="00AF4CAA">
            <w:pPr>
              <w:pStyle w:val="NoSpacing"/>
            </w:pPr>
            <w:r>
              <w:t>Ohio</w:t>
            </w:r>
          </w:p>
        </w:tc>
        <w:tc>
          <w:tcPr>
            <w:tcW w:w="1809" w:type="dxa"/>
            <w:tcBorders>
              <w:left w:val="single" w:sz="4" w:space="0" w:color="auto"/>
              <w:right w:val="single" w:sz="4" w:space="0" w:color="auto"/>
            </w:tcBorders>
          </w:tcPr>
          <w:p w14:paraId="5EA0439D" w14:textId="60D6ACDB" w:rsidR="00C061C8" w:rsidRDefault="00C061C8" w:rsidP="00AF4CAA">
            <w:pPr>
              <w:pStyle w:val="NoSpacing"/>
            </w:pPr>
            <w:r>
              <w:t>8</w:t>
            </w:r>
          </w:p>
        </w:tc>
        <w:tc>
          <w:tcPr>
            <w:tcW w:w="1755" w:type="dxa"/>
            <w:tcBorders>
              <w:left w:val="single" w:sz="4" w:space="0" w:color="auto"/>
            </w:tcBorders>
          </w:tcPr>
          <w:p w14:paraId="454EB5DA" w14:textId="33AE5CEB" w:rsidR="00C061C8" w:rsidRDefault="00C061C8" w:rsidP="00AF4CAA">
            <w:pPr>
              <w:pStyle w:val="NoSpacing"/>
            </w:pPr>
            <w:r w:rsidRPr="00766E32">
              <w:t>8</w:t>
            </w:r>
          </w:p>
        </w:tc>
        <w:tc>
          <w:tcPr>
            <w:tcW w:w="2002" w:type="dxa"/>
          </w:tcPr>
          <w:p w14:paraId="77A34189" w14:textId="6F11AAA6" w:rsidR="00C061C8" w:rsidRDefault="00C061C8" w:rsidP="00AF4CAA">
            <w:pPr>
              <w:pStyle w:val="NoSpacing"/>
            </w:pPr>
            <w:r w:rsidRPr="00766E32">
              <w:t>8</w:t>
            </w:r>
          </w:p>
        </w:tc>
        <w:tc>
          <w:tcPr>
            <w:tcW w:w="1546" w:type="dxa"/>
          </w:tcPr>
          <w:p w14:paraId="1AA2955B" w14:textId="195EAF6B" w:rsidR="00C061C8" w:rsidRDefault="00C061C8" w:rsidP="00AF4CAA">
            <w:pPr>
              <w:pStyle w:val="NoSpacing"/>
            </w:pPr>
            <w:r>
              <w:t>0</w:t>
            </w:r>
          </w:p>
        </w:tc>
      </w:tr>
      <w:tr w:rsidR="00C061C8" w14:paraId="15D2D0F4" w14:textId="77777777" w:rsidTr="00501C5E">
        <w:trPr>
          <w:trHeight w:val="271"/>
        </w:trPr>
        <w:tc>
          <w:tcPr>
            <w:tcW w:w="2427" w:type="dxa"/>
            <w:tcBorders>
              <w:right w:val="single" w:sz="4" w:space="0" w:color="auto"/>
            </w:tcBorders>
          </w:tcPr>
          <w:p w14:paraId="5D203615" w14:textId="4BDB9F1A" w:rsidR="00C061C8" w:rsidRDefault="00C061C8" w:rsidP="00AF4CAA">
            <w:pPr>
              <w:pStyle w:val="NoSpacing"/>
            </w:pPr>
            <w:r>
              <w:t>Virginia</w:t>
            </w:r>
          </w:p>
        </w:tc>
        <w:tc>
          <w:tcPr>
            <w:tcW w:w="1809" w:type="dxa"/>
            <w:tcBorders>
              <w:left w:val="single" w:sz="4" w:space="0" w:color="auto"/>
              <w:right w:val="single" w:sz="4" w:space="0" w:color="auto"/>
            </w:tcBorders>
          </w:tcPr>
          <w:p w14:paraId="37C7B286" w14:textId="6FA00E99" w:rsidR="00C061C8" w:rsidRDefault="00C061C8" w:rsidP="00AF4CAA">
            <w:pPr>
              <w:pStyle w:val="NoSpacing"/>
            </w:pPr>
            <w:r>
              <w:t>25</w:t>
            </w:r>
          </w:p>
        </w:tc>
        <w:tc>
          <w:tcPr>
            <w:tcW w:w="1755" w:type="dxa"/>
            <w:tcBorders>
              <w:left w:val="single" w:sz="4" w:space="0" w:color="auto"/>
            </w:tcBorders>
          </w:tcPr>
          <w:p w14:paraId="031891EE" w14:textId="7869BBC8" w:rsidR="00C061C8" w:rsidRDefault="00C061C8" w:rsidP="00AF4CAA">
            <w:pPr>
              <w:pStyle w:val="NoSpacing"/>
            </w:pPr>
            <w:r>
              <w:t>10</w:t>
            </w:r>
          </w:p>
        </w:tc>
        <w:tc>
          <w:tcPr>
            <w:tcW w:w="2002" w:type="dxa"/>
          </w:tcPr>
          <w:p w14:paraId="60A3035E" w14:textId="13CC82E4" w:rsidR="00C061C8" w:rsidRDefault="00C061C8" w:rsidP="00AF4CAA">
            <w:pPr>
              <w:pStyle w:val="NoSpacing"/>
            </w:pPr>
            <w:r w:rsidRPr="00766E32">
              <w:t>25</w:t>
            </w:r>
          </w:p>
        </w:tc>
        <w:tc>
          <w:tcPr>
            <w:tcW w:w="1546" w:type="dxa"/>
          </w:tcPr>
          <w:p w14:paraId="140EC61C" w14:textId="1CB1F2DC" w:rsidR="00C061C8" w:rsidRDefault="00C061C8" w:rsidP="00AF4CAA">
            <w:pPr>
              <w:pStyle w:val="NoSpacing"/>
            </w:pPr>
            <w:r>
              <w:t>15</w:t>
            </w:r>
          </w:p>
        </w:tc>
      </w:tr>
      <w:tr w:rsidR="00C061C8" w14:paraId="19AA83FF" w14:textId="77777777" w:rsidTr="00501C5E">
        <w:trPr>
          <w:trHeight w:val="278"/>
        </w:trPr>
        <w:tc>
          <w:tcPr>
            <w:tcW w:w="2427" w:type="dxa"/>
            <w:tcBorders>
              <w:right w:val="single" w:sz="4" w:space="0" w:color="auto"/>
            </w:tcBorders>
          </w:tcPr>
          <w:p w14:paraId="44AB463D" w14:textId="5623372B" w:rsidR="00C061C8" w:rsidRDefault="00C061C8" w:rsidP="00AF4CAA">
            <w:pPr>
              <w:pStyle w:val="NoSpacing"/>
            </w:pPr>
            <w:r>
              <w:t>Kentucky</w:t>
            </w:r>
          </w:p>
        </w:tc>
        <w:tc>
          <w:tcPr>
            <w:tcW w:w="1809" w:type="dxa"/>
            <w:tcBorders>
              <w:left w:val="single" w:sz="4" w:space="0" w:color="auto"/>
              <w:right w:val="single" w:sz="4" w:space="0" w:color="auto"/>
            </w:tcBorders>
          </w:tcPr>
          <w:p w14:paraId="79B26853" w14:textId="0E239708" w:rsidR="00C061C8" w:rsidRDefault="00C061C8" w:rsidP="00AF4CAA">
            <w:pPr>
              <w:pStyle w:val="NoSpacing"/>
            </w:pPr>
            <w:r>
              <w:t>12</w:t>
            </w:r>
          </w:p>
        </w:tc>
        <w:tc>
          <w:tcPr>
            <w:tcW w:w="1755" w:type="dxa"/>
            <w:tcBorders>
              <w:left w:val="single" w:sz="4" w:space="0" w:color="auto"/>
            </w:tcBorders>
          </w:tcPr>
          <w:p w14:paraId="4C593402" w14:textId="0D96184E" w:rsidR="00C061C8" w:rsidRDefault="00C061C8" w:rsidP="00AF4CAA">
            <w:pPr>
              <w:pStyle w:val="NoSpacing"/>
            </w:pPr>
            <w:r w:rsidRPr="00766E32">
              <w:t>12</w:t>
            </w:r>
          </w:p>
        </w:tc>
        <w:tc>
          <w:tcPr>
            <w:tcW w:w="2002" w:type="dxa"/>
          </w:tcPr>
          <w:p w14:paraId="152D144F" w14:textId="27C61D8D" w:rsidR="00C061C8" w:rsidRDefault="00C061C8" w:rsidP="00AF4CAA">
            <w:pPr>
              <w:pStyle w:val="NoSpacing"/>
            </w:pPr>
            <w:r w:rsidRPr="00766E32">
              <w:t>12</w:t>
            </w:r>
          </w:p>
        </w:tc>
        <w:tc>
          <w:tcPr>
            <w:tcW w:w="1546" w:type="dxa"/>
          </w:tcPr>
          <w:p w14:paraId="1E9372DE" w14:textId="71BE9DDD" w:rsidR="00C061C8" w:rsidRDefault="00C061C8" w:rsidP="00AF4CAA">
            <w:pPr>
              <w:pStyle w:val="NoSpacing"/>
            </w:pPr>
            <w:r>
              <w:t>0</w:t>
            </w:r>
          </w:p>
        </w:tc>
      </w:tr>
      <w:tr w:rsidR="00C061C8" w14:paraId="16A7FCF9" w14:textId="77777777" w:rsidTr="00501C5E">
        <w:trPr>
          <w:trHeight w:val="271"/>
        </w:trPr>
        <w:tc>
          <w:tcPr>
            <w:tcW w:w="2427" w:type="dxa"/>
            <w:tcBorders>
              <w:right w:val="single" w:sz="4" w:space="0" w:color="auto"/>
            </w:tcBorders>
          </w:tcPr>
          <w:p w14:paraId="2D51E365" w14:textId="657A1EA6" w:rsidR="00C061C8" w:rsidRDefault="00C061C8" w:rsidP="00AF4CAA">
            <w:pPr>
              <w:pStyle w:val="NoSpacing"/>
            </w:pPr>
            <w:r>
              <w:t>Tennessee</w:t>
            </w:r>
          </w:p>
        </w:tc>
        <w:tc>
          <w:tcPr>
            <w:tcW w:w="1809" w:type="dxa"/>
            <w:tcBorders>
              <w:left w:val="single" w:sz="4" w:space="0" w:color="auto"/>
              <w:right w:val="single" w:sz="4" w:space="0" w:color="auto"/>
            </w:tcBorders>
          </w:tcPr>
          <w:p w14:paraId="398D6226" w14:textId="0665C7E8" w:rsidR="00C061C8" w:rsidRDefault="00C061C8" w:rsidP="00AF4CAA">
            <w:pPr>
              <w:pStyle w:val="NoSpacing"/>
            </w:pPr>
            <w:r>
              <w:t>7</w:t>
            </w:r>
          </w:p>
        </w:tc>
        <w:tc>
          <w:tcPr>
            <w:tcW w:w="1755" w:type="dxa"/>
            <w:tcBorders>
              <w:left w:val="single" w:sz="4" w:space="0" w:color="auto"/>
            </w:tcBorders>
          </w:tcPr>
          <w:p w14:paraId="7FFB1814" w14:textId="522F2ADF" w:rsidR="00C061C8" w:rsidRDefault="00C061C8" w:rsidP="00AF4CAA">
            <w:pPr>
              <w:pStyle w:val="NoSpacing"/>
            </w:pPr>
            <w:r w:rsidRPr="00766E32">
              <w:t>7</w:t>
            </w:r>
          </w:p>
        </w:tc>
        <w:tc>
          <w:tcPr>
            <w:tcW w:w="2002" w:type="dxa"/>
          </w:tcPr>
          <w:p w14:paraId="5ED7B405" w14:textId="766870F4" w:rsidR="00C061C8" w:rsidRDefault="00C061C8" w:rsidP="00AF4CAA">
            <w:pPr>
              <w:pStyle w:val="NoSpacing"/>
            </w:pPr>
            <w:r w:rsidRPr="00766E32">
              <w:t>7</w:t>
            </w:r>
          </w:p>
        </w:tc>
        <w:tc>
          <w:tcPr>
            <w:tcW w:w="1546" w:type="dxa"/>
          </w:tcPr>
          <w:p w14:paraId="66319181" w14:textId="38BB0D1D" w:rsidR="00C061C8" w:rsidRDefault="00C061C8" w:rsidP="00AF4CAA">
            <w:pPr>
              <w:pStyle w:val="NoSpacing"/>
            </w:pPr>
            <w:r>
              <w:t>0</w:t>
            </w:r>
          </w:p>
        </w:tc>
      </w:tr>
      <w:tr w:rsidR="00C061C8" w14:paraId="0669E38C" w14:textId="77777777" w:rsidTr="00501C5E">
        <w:trPr>
          <w:trHeight w:val="278"/>
        </w:trPr>
        <w:tc>
          <w:tcPr>
            <w:tcW w:w="2427" w:type="dxa"/>
            <w:tcBorders>
              <w:right w:val="single" w:sz="4" w:space="0" w:color="auto"/>
            </w:tcBorders>
          </w:tcPr>
          <w:p w14:paraId="4CECFF22" w14:textId="0DCAA944" w:rsidR="00C061C8" w:rsidRDefault="00C061C8" w:rsidP="00AF4CAA">
            <w:pPr>
              <w:pStyle w:val="NoSpacing"/>
            </w:pPr>
            <w:r>
              <w:t>North Carolina</w:t>
            </w:r>
          </w:p>
        </w:tc>
        <w:tc>
          <w:tcPr>
            <w:tcW w:w="1809" w:type="dxa"/>
            <w:tcBorders>
              <w:left w:val="single" w:sz="4" w:space="0" w:color="auto"/>
              <w:right w:val="single" w:sz="4" w:space="0" w:color="auto"/>
            </w:tcBorders>
          </w:tcPr>
          <w:p w14:paraId="3B04A1A1" w14:textId="278AB94F" w:rsidR="00C061C8" w:rsidRDefault="00C061C8" w:rsidP="00AF4CAA">
            <w:pPr>
              <w:pStyle w:val="NoSpacing"/>
            </w:pPr>
            <w:r>
              <w:t>15</w:t>
            </w:r>
          </w:p>
        </w:tc>
        <w:tc>
          <w:tcPr>
            <w:tcW w:w="1755" w:type="dxa"/>
            <w:tcBorders>
              <w:left w:val="single" w:sz="4" w:space="0" w:color="auto"/>
            </w:tcBorders>
          </w:tcPr>
          <w:p w14:paraId="3BB97501" w14:textId="5683A78B" w:rsidR="00C061C8" w:rsidRDefault="00C061C8" w:rsidP="00AF4CAA">
            <w:pPr>
              <w:pStyle w:val="NoSpacing"/>
            </w:pPr>
            <w:r w:rsidRPr="00766E32">
              <w:t>5</w:t>
            </w:r>
          </w:p>
        </w:tc>
        <w:tc>
          <w:tcPr>
            <w:tcW w:w="2002" w:type="dxa"/>
          </w:tcPr>
          <w:p w14:paraId="54CA8732" w14:textId="1FC22C77" w:rsidR="00C061C8" w:rsidRDefault="00C061C8" w:rsidP="00AF4CAA">
            <w:pPr>
              <w:pStyle w:val="NoSpacing"/>
            </w:pPr>
            <w:r w:rsidRPr="00766E32">
              <w:t>15</w:t>
            </w:r>
          </w:p>
        </w:tc>
        <w:tc>
          <w:tcPr>
            <w:tcW w:w="1546" w:type="dxa"/>
          </w:tcPr>
          <w:p w14:paraId="28C771EA" w14:textId="53621D60" w:rsidR="00C061C8" w:rsidRDefault="00C061C8" w:rsidP="00AF4CAA">
            <w:pPr>
              <w:pStyle w:val="NoSpacing"/>
            </w:pPr>
            <w:r>
              <w:t>10</w:t>
            </w:r>
          </w:p>
        </w:tc>
      </w:tr>
      <w:tr w:rsidR="00C061C8" w14:paraId="72E31913" w14:textId="77777777" w:rsidTr="00501C5E">
        <w:trPr>
          <w:trHeight w:val="271"/>
        </w:trPr>
        <w:tc>
          <w:tcPr>
            <w:tcW w:w="2427" w:type="dxa"/>
            <w:tcBorders>
              <w:right w:val="single" w:sz="4" w:space="0" w:color="auto"/>
            </w:tcBorders>
          </w:tcPr>
          <w:p w14:paraId="0F615656" w14:textId="23494941" w:rsidR="00C061C8" w:rsidRDefault="00C061C8" w:rsidP="00AF4CAA">
            <w:pPr>
              <w:pStyle w:val="NoSpacing"/>
            </w:pPr>
            <w:r>
              <w:t>South Carolina</w:t>
            </w:r>
          </w:p>
        </w:tc>
        <w:tc>
          <w:tcPr>
            <w:tcW w:w="1809" w:type="dxa"/>
            <w:tcBorders>
              <w:left w:val="single" w:sz="4" w:space="0" w:color="auto"/>
              <w:right w:val="single" w:sz="4" w:space="0" w:color="auto"/>
            </w:tcBorders>
          </w:tcPr>
          <w:p w14:paraId="2439CA88" w14:textId="181ECED0" w:rsidR="00C061C8" w:rsidRDefault="00C061C8" w:rsidP="00AF4CAA">
            <w:pPr>
              <w:pStyle w:val="NoSpacing"/>
            </w:pPr>
            <w:r>
              <w:t>11</w:t>
            </w:r>
          </w:p>
        </w:tc>
        <w:tc>
          <w:tcPr>
            <w:tcW w:w="1755" w:type="dxa"/>
            <w:tcBorders>
              <w:left w:val="single" w:sz="4" w:space="0" w:color="auto"/>
            </w:tcBorders>
          </w:tcPr>
          <w:p w14:paraId="581B7A1A" w14:textId="52F52DB2" w:rsidR="00C061C8" w:rsidRDefault="00C061C8" w:rsidP="00AF4CAA">
            <w:pPr>
              <w:pStyle w:val="NoSpacing"/>
            </w:pPr>
            <w:r>
              <w:t>2</w:t>
            </w:r>
          </w:p>
        </w:tc>
        <w:tc>
          <w:tcPr>
            <w:tcW w:w="2002" w:type="dxa"/>
          </w:tcPr>
          <w:p w14:paraId="31282837" w14:textId="77309364" w:rsidR="00C061C8" w:rsidRDefault="00C061C8" w:rsidP="00AF4CAA">
            <w:pPr>
              <w:pStyle w:val="NoSpacing"/>
            </w:pPr>
            <w:r w:rsidRPr="00766E32">
              <w:t>11</w:t>
            </w:r>
          </w:p>
        </w:tc>
        <w:tc>
          <w:tcPr>
            <w:tcW w:w="1546" w:type="dxa"/>
          </w:tcPr>
          <w:p w14:paraId="35D97826" w14:textId="760DCBB5" w:rsidR="00C061C8" w:rsidRDefault="00C061C8" w:rsidP="00AF4CAA">
            <w:pPr>
              <w:pStyle w:val="NoSpacing"/>
            </w:pPr>
            <w:r>
              <w:t>9</w:t>
            </w:r>
          </w:p>
        </w:tc>
      </w:tr>
      <w:tr w:rsidR="00C061C8" w14:paraId="0616742C" w14:textId="77777777" w:rsidTr="00501C5E">
        <w:trPr>
          <w:trHeight w:val="271"/>
        </w:trPr>
        <w:tc>
          <w:tcPr>
            <w:tcW w:w="2427" w:type="dxa"/>
            <w:tcBorders>
              <w:bottom w:val="single" w:sz="4" w:space="0" w:color="auto"/>
              <w:right w:val="single" w:sz="4" w:space="0" w:color="auto"/>
            </w:tcBorders>
          </w:tcPr>
          <w:p w14:paraId="505A5BD6" w14:textId="38CE1547" w:rsidR="00C061C8" w:rsidRDefault="00C061C8" w:rsidP="00AF4CAA">
            <w:pPr>
              <w:pStyle w:val="NoSpacing"/>
            </w:pPr>
            <w:r>
              <w:t>Georgia</w:t>
            </w:r>
          </w:p>
        </w:tc>
        <w:tc>
          <w:tcPr>
            <w:tcW w:w="1809" w:type="dxa"/>
            <w:tcBorders>
              <w:left w:val="single" w:sz="4" w:space="0" w:color="auto"/>
              <w:bottom w:val="single" w:sz="4" w:space="0" w:color="auto"/>
              <w:right w:val="single" w:sz="4" w:space="0" w:color="auto"/>
            </w:tcBorders>
          </w:tcPr>
          <w:p w14:paraId="35820BBE" w14:textId="70F0B197" w:rsidR="00C061C8" w:rsidRDefault="00C061C8" w:rsidP="00AF4CAA">
            <w:pPr>
              <w:pStyle w:val="NoSpacing"/>
            </w:pPr>
            <w:r>
              <w:t>8</w:t>
            </w:r>
          </w:p>
        </w:tc>
        <w:tc>
          <w:tcPr>
            <w:tcW w:w="1755" w:type="dxa"/>
            <w:tcBorders>
              <w:left w:val="single" w:sz="4" w:space="0" w:color="auto"/>
              <w:bottom w:val="single" w:sz="4" w:space="0" w:color="auto"/>
            </w:tcBorders>
          </w:tcPr>
          <w:p w14:paraId="59093A2F" w14:textId="4D273192" w:rsidR="00C061C8" w:rsidRDefault="00C061C8" w:rsidP="00AF4CAA">
            <w:pPr>
              <w:pStyle w:val="NoSpacing"/>
            </w:pPr>
            <w:r>
              <w:t>0</w:t>
            </w:r>
          </w:p>
        </w:tc>
        <w:tc>
          <w:tcPr>
            <w:tcW w:w="2002" w:type="dxa"/>
            <w:tcBorders>
              <w:bottom w:val="single" w:sz="4" w:space="0" w:color="auto"/>
            </w:tcBorders>
          </w:tcPr>
          <w:p w14:paraId="520A05D3" w14:textId="1D934C15" w:rsidR="00C061C8" w:rsidRDefault="00C061C8" w:rsidP="00AF4CAA">
            <w:pPr>
              <w:pStyle w:val="NoSpacing"/>
            </w:pPr>
            <w:r w:rsidRPr="00766E32">
              <w:t>8</w:t>
            </w:r>
          </w:p>
        </w:tc>
        <w:tc>
          <w:tcPr>
            <w:tcW w:w="1546" w:type="dxa"/>
            <w:tcBorders>
              <w:bottom w:val="single" w:sz="4" w:space="0" w:color="auto"/>
            </w:tcBorders>
          </w:tcPr>
          <w:p w14:paraId="44763685" w14:textId="0A4CC4CF" w:rsidR="00C061C8" w:rsidRDefault="00C061C8" w:rsidP="00AF4CAA">
            <w:pPr>
              <w:pStyle w:val="NoSpacing"/>
            </w:pPr>
            <w:r>
              <w:t>8</w:t>
            </w:r>
          </w:p>
        </w:tc>
      </w:tr>
      <w:tr w:rsidR="00C061C8" w:rsidRPr="00F0605D" w14:paraId="6DA8915C" w14:textId="77777777" w:rsidTr="00501C5E">
        <w:trPr>
          <w:trHeight w:val="271"/>
        </w:trPr>
        <w:tc>
          <w:tcPr>
            <w:tcW w:w="2427" w:type="dxa"/>
            <w:tcBorders>
              <w:top w:val="single" w:sz="4" w:space="0" w:color="auto"/>
              <w:right w:val="single" w:sz="4" w:space="0" w:color="auto"/>
            </w:tcBorders>
          </w:tcPr>
          <w:p w14:paraId="32BF1504" w14:textId="6490E82D" w:rsidR="00C061C8" w:rsidRPr="00F0605D" w:rsidRDefault="00C061C8" w:rsidP="00AF4CAA">
            <w:pPr>
              <w:pStyle w:val="NoSpacing"/>
              <w:rPr>
                <w:b/>
                <w:bCs/>
              </w:rPr>
            </w:pPr>
            <w:r w:rsidRPr="00F0605D">
              <w:rPr>
                <w:b/>
                <w:bCs/>
              </w:rPr>
              <w:t>Total</w:t>
            </w:r>
          </w:p>
        </w:tc>
        <w:tc>
          <w:tcPr>
            <w:tcW w:w="1809" w:type="dxa"/>
            <w:tcBorders>
              <w:top w:val="single" w:sz="4" w:space="0" w:color="auto"/>
              <w:left w:val="single" w:sz="4" w:space="0" w:color="auto"/>
              <w:right w:val="single" w:sz="4" w:space="0" w:color="auto"/>
            </w:tcBorders>
          </w:tcPr>
          <w:p w14:paraId="67960EE5" w14:textId="2FD82B78" w:rsidR="00C061C8" w:rsidRPr="00F0605D" w:rsidRDefault="00C061C8" w:rsidP="00AF4CAA">
            <w:pPr>
              <w:pStyle w:val="NoSpacing"/>
              <w:rPr>
                <w:b/>
                <w:bCs/>
              </w:rPr>
            </w:pPr>
            <w:r w:rsidRPr="00F0605D">
              <w:rPr>
                <w:b/>
                <w:bCs/>
              </w:rPr>
              <w:t>220</w:t>
            </w:r>
          </w:p>
        </w:tc>
        <w:tc>
          <w:tcPr>
            <w:tcW w:w="1755" w:type="dxa"/>
            <w:tcBorders>
              <w:top w:val="single" w:sz="4" w:space="0" w:color="auto"/>
              <w:left w:val="single" w:sz="4" w:space="0" w:color="auto"/>
            </w:tcBorders>
          </w:tcPr>
          <w:p w14:paraId="02C65C3C" w14:textId="367CBA3A" w:rsidR="00C061C8" w:rsidRPr="00F0605D" w:rsidRDefault="00C061C8" w:rsidP="00AF4CAA">
            <w:pPr>
              <w:pStyle w:val="NoSpacing"/>
              <w:rPr>
                <w:b/>
                <w:bCs/>
                <w:u w:val="single"/>
              </w:rPr>
            </w:pPr>
            <w:r w:rsidRPr="00F0605D">
              <w:rPr>
                <w:b/>
                <w:bCs/>
                <w:u w:val="single"/>
              </w:rPr>
              <w:t>139</w:t>
            </w:r>
          </w:p>
        </w:tc>
        <w:tc>
          <w:tcPr>
            <w:tcW w:w="2002" w:type="dxa"/>
            <w:tcBorders>
              <w:top w:val="single" w:sz="4" w:space="0" w:color="auto"/>
            </w:tcBorders>
          </w:tcPr>
          <w:p w14:paraId="0ECD12A3" w14:textId="2A2E3181" w:rsidR="00C061C8" w:rsidRPr="00F0605D" w:rsidRDefault="00C061C8" w:rsidP="00AF4CAA">
            <w:pPr>
              <w:pStyle w:val="NoSpacing"/>
              <w:rPr>
                <w:b/>
                <w:bCs/>
                <w:u w:val="single"/>
              </w:rPr>
            </w:pPr>
            <w:r w:rsidRPr="00F0605D">
              <w:rPr>
                <w:b/>
                <w:bCs/>
                <w:u w:val="single"/>
              </w:rPr>
              <w:t>139</w:t>
            </w:r>
          </w:p>
        </w:tc>
        <w:tc>
          <w:tcPr>
            <w:tcW w:w="1546" w:type="dxa"/>
            <w:tcBorders>
              <w:top w:val="single" w:sz="4" w:space="0" w:color="auto"/>
            </w:tcBorders>
          </w:tcPr>
          <w:p w14:paraId="6C50AA77" w14:textId="73A3A214" w:rsidR="00C061C8" w:rsidRPr="00F0605D" w:rsidRDefault="00C061C8" w:rsidP="00AF4CAA">
            <w:pPr>
              <w:pStyle w:val="NoSpacing"/>
              <w:rPr>
                <w:b/>
                <w:bCs/>
              </w:rPr>
            </w:pPr>
            <w:r w:rsidRPr="00F0605D">
              <w:rPr>
                <w:b/>
                <w:bCs/>
              </w:rPr>
              <w:t>162</w:t>
            </w:r>
          </w:p>
        </w:tc>
      </w:tr>
    </w:tbl>
    <w:p w14:paraId="17EFA766" w14:textId="77777777" w:rsidR="00C1699C" w:rsidRDefault="00C1699C" w:rsidP="00C1699C"/>
    <w:p w14:paraId="113EA6D9" w14:textId="29E3AF9C" w:rsidR="0055070D" w:rsidRDefault="00501C5E" w:rsidP="0055070D">
      <w:r>
        <w:lastRenderedPageBreak/>
        <w:t>Under the Constitution, this crisis was to be resolved through another unprecedented act in American history</w:t>
      </w:r>
      <w:r w:rsidR="00D261D3">
        <w:rPr>
          <w:rStyle w:val="EndnoteReference"/>
        </w:rPr>
        <w:endnoteReference w:id="15"/>
      </w:r>
      <w:r>
        <w:t xml:space="preserve">, namely a contingent election. The House would vote for the two highest-performing candidates, Burr and Monroe; whoever would win the support of </w:t>
      </w:r>
      <w:proofErr w:type="gramStart"/>
      <w:r>
        <w:t>a majority of</w:t>
      </w:r>
      <w:proofErr w:type="gramEnd"/>
      <w:r>
        <w:t xml:space="preserve"> state delegations, would be president, and whoever didn’t, the vice president. Given how unprecedented this was, many feared that whoever would lose, be it Burr or Monroe, would not accept their defeat, that either Burr would refuse to leave </w:t>
      </w:r>
      <w:r w:rsidR="00632855">
        <w:t>office,</w:t>
      </w:r>
      <w:r>
        <w:t xml:space="preserve"> or Monroe would attempt to unseat Burr by force. But in the end the contingent election ended up with Burr prevailing, most Federalists</w:t>
      </w:r>
      <w:r w:rsidR="00E04B56">
        <w:rPr>
          <w:rStyle w:val="EndnoteReference"/>
        </w:rPr>
        <w:endnoteReference w:id="16"/>
      </w:r>
      <w:r>
        <w:t xml:space="preserve"> backing him</w:t>
      </w:r>
      <w:r w:rsidR="007B03E2">
        <w:t xml:space="preserve"> as better than Monroe</w:t>
      </w:r>
      <w:r>
        <w:t xml:space="preserve">, Northern Republicans backing him </w:t>
      </w:r>
      <w:r w:rsidR="0055070D">
        <w:t xml:space="preserve">out of sectional pride, and Western Republicans supporting him over internal improvements. Monroe accepted the result and became vice president for another four years, and despite some angry talk from the South, most particularly from Thomas Jefferson, so too did the Southern Republicans. </w:t>
      </w:r>
      <w:r w:rsidR="00A02250">
        <w:t xml:space="preserve">But Southern anger and fear towards Burr continued to sizzle in the background. </w:t>
      </w:r>
    </w:p>
    <w:p w14:paraId="6B5F86EE" w14:textId="03220554" w:rsidR="007B03E2" w:rsidRDefault="0055070D" w:rsidP="007B03E2">
      <w:r>
        <w:t xml:space="preserve">The contingent election saw the breach between Burr and Jefferson turn into a chasm. Organizing his supporters in the North, West, and a smattering in the South, in a political convention of delegates in 1813, Burr formally constituted them as the Democratic Party. In contrast, Jefferson issued public letters declaring his continued fidelity to traditional Republican principles, and drawn somewhat out of retirement, he began the work of organizing </w:t>
      </w:r>
      <w:r w:rsidR="0074014D">
        <w:t>a renewed Republican Party</w:t>
      </w:r>
      <w:r>
        <w:t xml:space="preserve"> around his protégé James Madison. </w:t>
      </w:r>
      <w:r w:rsidR="0074014D">
        <w:t xml:space="preserve">Additionally, the Federalists shattered as a party; in the North, they tended to join the Democrats, and in the South, they tended to join the Republicans; a rump Federalist Party, under Alexander Hamilton, lasted until the revelation of the Hamilton Plot. Additionally, in foreign policy, the two parties quickly diverged. The Republicans grew Francophobic, French abolitionism since 1794 having cooled Southern Republican enthusiasm for the republic; and they also grew Anglophilic, viewing the British as both a counterweight against the French and a potential ally against the Spanish. The Democrats were </w:t>
      </w:r>
      <w:r w:rsidR="0074014D">
        <w:lastRenderedPageBreak/>
        <w:t xml:space="preserve">marked by a firm Anglophobia, partially due to memories of the Revolution but also reflexive of the prominence of Irish immigrants fleeing the brutal suppression of the Irishmen; and they also </w:t>
      </w:r>
      <w:proofErr w:type="spellStart"/>
      <w:r w:rsidR="00027671">
        <w:t>Francophilic</w:t>
      </w:r>
      <w:proofErr w:type="spellEnd"/>
      <w:r w:rsidR="00027671">
        <w:t xml:space="preserve">, both because of the same Anglophobia, </w:t>
      </w:r>
      <w:r w:rsidR="00E04B56">
        <w:t>and</w:t>
      </w:r>
      <w:r w:rsidR="00027671">
        <w:t xml:space="preserve"> because of enthusiasm for the French Republic. </w:t>
      </w:r>
    </w:p>
    <w:p w14:paraId="04AA7C6A" w14:textId="3A8E79E8" w:rsidR="00E04B56" w:rsidRDefault="00E04B56" w:rsidP="007B03E2">
      <w:r>
        <w:t xml:space="preserve">Burr’s second term was met more with a rising party tension. Jefferson and Madison regarded him as nothing less than a would-be </w:t>
      </w:r>
      <w:r w:rsidR="00DD4C0B">
        <w:t xml:space="preserve">despot, and the two sought to do whatever they could to stop him. More privately, Jefferson, even spoke of the potential future necessity of secession or revolution. </w:t>
      </w:r>
      <w:r w:rsidR="00B9578F">
        <w:t xml:space="preserve">Though Virginia’s legislature issued resolutions condemning Burr’s actions as unconstitutional, it simultaneously accepted money for internal improvements within its borders, which left many wholly unsure of whether it was </w:t>
      </w:r>
      <w:r w:rsidR="00901D75">
        <w:t xml:space="preserve">even serious in this opposition. </w:t>
      </w:r>
      <w:r w:rsidR="002A5F88">
        <w:t xml:space="preserve">Behind the scenes, Burr made plans on how to deal with a potential secession crisis; he did not need it, as it mostly waited out the end of his presidency, to defeat him in the ballot box. Despite all this scheming, the economy was doing well and, despite his antipathy and aversion towards the institution, Burr did not make any moves on slavery that might have united the South against him. </w:t>
      </w:r>
      <w:r w:rsidR="0028262D">
        <w:t xml:space="preserve">Jefferson’s increasingly frantic rhetoric against </w:t>
      </w:r>
      <w:proofErr w:type="spellStart"/>
      <w:r w:rsidR="0028262D">
        <w:t>Burrism</w:t>
      </w:r>
      <w:proofErr w:type="spellEnd"/>
      <w:r w:rsidR="0028262D">
        <w:t xml:space="preserve"> was met on deaf ears. </w:t>
      </w:r>
      <w:r w:rsidR="00294DED">
        <w:t xml:space="preserve">Additionally, </w:t>
      </w:r>
      <w:r w:rsidR="00D96793">
        <w:t xml:space="preserve">the settlement of the frontier resulted in several wars with Indigenous tribes; in the Middle West, William Henry Harrison successfully forced a confederacy led by the Shawnee chief Tecumseh into exile in Canada, while an internal Creek civil war, in which American forces intervened on the pro-government side, ended with the Red Stick tribe forced into exile in the Spanish-ruled </w:t>
      </w:r>
      <w:proofErr w:type="spellStart"/>
      <w:r w:rsidR="00D96793">
        <w:t>Floridas</w:t>
      </w:r>
      <w:proofErr w:type="spellEnd"/>
      <w:r w:rsidR="00975965">
        <w:rPr>
          <w:rStyle w:val="EndnoteReference"/>
        </w:rPr>
        <w:endnoteReference w:id="17"/>
      </w:r>
      <w:r w:rsidR="00D96793">
        <w:t xml:space="preserve">. </w:t>
      </w:r>
    </w:p>
    <w:p w14:paraId="31C4E69B" w14:textId="5B7CB0ED" w:rsidR="002A5F88" w:rsidRDefault="002A5F88" w:rsidP="007B03E2">
      <w:r>
        <w:t xml:space="preserve">The most famous moment of this era is undoubtedly the opening of the Erie Canal in 1815; President Burr himself travelled up to New York to formally open the canal. This represented the vindication of Burr’s spending policies; it demonstrated he was not burning money to invest in paper tigers, but instead he was connecting the nation together. </w:t>
      </w:r>
      <w:r w:rsidR="0028262D">
        <w:t xml:space="preserve">Additionally, every other state in </w:t>
      </w:r>
      <w:r w:rsidR="0028262D">
        <w:lastRenderedPageBreak/>
        <w:t xml:space="preserve">the nation </w:t>
      </w:r>
      <w:r w:rsidR="00346728">
        <w:t>wanted</w:t>
      </w:r>
      <w:r w:rsidR="0028262D">
        <w:t xml:space="preserve"> to build their own canals</w:t>
      </w:r>
      <w:r w:rsidR="00346728">
        <w:t>,</w:t>
      </w:r>
      <w:r w:rsidR="0028262D">
        <w:t xml:space="preserve"> and</w:t>
      </w:r>
      <w:r w:rsidR="00346728">
        <w:t xml:space="preserve"> they campaigned to</w:t>
      </w:r>
      <w:r w:rsidR="0028262D">
        <w:t xml:space="preserve"> receive federal investments to do so. This too, Jefferson regarded as part of a scheme of consolidating the federal government; he believed the way it now owned shares in canal companies, </w:t>
      </w:r>
      <w:r w:rsidR="007F18CE">
        <w:t xml:space="preserve">granted them influence within politics that fell outside the powers granted by the constitution. </w:t>
      </w:r>
    </w:p>
    <w:p w14:paraId="2548F9BE" w14:textId="74BB7E03" w:rsidR="007F18CE" w:rsidRDefault="007F18CE" w:rsidP="007B03E2">
      <w:r>
        <w:t>Coming into the 1816 election, it looked as if whoever the Democrats would nominate would win election. Holding the first-ever national nominating convention</w:t>
      </w:r>
      <w:r w:rsidR="00503A8F">
        <w:rPr>
          <w:rStyle w:val="EndnoteReference"/>
        </w:rPr>
        <w:endnoteReference w:id="18"/>
      </w:r>
      <w:r>
        <w:t xml:space="preserve">, consisting of delegates selected by the several party organizations across the nation, it formally nominated a candidate – and many ended up shocked that it nominated Aaron Burr for an unprecedented third term. By this time, George Washington’s decision to refuse </w:t>
      </w:r>
      <w:r w:rsidR="00331E97">
        <w:t>to run for a third term</w:t>
      </w:r>
      <w:r>
        <w:t xml:space="preserve"> in 1796 was mythologized into a precedent, of dispassionate republican politicians voluntarily conceding their own power</w:t>
      </w:r>
      <w:r w:rsidR="00331E97">
        <w:t xml:space="preserve">; Jefferson’s refusal to run for a third term in 1808 simply strengthened this idea. By running for a third term, Aaron Burr </w:t>
      </w:r>
      <w:r w:rsidR="00A82246">
        <w:t>seemed to prove</w:t>
      </w:r>
      <w:r w:rsidR="00331E97">
        <w:t xml:space="preserve"> all his critics right</w:t>
      </w:r>
      <w:r w:rsidR="007D6ACD">
        <w:t xml:space="preserve">, and several of his supporters ended up backing the Republicans </w:t>
      </w:r>
      <w:proofErr w:type="gramStart"/>
      <w:r w:rsidR="007D6ACD">
        <w:t>in order to</w:t>
      </w:r>
      <w:proofErr w:type="gramEnd"/>
      <w:r w:rsidR="007D6ACD">
        <w:t xml:space="preserve"> </w:t>
      </w:r>
      <w:r w:rsidR="00B706BD">
        <w:t>maintain this constitutional norm</w:t>
      </w:r>
      <w:r w:rsidR="001D7D7D">
        <w:rPr>
          <w:rStyle w:val="EndnoteReference"/>
        </w:rPr>
        <w:endnoteReference w:id="19"/>
      </w:r>
      <w:r w:rsidR="00331E97">
        <w:t xml:space="preserve">. </w:t>
      </w:r>
      <w:proofErr w:type="gramStart"/>
      <w:r w:rsidR="00AC7E9D">
        <w:t>In particular, Jefferson</w:t>
      </w:r>
      <w:proofErr w:type="gramEnd"/>
      <w:r w:rsidR="00AC7E9D">
        <w:t xml:space="preserve"> published a</w:t>
      </w:r>
      <w:r w:rsidR="008E6EE2">
        <w:t>n open letter</w:t>
      </w:r>
      <w:r w:rsidR="00AC7E9D">
        <w:t xml:space="preserve"> to the American people, accusing him of being a </w:t>
      </w:r>
      <w:r w:rsidR="008E6EE2">
        <w:t>no less than the American</w:t>
      </w:r>
      <w:r w:rsidR="00AC7E9D">
        <w:t xml:space="preserve"> Catiline</w:t>
      </w:r>
      <w:r w:rsidR="008E6EE2">
        <w:t>, a demagogue pandering to the whims of the people</w:t>
      </w:r>
      <w:r w:rsidR="00AC7E9D">
        <w:t xml:space="preserve">, </w:t>
      </w:r>
      <w:r w:rsidR="008E6EE2">
        <w:t>all for the singular goal of</w:t>
      </w:r>
      <w:r w:rsidR="00AC7E9D">
        <w:t xml:space="preserve"> </w:t>
      </w:r>
      <w:r w:rsidR="008E6EE2">
        <w:t>the</w:t>
      </w:r>
      <w:r w:rsidR="00AC7E9D">
        <w:t xml:space="preserve"> destr</w:t>
      </w:r>
      <w:r w:rsidR="008E6EE2">
        <w:t>uction of</w:t>
      </w:r>
      <w:r w:rsidR="00AC7E9D">
        <w:t xml:space="preserve"> the American constitution and</w:t>
      </w:r>
      <w:r w:rsidR="008E6EE2">
        <w:t>, in its place</w:t>
      </w:r>
      <w:r w:rsidR="00AC7E9D">
        <w:t xml:space="preserve"> a personal despotism</w:t>
      </w:r>
      <w:r w:rsidR="008E6EE2">
        <w:rPr>
          <w:rStyle w:val="EndnoteReference"/>
        </w:rPr>
        <w:endnoteReference w:id="20"/>
      </w:r>
      <w:r w:rsidR="008E6EE2">
        <w:t xml:space="preserve">. </w:t>
      </w:r>
    </w:p>
    <w:p w14:paraId="053C1FA3" w14:textId="42C88400" w:rsidR="00811E95" w:rsidRDefault="00811E95" w:rsidP="00811E95">
      <w:r>
        <w:t>With the Republicans nominating Jefferson’s handpicked successor, James Madison</w:t>
      </w:r>
      <w:r w:rsidR="00F81DBE">
        <w:rPr>
          <w:rStyle w:val="EndnoteReference"/>
        </w:rPr>
        <w:endnoteReference w:id="21"/>
      </w:r>
      <w:r>
        <w:t xml:space="preserve">, in a nomination caucus, they too readied for the election. The ensuing campaign was, though hardly the chaotic epoch-smashing mess of 1800, certainly a mess. The Democrats accused Madison of being less a man and more an effete aristocrat, with one paper </w:t>
      </w:r>
      <w:r w:rsidR="00D737EF">
        <w:t xml:space="preserve">not only </w:t>
      </w:r>
      <w:r>
        <w:t>accusing him of</w:t>
      </w:r>
      <w:r w:rsidR="00FF256E">
        <w:t xml:space="preserve"> being a </w:t>
      </w:r>
      <w:proofErr w:type="gramStart"/>
      <w:r w:rsidR="00FF256E">
        <w:t>dandy,</w:t>
      </w:r>
      <w:r w:rsidR="00D737EF">
        <w:t xml:space="preserve"> but</w:t>
      </w:r>
      <w:proofErr w:type="gramEnd"/>
      <w:r w:rsidR="00D737EF">
        <w:t xml:space="preserve"> also</w:t>
      </w:r>
      <w:r w:rsidR="00FF256E">
        <w:t xml:space="preserve"> riding a</w:t>
      </w:r>
      <w:r>
        <w:t xml:space="preserve"> posh English-style carriage</w:t>
      </w:r>
      <w:r w:rsidR="00FF256E">
        <w:t xml:space="preserve"> in full livery –complete with a corset</w:t>
      </w:r>
      <w:r w:rsidR="002B4CBE">
        <w:rPr>
          <w:rStyle w:val="EndnoteReference"/>
        </w:rPr>
        <w:endnoteReference w:id="22"/>
      </w:r>
      <w:r>
        <w:t xml:space="preserve">. And the Republicans accused Burr of being a wannabe Catiline, seeking to usurp power and make himself a despot, all under the aegis of the large force of government officers who he appointed to their roles. </w:t>
      </w:r>
      <w:r>
        <w:lastRenderedPageBreak/>
        <w:t>But in the end, the very fact that Burr was running for an unprecedented third term was enough to give the Republican accusations enough credit that Madison won in an election that</w:t>
      </w:r>
      <w:r w:rsidR="00BE776A">
        <w:t>, if close,</w:t>
      </w:r>
      <w:r>
        <w:t xml:space="preserve"> was </w:t>
      </w:r>
      <w:r w:rsidR="00BE776A">
        <w:t xml:space="preserve">nevertheless </w:t>
      </w:r>
      <w:r>
        <w:t>decisive</w:t>
      </w:r>
      <w:r w:rsidR="00D66035">
        <w:rPr>
          <w:rStyle w:val="EndnoteReference"/>
        </w:rPr>
        <w:endnoteReference w:id="23"/>
      </w:r>
      <w:r>
        <w:t xml:space="preserve">. </w:t>
      </w:r>
    </w:p>
    <w:p w14:paraId="4D940756" w14:textId="77777777" w:rsidR="00A01FA7" w:rsidRDefault="00A01FA7" w:rsidP="00811E95"/>
    <w:p w14:paraId="1C028FB1" w14:textId="40A9E63A" w:rsidR="00811E95" w:rsidRDefault="00811E95" w:rsidP="00811E95">
      <w:pPr>
        <w:pStyle w:val="Caption"/>
      </w:pPr>
      <w:bookmarkStart w:id="5" w:name="_Toc202006259"/>
      <w:r>
        <w:t xml:space="preserve">Figure </w:t>
      </w:r>
      <w:fldSimple w:instr=" SEQ Figure \* ARABIC ">
        <w:r w:rsidR="00567D66">
          <w:rPr>
            <w:noProof/>
          </w:rPr>
          <w:t>3</w:t>
        </w:r>
      </w:fldSimple>
      <w:r>
        <w:t>. The</w:t>
      </w:r>
      <w:r w:rsidR="007A3ED0">
        <w:t xml:space="preserve"> 1816</w:t>
      </w:r>
      <w:r>
        <w:t xml:space="preserve"> election, by state</w:t>
      </w:r>
      <w:bookmarkEnd w:id="5"/>
    </w:p>
    <w:tbl>
      <w:tblPr>
        <w:tblStyle w:val="TableGrid"/>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2296"/>
        <w:gridCol w:w="2228"/>
        <w:gridCol w:w="2541"/>
      </w:tblGrid>
      <w:tr w:rsidR="00811E95" w:rsidRPr="003F3623" w14:paraId="66A45DC0" w14:textId="77777777" w:rsidTr="00811E95">
        <w:trPr>
          <w:trHeight w:val="273"/>
        </w:trPr>
        <w:tc>
          <w:tcPr>
            <w:tcW w:w="3081" w:type="dxa"/>
            <w:tcBorders>
              <w:bottom w:val="single" w:sz="4" w:space="0" w:color="auto"/>
              <w:right w:val="single" w:sz="4" w:space="0" w:color="auto"/>
            </w:tcBorders>
          </w:tcPr>
          <w:p w14:paraId="3BAB9C19" w14:textId="77777777" w:rsidR="00811E95" w:rsidRPr="003F3623" w:rsidRDefault="00811E95" w:rsidP="00AF4CAA">
            <w:pPr>
              <w:pStyle w:val="NoSpacing"/>
              <w:rPr>
                <w:b/>
                <w:bCs/>
              </w:rPr>
            </w:pPr>
            <w:r w:rsidRPr="003F3623">
              <w:rPr>
                <w:b/>
                <w:bCs/>
              </w:rPr>
              <w:t>State</w:t>
            </w:r>
          </w:p>
        </w:tc>
        <w:tc>
          <w:tcPr>
            <w:tcW w:w="2296" w:type="dxa"/>
            <w:tcBorders>
              <w:left w:val="single" w:sz="4" w:space="0" w:color="auto"/>
              <w:bottom w:val="single" w:sz="4" w:space="0" w:color="auto"/>
              <w:right w:val="single" w:sz="4" w:space="0" w:color="auto"/>
            </w:tcBorders>
          </w:tcPr>
          <w:p w14:paraId="4190321D" w14:textId="25DB0894" w:rsidR="00811E95" w:rsidRPr="003F3623" w:rsidRDefault="00811E95" w:rsidP="00AF4CAA">
            <w:pPr>
              <w:pStyle w:val="NoSpacing"/>
              <w:rPr>
                <w:b/>
                <w:bCs/>
              </w:rPr>
            </w:pPr>
            <w:r w:rsidRPr="003F3623">
              <w:rPr>
                <w:b/>
                <w:bCs/>
              </w:rPr>
              <w:t>Electoral votes</w:t>
            </w:r>
          </w:p>
        </w:tc>
        <w:tc>
          <w:tcPr>
            <w:tcW w:w="2228" w:type="dxa"/>
            <w:tcBorders>
              <w:left w:val="single" w:sz="4" w:space="0" w:color="auto"/>
              <w:bottom w:val="single" w:sz="4" w:space="0" w:color="auto"/>
            </w:tcBorders>
          </w:tcPr>
          <w:p w14:paraId="53DF63DE" w14:textId="74D582C3" w:rsidR="00811E95" w:rsidRPr="003F3623" w:rsidRDefault="00811E95" w:rsidP="00AF4CAA">
            <w:pPr>
              <w:pStyle w:val="NoSpacing"/>
              <w:rPr>
                <w:b/>
                <w:bCs/>
              </w:rPr>
            </w:pPr>
            <w:r w:rsidRPr="003F3623">
              <w:rPr>
                <w:b/>
                <w:bCs/>
              </w:rPr>
              <w:t>Madison</w:t>
            </w:r>
          </w:p>
        </w:tc>
        <w:tc>
          <w:tcPr>
            <w:tcW w:w="2541" w:type="dxa"/>
            <w:tcBorders>
              <w:bottom w:val="single" w:sz="4" w:space="0" w:color="auto"/>
            </w:tcBorders>
          </w:tcPr>
          <w:p w14:paraId="3C07139D" w14:textId="08E1D26E" w:rsidR="00811E95" w:rsidRPr="003F3623" w:rsidRDefault="00811E95" w:rsidP="00AF4CAA">
            <w:pPr>
              <w:pStyle w:val="NoSpacing"/>
              <w:rPr>
                <w:b/>
                <w:bCs/>
              </w:rPr>
            </w:pPr>
            <w:r w:rsidRPr="003F3623">
              <w:rPr>
                <w:b/>
                <w:bCs/>
              </w:rPr>
              <w:t>Burr</w:t>
            </w:r>
          </w:p>
        </w:tc>
      </w:tr>
      <w:tr w:rsidR="00811E95" w14:paraId="5149B8FB" w14:textId="77777777" w:rsidTr="00811E95">
        <w:trPr>
          <w:trHeight w:val="280"/>
        </w:trPr>
        <w:tc>
          <w:tcPr>
            <w:tcW w:w="3081" w:type="dxa"/>
            <w:tcBorders>
              <w:top w:val="single" w:sz="4" w:space="0" w:color="auto"/>
              <w:right w:val="single" w:sz="4" w:space="0" w:color="auto"/>
            </w:tcBorders>
          </w:tcPr>
          <w:p w14:paraId="4AAD79F9" w14:textId="77777777" w:rsidR="00811E95" w:rsidRDefault="00811E95" w:rsidP="00AF4CAA">
            <w:pPr>
              <w:pStyle w:val="NoSpacing"/>
            </w:pPr>
            <w:r>
              <w:t>Massachusetts</w:t>
            </w:r>
          </w:p>
        </w:tc>
        <w:tc>
          <w:tcPr>
            <w:tcW w:w="2296" w:type="dxa"/>
            <w:tcBorders>
              <w:top w:val="single" w:sz="4" w:space="0" w:color="auto"/>
              <w:left w:val="single" w:sz="4" w:space="0" w:color="auto"/>
              <w:right w:val="single" w:sz="4" w:space="0" w:color="auto"/>
            </w:tcBorders>
          </w:tcPr>
          <w:p w14:paraId="7C2D1C85" w14:textId="77777777" w:rsidR="00811E95" w:rsidRDefault="00811E95" w:rsidP="00AF4CAA">
            <w:pPr>
              <w:pStyle w:val="NoSpacing"/>
            </w:pPr>
            <w:r>
              <w:t>22</w:t>
            </w:r>
          </w:p>
        </w:tc>
        <w:tc>
          <w:tcPr>
            <w:tcW w:w="2228" w:type="dxa"/>
            <w:tcBorders>
              <w:top w:val="single" w:sz="4" w:space="0" w:color="auto"/>
              <w:left w:val="single" w:sz="4" w:space="0" w:color="auto"/>
            </w:tcBorders>
          </w:tcPr>
          <w:p w14:paraId="69AC1D10" w14:textId="6724109B" w:rsidR="00811E95" w:rsidRDefault="00811E95" w:rsidP="00AF4CAA">
            <w:pPr>
              <w:pStyle w:val="NoSpacing"/>
            </w:pPr>
            <w:r w:rsidRPr="004B4023">
              <w:t>0</w:t>
            </w:r>
          </w:p>
        </w:tc>
        <w:tc>
          <w:tcPr>
            <w:tcW w:w="2541" w:type="dxa"/>
            <w:tcBorders>
              <w:top w:val="single" w:sz="4" w:space="0" w:color="auto"/>
            </w:tcBorders>
          </w:tcPr>
          <w:p w14:paraId="0AE3EDAB" w14:textId="5DA81314" w:rsidR="00811E95" w:rsidRDefault="00811E95" w:rsidP="00AF4CAA">
            <w:pPr>
              <w:pStyle w:val="NoSpacing"/>
            </w:pPr>
            <w:r w:rsidRPr="004B4023">
              <w:t>22</w:t>
            </w:r>
          </w:p>
        </w:tc>
      </w:tr>
      <w:tr w:rsidR="00811E95" w14:paraId="76EB4D93" w14:textId="77777777" w:rsidTr="00811E95">
        <w:trPr>
          <w:trHeight w:val="241"/>
        </w:trPr>
        <w:tc>
          <w:tcPr>
            <w:tcW w:w="3081" w:type="dxa"/>
            <w:tcBorders>
              <w:right w:val="single" w:sz="4" w:space="0" w:color="auto"/>
            </w:tcBorders>
          </w:tcPr>
          <w:p w14:paraId="144A6308" w14:textId="77777777" w:rsidR="00811E95" w:rsidRDefault="00811E95" w:rsidP="00AF4CAA">
            <w:pPr>
              <w:pStyle w:val="NoSpacing"/>
            </w:pPr>
            <w:r>
              <w:t>New Hampshire</w:t>
            </w:r>
          </w:p>
        </w:tc>
        <w:tc>
          <w:tcPr>
            <w:tcW w:w="2296" w:type="dxa"/>
            <w:tcBorders>
              <w:left w:val="single" w:sz="4" w:space="0" w:color="auto"/>
              <w:right w:val="single" w:sz="4" w:space="0" w:color="auto"/>
            </w:tcBorders>
          </w:tcPr>
          <w:p w14:paraId="04C5E853" w14:textId="77777777" w:rsidR="00811E95" w:rsidRDefault="00811E95" w:rsidP="00AF4CAA">
            <w:pPr>
              <w:pStyle w:val="NoSpacing"/>
            </w:pPr>
            <w:r>
              <w:t>8</w:t>
            </w:r>
          </w:p>
        </w:tc>
        <w:tc>
          <w:tcPr>
            <w:tcW w:w="2228" w:type="dxa"/>
            <w:tcBorders>
              <w:left w:val="single" w:sz="4" w:space="0" w:color="auto"/>
            </w:tcBorders>
          </w:tcPr>
          <w:p w14:paraId="376E7765" w14:textId="17F5073D" w:rsidR="00811E95" w:rsidRDefault="00811E95" w:rsidP="00AF4CAA">
            <w:pPr>
              <w:pStyle w:val="NoSpacing"/>
            </w:pPr>
            <w:r w:rsidRPr="004B4023">
              <w:t>8</w:t>
            </w:r>
          </w:p>
        </w:tc>
        <w:tc>
          <w:tcPr>
            <w:tcW w:w="2541" w:type="dxa"/>
          </w:tcPr>
          <w:p w14:paraId="23E71CDC" w14:textId="217CF701" w:rsidR="00811E95" w:rsidRDefault="00811E95" w:rsidP="00AF4CAA">
            <w:pPr>
              <w:pStyle w:val="NoSpacing"/>
            </w:pPr>
            <w:r w:rsidRPr="004B4023">
              <w:t>0</w:t>
            </w:r>
          </w:p>
        </w:tc>
      </w:tr>
      <w:tr w:rsidR="00811E95" w14:paraId="4D71DB13" w14:textId="77777777" w:rsidTr="00811E95">
        <w:trPr>
          <w:trHeight w:val="273"/>
        </w:trPr>
        <w:tc>
          <w:tcPr>
            <w:tcW w:w="3081" w:type="dxa"/>
            <w:tcBorders>
              <w:right w:val="single" w:sz="4" w:space="0" w:color="auto"/>
            </w:tcBorders>
          </w:tcPr>
          <w:p w14:paraId="3C0C0926" w14:textId="77777777" w:rsidR="00811E95" w:rsidRDefault="00811E95" w:rsidP="00AF4CAA">
            <w:pPr>
              <w:pStyle w:val="NoSpacing"/>
            </w:pPr>
            <w:r>
              <w:t>Vermont</w:t>
            </w:r>
          </w:p>
        </w:tc>
        <w:tc>
          <w:tcPr>
            <w:tcW w:w="2296" w:type="dxa"/>
            <w:tcBorders>
              <w:left w:val="single" w:sz="4" w:space="0" w:color="auto"/>
              <w:right w:val="single" w:sz="4" w:space="0" w:color="auto"/>
            </w:tcBorders>
          </w:tcPr>
          <w:p w14:paraId="34C7BD50" w14:textId="77777777" w:rsidR="00811E95" w:rsidRDefault="00811E95" w:rsidP="00AF4CAA">
            <w:pPr>
              <w:pStyle w:val="NoSpacing"/>
            </w:pPr>
            <w:r>
              <w:t>8</w:t>
            </w:r>
          </w:p>
        </w:tc>
        <w:tc>
          <w:tcPr>
            <w:tcW w:w="2228" w:type="dxa"/>
            <w:tcBorders>
              <w:left w:val="single" w:sz="4" w:space="0" w:color="auto"/>
            </w:tcBorders>
          </w:tcPr>
          <w:p w14:paraId="6DB67CFA" w14:textId="326095E9" w:rsidR="00811E95" w:rsidRDefault="00811E95" w:rsidP="00AF4CAA">
            <w:pPr>
              <w:pStyle w:val="NoSpacing"/>
            </w:pPr>
            <w:r w:rsidRPr="004B4023">
              <w:t>0</w:t>
            </w:r>
          </w:p>
        </w:tc>
        <w:tc>
          <w:tcPr>
            <w:tcW w:w="2541" w:type="dxa"/>
          </w:tcPr>
          <w:p w14:paraId="0CE577A3" w14:textId="17007366" w:rsidR="00811E95" w:rsidRDefault="00811E95" w:rsidP="00AF4CAA">
            <w:pPr>
              <w:pStyle w:val="NoSpacing"/>
            </w:pPr>
            <w:r w:rsidRPr="004B4023">
              <w:t>8</w:t>
            </w:r>
          </w:p>
        </w:tc>
      </w:tr>
      <w:tr w:rsidR="00811E95" w14:paraId="4BF236AB" w14:textId="77777777" w:rsidTr="00811E95">
        <w:trPr>
          <w:trHeight w:val="280"/>
        </w:trPr>
        <w:tc>
          <w:tcPr>
            <w:tcW w:w="3081" w:type="dxa"/>
            <w:tcBorders>
              <w:right w:val="single" w:sz="4" w:space="0" w:color="auto"/>
            </w:tcBorders>
          </w:tcPr>
          <w:p w14:paraId="23EE45CA" w14:textId="77777777" w:rsidR="00811E95" w:rsidRDefault="00811E95" w:rsidP="00AF4CAA">
            <w:pPr>
              <w:pStyle w:val="NoSpacing"/>
            </w:pPr>
            <w:r>
              <w:t>Rhode Island</w:t>
            </w:r>
          </w:p>
        </w:tc>
        <w:tc>
          <w:tcPr>
            <w:tcW w:w="2296" w:type="dxa"/>
            <w:tcBorders>
              <w:left w:val="single" w:sz="4" w:space="0" w:color="auto"/>
              <w:right w:val="single" w:sz="4" w:space="0" w:color="auto"/>
            </w:tcBorders>
          </w:tcPr>
          <w:p w14:paraId="06F820B7" w14:textId="77777777" w:rsidR="00811E95" w:rsidRDefault="00811E95" w:rsidP="00AF4CAA">
            <w:pPr>
              <w:pStyle w:val="NoSpacing"/>
            </w:pPr>
            <w:r>
              <w:t>4</w:t>
            </w:r>
          </w:p>
        </w:tc>
        <w:tc>
          <w:tcPr>
            <w:tcW w:w="2228" w:type="dxa"/>
            <w:tcBorders>
              <w:left w:val="single" w:sz="4" w:space="0" w:color="auto"/>
            </w:tcBorders>
          </w:tcPr>
          <w:p w14:paraId="780BC725" w14:textId="4CD28BA1" w:rsidR="00811E95" w:rsidRDefault="00811E95" w:rsidP="00AF4CAA">
            <w:pPr>
              <w:pStyle w:val="NoSpacing"/>
            </w:pPr>
            <w:r w:rsidRPr="004B4023">
              <w:t>0</w:t>
            </w:r>
          </w:p>
        </w:tc>
        <w:tc>
          <w:tcPr>
            <w:tcW w:w="2541" w:type="dxa"/>
          </w:tcPr>
          <w:p w14:paraId="76E3DF42" w14:textId="6D2A8AD2" w:rsidR="00811E95" w:rsidRDefault="00811E95" w:rsidP="00AF4CAA">
            <w:pPr>
              <w:pStyle w:val="NoSpacing"/>
            </w:pPr>
            <w:r w:rsidRPr="004B4023">
              <w:t>4</w:t>
            </w:r>
          </w:p>
        </w:tc>
      </w:tr>
      <w:tr w:rsidR="00811E95" w14:paraId="0DBC4EF3" w14:textId="77777777" w:rsidTr="00811E95">
        <w:trPr>
          <w:trHeight w:val="273"/>
        </w:trPr>
        <w:tc>
          <w:tcPr>
            <w:tcW w:w="3081" w:type="dxa"/>
            <w:tcBorders>
              <w:right w:val="single" w:sz="4" w:space="0" w:color="auto"/>
            </w:tcBorders>
          </w:tcPr>
          <w:p w14:paraId="26280FCB" w14:textId="77777777" w:rsidR="00811E95" w:rsidRDefault="00811E95" w:rsidP="00AF4CAA">
            <w:pPr>
              <w:pStyle w:val="NoSpacing"/>
            </w:pPr>
            <w:r>
              <w:t>Connecticut</w:t>
            </w:r>
          </w:p>
        </w:tc>
        <w:tc>
          <w:tcPr>
            <w:tcW w:w="2296" w:type="dxa"/>
            <w:tcBorders>
              <w:left w:val="single" w:sz="4" w:space="0" w:color="auto"/>
              <w:right w:val="single" w:sz="4" w:space="0" w:color="auto"/>
            </w:tcBorders>
          </w:tcPr>
          <w:p w14:paraId="69F2B822" w14:textId="77777777" w:rsidR="00811E95" w:rsidRDefault="00811E95" w:rsidP="00AF4CAA">
            <w:pPr>
              <w:pStyle w:val="NoSpacing"/>
            </w:pPr>
            <w:r>
              <w:t>10</w:t>
            </w:r>
          </w:p>
        </w:tc>
        <w:tc>
          <w:tcPr>
            <w:tcW w:w="2228" w:type="dxa"/>
            <w:tcBorders>
              <w:left w:val="single" w:sz="4" w:space="0" w:color="auto"/>
            </w:tcBorders>
          </w:tcPr>
          <w:p w14:paraId="1F8EE4F1" w14:textId="26D8B71C" w:rsidR="00811E95" w:rsidRDefault="00811E95" w:rsidP="00AF4CAA">
            <w:pPr>
              <w:pStyle w:val="NoSpacing"/>
            </w:pPr>
            <w:r w:rsidRPr="004B4023">
              <w:t>10</w:t>
            </w:r>
          </w:p>
        </w:tc>
        <w:tc>
          <w:tcPr>
            <w:tcW w:w="2541" w:type="dxa"/>
          </w:tcPr>
          <w:p w14:paraId="47F1BD4E" w14:textId="7F047E5F" w:rsidR="00811E95" w:rsidRDefault="00811E95" w:rsidP="00AF4CAA">
            <w:pPr>
              <w:pStyle w:val="NoSpacing"/>
            </w:pPr>
            <w:r w:rsidRPr="004B4023">
              <w:t>0</w:t>
            </w:r>
          </w:p>
        </w:tc>
      </w:tr>
      <w:tr w:rsidR="00811E95" w14:paraId="1E4357D4" w14:textId="77777777" w:rsidTr="00811E95">
        <w:trPr>
          <w:trHeight w:val="280"/>
        </w:trPr>
        <w:tc>
          <w:tcPr>
            <w:tcW w:w="3081" w:type="dxa"/>
            <w:tcBorders>
              <w:right w:val="single" w:sz="4" w:space="0" w:color="auto"/>
            </w:tcBorders>
          </w:tcPr>
          <w:p w14:paraId="0C2D6E70" w14:textId="77777777" w:rsidR="00811E95" w:rsidRDefault="00811E95" w:rsidP="00AF4CAA">
            <w:pPr>
              <w:pStyle w:val="NoSpacing"/>
            </w:pPr>
            <w:r>
              <w:t>New York</w:t>
            </w:r>
          </w:p>
        </w:tc>
        <w:tc>
          <w:tcPr>
            <w:tcW w:w="2296" w:type="dxa"/>
            <w:tcBorders>
              <w:left w:val="single" w:sz="4" w:space="0" w:color="auto"/>
              <w:right w:val="single" w:sz="4" w:space="0" w:color="auto"/>
            </w:tcBorders>
          </w:tcPr>
          <w:p w14:paraId="45F26DF8" w14:textId="77777777" w:rsidR="00811E95" w:rsidRDefault="00811E95" w:rsidP="00AF4CAA">
            <w:pPr>
              <w:pStyle w:val="NoSpacing"/>
            </w:pPr>
            <w:r>
              <w:t>33</w:t>
            </w:r>
          </w:p>
        </w:tc>
        <w:tc>
          <w:tcPr>
            <w:tcW w:w="2228" w:type="dxa"/>
            <w:tcBorders>
              <w:left w:val="single" w:sz="4" w:space="0" w:color="auto"/>
            </w:tcBorders>
          </w:tcPr>
          <w:p w14:paraId="00718E2D" w14:textId="0D3CCFC0" w:rsidR="00811E95" w:rsidRDefault="00811E95" w:rsidP="00AF4CAA">
            <w:pPr>
              <w:pStyle w:val="NoSpacing"/>
            </w:pPr>
            <w:r w:rsidRPr="004B4023">
              <w:t>8</w:t>
            </w:r>
          </w:p>
        </w:tc>
        <w:tc>
          <w:tcPr>
            <w:tcW w:w="2541" w:type="dxa"/>
          </w:tcPr>
          <w:p w14:paraId="1F6807FA" w14:textId="5BB69E5A" w:rsidR="00811E95" w:rsidRDefault="00811E95" w:rsidP="00AF4CAA">
            <w:pPr>
              <w:pStyle w:val="NoSpacing"/>
            </w:pPr>
            <w:r w:rsidRPr="004B4023">
              <w:t>25</w:t>
            </w:r>
          </w:p>
        </w:tc>
      </w:tr>
      <w:tr w:rsidR="00811E95" w14:paraId="12F789AF" w14:textId="77777777" w:rsidTr="00811E95">
        <w:trPr>
          <w:trHeight w:val="273"/>
        </w:trPr>
        <w:tc>
          <w:tcPr>
            <w:tcW w:w="3081" w:type="dxa"/>
            <w:tcBorders>
              <w:right w:val="single" w:sz="4" w:space="0" w:color="auto"/>
            </w:tcBorders>
          </w:tcPr>
          <w:p w14:paraId="188D1764" w14:textId="77777777" w:rsidR="00811E95" w:rsidRDefault="00811E95" w:rsidP="00AF4CAA">
            <w:pPr>
              <w:pStyle w:val="NoSpacing"/>
            </w:pPr>
            <w:r>
              <w:t>Pennsylvania</w:t>
            </w:r>
          </w:p>
        </w:tc>
        <w:tc>
          <w:tcPr>
            <w:tcW w:w="2296" w:type="dxa"/>
            <w:tcBorders>
              <w:left w:val="single" w:sz="4" w:space="0" w:color="auto"/>
              <w:right w:val="single" w:sz="4" w:space="0" w:color="auto"/>
            </w:tcBorders>
          </w:tcPr>
          <w:p w14:paraId="77C713B8" w14:textId="77777777" w:rsidR="00811E95" w:rsidRDefault="00811E95" w:rsidP="00AF4CAA">
            <w:pPr>
              <w:pStyle w:val="NoSpacing"/>
            </w:pPr>
            <w:r>
              <w:t>26</w:t>
            </w:r>
          </w:p>
        </w:tc>
        <w:tc>
          <w:tcPr>
            <w:tcW w:w="2228" w:type="dxa"/>
            <w:tcBorders>
              <w:left w:val="single" w:sz="4" w:space="0" w:color="auto"/>
            </w:tcBorders>
          </w:tcPr>
          <w:p w14:paraId="2B4C631F" w14:textId="1755B937" w:rsidR="00811E95" w:rsidRDefault="00811E95" w:rsidP="00AF4CAA">
            <w:pPr>
              <w:pStyle w:val="NoSpacing"/>
            </w:pPr>
            <w:r w:rsidRPr="004B4023">
              <w:t>9</w:t>
            </w:r>
          </w:p>
        </w:tc>
        <w:tc>
          <w:tcPr>
            <w:tcW w:w="2541" w:type="dxa"/>
          </w:tcPr>
          <w:p w14:paraId="2C8357AE" w14:textId="31D317A0" w:rsidR="00811E95" w:rsidRDefault="00811E95" w:rsidP="00AF4CAA">
            <w:pPr>
              <w:pStyle w:val="NoSpacing"/>
            </w:pPr>
            <w:r w:rsidRPr="004B4023">
              <w:t>17</w:t>
            </w:r>
          </w:p>
        </w:tc>
      </w:tr>
      <w:tr w:rsidR="00811E95" w14:paraId="6A1388DB" w14:textId="77777777" w:rsidTr="00811E95">
        <w:trPr>
          <w:trHeight w:val="280"/>
        </w:trPr>
        <w:tc>
          <w:tcPr>
            <w:tcW w:w="3081" w:type="dxa"/>
            <w:tcBorders>
              <w:right w:val="single" w:sz="4" w:space="0" w:color="auto"/>
            </w:tcBorders>
          </w:tcPr>
          <w:p w14:paraId="3D69A7C9" w14:textId="77777777" w:rsidR="00811E95" w:rsidRDefault="00811E95" w:rsidP="00AF4CAA">
            <w:pPr>
              <w:pStyle w:val="NoSpacing"/>
            </w:pPr>
            <w:r>
              <w:t>New Jersey</w:t>
            </w:r>
          </w:p>
        </w:tc>
        <w:tc>
          <w:tcPr>
            <w:tcW w:w="2296" w:type="dxa"/>
            <w:tcBorders>
              <w:left w:val="single" w:sz="4" w:space="0" w:color="auto"/>
              <w:right w:val="single" w:sz="4" w:space="0" w:color="auto"/>
            </w:tcBorders>
          </w:tcPr>
          <w:p w14:paraId="1956A01D" w14:textId="77777777" w:rsidR="00811E95" w:rsidRDefault="00811E95" w:rsidP="00AF4CAA">
            <w:pPr>
              <w:pStyle w:val="NoSpacing"/>
            </w:pPr>
            <w:r>
              <w:t>8</w:t>
            </w:r>
          </w:p>
        </w:tc>
        <w:tc>
          <w:tcPr>
            <w:tcW w:w="2228" w:type="dxa"/>
            <w:tcBorders>
              <w:left w:val="single" w:sz="4" w:space="0" w:color="auto"/>
            </w:tcBorders>
          </w:tcPr>
          <w:p w14:paraId="2B494710" w14:textId="0A3B7DD8" w:rsidR="00811E95" w:rsidRDefault="00811E95" w:rsidP="00AF4CAA">
            <w:pPr>
              <w:pStyle w:val="NoSpacing"/>
            </w:pPr>
            <w:r w:rsidRPr="004B4023">
              <w:t>8</w:t>
            </w:r>
          </w:p>
        </w:tc>
        <w:tc>
          <w:tcPr>
            <w:tcW w:w="2541" w:type="dxa"/>
          </w:tcPr>
          <w:p w14:paraId="3537F213" w14:textId="6167EF58" w:rsidR="00811E95" w:rsidRDefault="00811E95" w:rsidP="00AF4CAA">
            <w:pPr>
              <w:pStyle w:val="NoSpacing"/>
            </w:pPr>
            <w:r w:rsidRPr="004B4023">
              <w:t>0</w:t>
            </w:r>
          </w:p>
        </w:tc>
      </w:tr>
      <w:tr w:rsidR="00811E95" w14:paraId="41DBC58C" w14:textId="77777777" w:rsidTr="00811E95">
        <w:trPr>
          <w:trHeight w:val="273"/>
        </w:trPr>
        <w:tc>
          <w:tcPr>
            <w:tcW w:w="3081" w:type="dxa"/>
            <w:tcBorders>
              <w:right w:val="single" w:sz="4" w:space="0" w:color="auto"/>
            </w:tcBorders>
          </w:tcPr>
          <w:p w14:paraId="0A76265C" w14:textId="77777777" w:rsidR="00811E95" w:rsidRDefault="00811E95" w:rsidP="00AF4CAA">
            <w:pPr>
              <w:pStyle w:val="NoSpacing"/>
            </w:pPr>
            <w:r>
              <w:t>Delaware</w:t>
            </w:r>
          </w:p>
        </w:tc>
        <w:tc>
          <w:tcPr>
            <w:tcW w:w="2296" w:type="dxa"/>
            <w:tcBorders>
              <w:left w:val="single" w:sz="4" w:space="0" w:color="auto"/>
              <w:right w:val="single" w:sz="4" w:space="0" w:color="auto"/>
            </w:tcBorders>
          </w:tcPr>
          <w:p w14:paraId="71AA4101" w14:textId="77777777" w:rsidR="00811E95" w:rsidRDefault="00811E95" w:rsidP="00AF4CAA">
            <w:pPr>
              <w:pStyle w:val="NoSpacing"/>
            </w:pPr>
            <w:r>
              <w:t>4</w:t>
            </w:r>
          </w:p>
        </w:tc>
        <w:tc>
          <w:tcPr>
            <w:tcW w:w="2228" w:type="dxa"/>
            <w:tcBorders>
              <w:left w:val="single" w:sz="4" w:space="0" w:color="auto"/>
            </w:tcBorders>
          </w:tcPr>
          <w:p w14:paraId="2B8CBC4D" w14:textId="5A82E629" w:rsidR="00811E95" w:rsidRDefault="00811E95" w:rsidP="00AF4CAA">
            <w:pPr>
              <w:pStyle w:val="NoSpacing"/>
            </w:pPr>
            <w:r w:rsidRPr="004B4023">
              <w:t>0</w:t>
            </w:r>
          </w:p>
        </w:tc>
        <w:tc>
          <w:tcPr>
            <w:tcW w:w="2541" w:type="dxa"/>
          </w:tcPr>
          <w:p w14:paraId="5120900B" w14:textId="1226D0A9" w:rsidR="00811E95" w:rsidRDefault="00811E95" w:rsidP="00AF4CAA">
            <w:pPr>
              <w:pStyle w:val="NoSpacing"/>
            </w:pPr>
            <w:r w:rsidRPr="004B4023">
              <w:t>4</w:t>
            </w:r>
          </w:p>
        </w:tc>
      </w:tr>
      <w:tr w:rsidR="00811E95" w14:paraId="7D643BF4" w14:textId="77777777" w:rsidTr="00811E95">
        <w:trPr>
          <w:trHeight w:val="273"/>
        </w:trPr>
        <w:tc>
          <w:tcPr>
            <w:tcW w:w="3081" w:type="dxa"/>
            <w:tcBorders>
              <w:right w:val="single" w:sz="4" w:space="0" w:color="auto"/>
            </w:tcBorders>
          </w:tcPr>
          <w:p w14:paraId="273654B1" w14:textId="77777777" w:rsidR="00811E95" w:rsidRDefault="00811E95" w:rsidP="00AF4CAA">
            <w:pPr>
              <w:pStyle w:val="NoSpacing"/>
            </w:pPr>
            <w:r>
              <w:t>Maryland</w:t>
            </w:r>
          </w:p>
        </w:tc>
        <w:tc>
          <w:tcPr>
            <w:tcW w:w="2296" w:type="dxa"/>
            <w:tcBorders>
              <w:left w:val="single" w:sz="4" w:space="0" w:color="auto"/>
              <w:right w:val="single" w:sz="4" w:space="0" w:color="auto"/>
            </w:tcBorders>
          </w:tcPr>
          <w:p w14:paraId="6A5BD30E" w14:textId="77777777" w:rsidR="00811E95" w:rsidRDefault="00811E95" w:rsidP="00AF4CAA">
            <w:pPr>
              <w:pStyle w:val="NoSpacing"/>
            </w:pPr>
            <w:r>
              <w:t>11</w:t>
            </w:r>
          </w:p>
        </w:tc>
        <w:tc>
          <w:tcPr>
            <w:tcW w:w="2228" w:type="dxa"/>
            <w:tcBorders>
              <w:left w:val="single" w:sz="4" w:space="0" w:color="auto"/>
            </w:tcBorders>
          </w:tcPr>
          <w:p w14:paraId="5FBCA83C" w14:textId="366169DF" w:rsidR="00811E95" w:rsidRDefault="00811E95" w:rsidP="00AF4CAA">
            <w:pPr>
              <w:pStyle w:val="NoSpacing"/>
            </w:pPr>
            <w:r w:rsidRPr="004B4023">
              <w:t>11</w:t>
            </w:r>
          </w:p>
        </w:tc>
        <w:tc>
          <w:tcPr>
            <w:tcW w:w="2541" w:type="dxa"/>
          </w:tcPr>
          <w:p w14:paraId="638EF211" w14:textId="4D372051" w:rsidR="00811E95" w:rsidRDefault="00811E95" w:rsidP="00AF4CAA">
            <w:pPr>
              <w:pStyle w:val="NoSpacing"/>
            </w:pPr>
            <w:r w:rsidRPr="004B4023">
              <w:t>0</w:t>
            </w:r>
          </w:p>
        </w:tc>
      </w:tr>
      <w:tr w:rsidR="00811E95" w14:paraId="4C8DDE7A" w14:textId="77777777" w:rsidTr="00811E95">
        <w:trPr>
          <w:trHeight w:val="280"/>
        </w:trPr>
        <w:tc>
          <w:tcPr>
            <w:tcW w:w="3081" w:type="dxa"/>
            <w:tcBorders>
              <w:right w:val="single" w:sz="4" w:space="0" w:color="auto"/>
            </w:tcBorders>
          </w:tcPr>
          <w:p w14:paraId="095D03BE" w14:textId="77777777" w:rsidR="00811E95" w:rsidRDefault="00811E95" w:rsidP="00AF4CAA">
            <w:pPr>
              <w:pStyle w:val="NoSpacing"/>
            </w:pPr>
            <w:r>
              <w:t>Ohio</w:t>
            </w:r>
          </w:p>
        </w:tc>
        <w:tc>
          <w:tcPr>
            <w:tcW w:w="2296" w:type="dxa"/>
            <w:tcBorders>
              <w:left w:val="single" w:sz="4" w:space="0" w:color="auto"/>
              <w:right w:val="single" w:sz="4" w:space="0" w:color="auto"/>
            </w:tcBorders>
          </w:tcPr>
          <w:p w14:paraId="50654C7D" w14:textId="77777777" w:rsidR="00811E95" w:rsidRDefault="00811E95" w:rsidP="00AF4CAA">
            <w:pPr>
              <w:pStyle w:val="NoSpacing"/>
            </w:pPr>
            <w:r>
              <w:t>8</w:t>
            </w:r>
          </w:p>
        </w:tc>
        <w:tc>
          <w:tcPr>
            <w:tcW w:w="2228" w:type="dxa"/>
            <w:tcBorders>
              <w:left w:val="single" w:sz="4" w:space="0" w:color="auto"/>
            </w:tcBorders>
          </w:tcPr>
          <w:p w14:paraId="593447A7" w14:textId="59E65F4A" w:rsidR="00811E95" w:rsidRDefault="00811E95" w:rsidP="00AF4CAA">
            <w:pPr>
              <w:pStyle w:val="NoSpacing"/>
            </w:pPr>
            <w:r w:rsidRPr="004B4023">
              <w:t>0</w:t>
            </w:r>
          </w:p>
        </w:tc>
        <w:tc>
          <w:tcPr>
            <w:tcW w:w="2541" w:type="dxa"/>
          </w:tcPr>
          <w:p w14:paraId="45ADAF41" w14:textId="0E8C2EB5" w:rsidR="00811E95" w:rsidRDefault="00811E95" w:rsidP="00AF4CAA">
            <w:pPr>
              <w:pStyle w:val="NoSpacing"/>
            </w:pPr>
            <w:r w:rsidRPr="004B4023">
              <w:t>8</w:t>
            </w:r>
          </w:p>
        </w:tc>
      </w:tr>
      <w:tr w:rsidR="00811E95" w14:paraId="7824E5B3" w14:textId="77777777" w:rsidTr="00811E95">
        <w:trPr>
          <w:trHeight w:val="280"/>
        </w:trPr>
        <w:tc>
          <w:tcPr>
            <w:tcW w:w="3081" w:type="dxa"/>
            <w:tcBorders>
              <w:right w:val="single" w:sz="4" w:space="0" w:color="auto"/>
            </w:tcBorders>
          </w:tcPr>
          <w:p w14:paraId="72F77001" w14:textId="1D6FA3AE" w:rsidR="00811E95" w:rsidRDefault="00811E95" w:rsidP="00AF4CAA">
            <w:pPr>
              <w:pStyle w:val="NoSpacing"/>
            </w:pPr>
            <w:r>
              <w:t>Indiana</w:t>
            </w:r>
          </w:p>
        </w:tc>
        <w:tc>
          <w:tcPr>
            <w:tcW w:w="2296" w:type="dxa"/>
            <w:tcBorders>
              <w:left w:val="single" w:sz="4" w:space="0" w:color="auto"/>
              <w:right w:val="single" w:sz="4" w:space="0" w:color="auto"/>
            </w:tcBorders>
          </w:tcPr>
          <w:p w14:paraId="1990DDC3" w14:textId="458373B0" w:rsidR="00811E95" w:rsidRDefault="00811E95" w:rsidP="00AF4CAA">
            <w:pPr>
              <w:pStyle w:val="NoSpacing"/>
            </w:pPr>
            <w:r>
              <w:t>3</w:t>
            </w:r>
          </w:p>
        </w:tc>
        <w:tc>
          <w:tcPr>
            <w:tcW w:w="2228" w:type="dxa"/>
            <w:tcBorders>
              <w:left w:val="single" w:sz="4" w:space="0" w:color="auto"/>
            </w:tcBorders>
          </w:tcPr>
          <w:p w14:paraId="65983E01" w14:textId="32E8808A" w:rsidR="00811E95" w:rsidRPr="00766E32" w:rsidRDefault="00811E95" w:rsidP="00AF4CAA">
            <w:pPr>
              <w:pStyle w:val="NoSpacing"/>
            </w:pPr>
            <w:r w:rsidRPr="004B4023">
              <w:t>0</w:t>
            </w:r>
          </w:p>
        </w:tc>
        <w:tc>
          <w:tcPr>
            <w:tcW w:w="2541" w:type="dxa"/>
          </w:tcPr>
          <w:p w14:paraId="1C8FA719" w14:textId="1C97FD1C" w:rsidR="00811E95" w:rsidRPr="00766E32" w:rsidRDefault="00811E95" w:rsidP="00AF4CAA">
            <w:pPr>
              <w:pStyle w:val="NoSpacing"/>
            </w:pPr>
            <w:r w:rsidRPr="004B4023">
              <w:t>3</w:t>
            </w:r>
          </w:p>
        </w:tc>
      </w:tr>
      <w:tr w:rsidR="00811E95" w14:paraId="6C9C8346" w14:textId="77777777" w:rsidTr="00811E95">
        <w:trPr>
          <w:trHeight w:val="273"/>
        </w:trPr>
        <w:tc>
          <w:tcPr>
            <w:tcW w:w="3081" w:type="dxa"/>
            <w:tcBorders>
              <w:right w:val="single" w:sz="4" w:space="0" w:color="auto"/>
            </w:tcBorders>
          </w:tcPr>
          <w:p w14:paraId="799CCF46" w14:textId="77777777" w:rsidR="00811E95" w:rsidRDefault="00811E95" w:rsidP="00AF4CAA">
            <w:pPr>
              <w:pStyle w:val="NoSpacing"/>
            </w:pPr>
            <w:r>
              <w:t>Virginia</w:t>
            </w:r>
          </w:p>
        </w:tc>
        <w:tc>
          <w:tcPr>
            <w:tcW w:w="2296" w:type="dxa"/>
            <w:tcBorders>
              <w:left w:val="single" w:sz="4" w:space="0" w:color="auto"/>
              <w:right w:val="single" w:sz="4" w:space="0" w:color="auto"/>
            </w:tcBorders>
          </w:tcPr>
          <w:p w14:paraId="0FC8B249" w14:textId="77777777" w:rsidR="00811E95" w:rsidRDefault="00811E95" w:rsidP="00AF4CAA">
            <w:pPr>
              <w:pStyle w:val="NoSpacing"/>
            </w:pPr>
            <w:r>
              <w:t>25</w:t>
            </w:r>
          </w:p>
        </w:tc>
        <w:tc>
          <w:tcPr>
            <w:tcW w:w="2228" w:type="dxa"/>
            <w:tcBorders>
              <w:left w:val="single" w:sz="4" w:space="0" w:color="auto"/>
            </w:tcBorders>
          </w:tcPr>
          <w:p w14:paraId="216C45C1" w14:textId="60FAAA3B" w:rsidR="00811E95" w:rsidRDefault="00811E95" w:rsidP="00AF4CAA">
            <w:pPr>
              <w:pStyle w:val="NoSpacing"/>
            </w:pPr>
            <w:r w:rsidRPr="004B4023">
              <w:t>22</w:t>
            </w:r>
          </w:p>
        </w:tc>
        <w:tc>
          <w:tcPr>
            <w:tcW w:w="2541" w:type="dxa"/>
          </w:tcPr>
          <w:p w14:paraId="51BCCF89" w14:textId="362E037B" w:rsidR="00811E95" w:rsidRDefault="00811E95" w:rsidP="00AF4CAA">
            <w:pPr>
              <w:pStyle w:val="NoSpacing"/>
            </w:pPr>
            <w:r w:rsidRPr="004B4023">
              <w:t>3</w:t>
            </w:r>
          </w:p>
        </w:tc>
      </w:tr>
      <w:tr w:rsidR="00811E95" w14:paraId="0CB3CD44" w14:textId="77777777" w:rsidTr="00811E95">
        <w:trPr>
          <w:trHeight w:val="280"/>
        </w:trPr>
        <w:tc>
          <w:tcPr>
            <w:tcW w:w="3081" w:type="dxa"/>
            <w:tcBorders>
              <w:right w:val="single" w:sz="4" w:space="0" w:color="auto"/>
            </w:tcBorders>
          </w:tcPr>
          <w:p w14:paraId="4B650A4B" w14:textId="77777777" w:rsidR="00811E95" w:rsidRDefault="00811E95" w:rsidP="00AF4CAA">
            <w:pPr>
              <w:pStyle w:val="NoSpacing"/>
            </w:pPr>
            <w:r>
              <w:t>Kentucky</w:t>
            </w:r>
          </w:p>
        </w:tc>
        <w:tc>
          <w:tcPr>
            <w:tcW w:w="2296" w:type="dxa"/>
            <w:tcBorders>
              <w:left w:val="single" w:sz="4" w:space="0" w:color="auto"/>
              <w:right w:val="single" w:sz="4" w:space="0" w:color="auto"/>
            </w:tcBorders>
          </w:tcPr>
          <w:p w14:paraId="7E48AE71" w14:textId="77777777" w:rsidR="00811E95" w:rsidRDefault="00811E95" w:rsidP="00AF4CAA">
            <w:pPr>
              <w:pStyle w:val="NoSpacing"/>
            </w:pPr>
            <w:r>
              <w:t>12</w:t>
            </w:r>
          </w:p>
        </w:tc>
        <w:tc>
          <w:tcPr>
            <w:tcW w:w="2228" w:type="dxa"/>
            <w:tcBorders>
              <w:left w:val="single" w:sz="4" w:space="0" w:color="auto"/>
            </w:tcBorders>
          </w:tcPr>
          <w:p w14:paraId="45592507" w14:textId="56C2492A" w:rsidR="00811E95" w:rsidRDefault="00811E95" w:rsidP="00AF4CAA">
            <w:pPr>
              <w:pStyle w:val="NoSpacing"/>
            </w:pPr>
            <w:r w:rsidRPr="004B4023">
              <w:t>4</w:t>
            </w:r>
          </w:p>
        </w:tc>
        <w:tc>
          <w:tcPr>
            <w:tcW w:w="2541" w:type="dxa"/>
          </w:tcPr>
          <w:p w14:paraId="07EE60AD" w14:textId="5054B756" w:rsidR="00811E95" w:rsidRDefault="00811E95" w:rsidP="00AF4CAA">
            <w:pPr>
              <w:pStyle w:val="NoSpacing"/>
            </w:pPr>
            <w:r w:rsidRPr="004B4023">
              <w:t>8</w:t>
            </w:r>
          </w:p>
        </w:tc>
      </w:tr>
      <w:tr w:rsidR="00811E95" w14:paraId="142E304A" w14:textId="77777777" w:rsidTr="00811E95">
        <w:trPr>
          <w:trHeight w:val="273"/>
        </w:trPr>
        <w:tc>
          <w:tcPr>
            <w:tcW w:w="3081" w:type="dxa"/>
            <w:tcBorders>
              <w:right w:val="single" w:sz="4" w:space="0" w:color="auto"/>
            </w:tcBorders>
          </w:tcPr>
          <w:p w14:paraId="68D659A8" w14:textId="77777777" w:rsidR="00811E95" w:rsidRDefault="00811E95" w:rsidP="00AF4CAA">
            <w:pPr>
              <w:pStyle w:val="NoSpacing"/>
            </w:pPr>
            <w:r>
              <w:t>Tennessee</w:t>
            </w:r>
          </w:p>
        </w:tc>
        <w:tc>
          <w:tcPr>
            <w:tcW w:w="2296" w:type="dxa"/>
            <w:tcBorders>
              <w:left w:val="single" w:sz="4" w:space="0" w:color="auto"/>
              <w:right w:val="single" w:sz="4" w:space="0" w:color="auto"/>
            </w:tcBorders>
          </w:tcPr>
          <w:p w14:paraId="023A6577" w14:textId="77777777" w:rsidR="00811E95" w:rsidRDefault="00811E95" w:rsidP="00AF4CAA">
            <w:pPr>
              <w:pStyle w:val="NoSpacing"/>
            </w:pPr>
            <w:r>
              <w:t>7</w:t>
            </w:r>
          </w:p>
        </w:tc>
        <w:tc>
          <w:tcPr>
            <w:tcW w:w="2228" w:type="dxa"/>
            <w:tcBorders>
              <w:left w:val="single" w:sz="4" w:space="0" w:color="auto"/>
            </w:tcBorders>
          </w:tcPr>
          <w:p w14:paraId="15533B22" w14:textId="6D5840D0" w:rsidR="00811E95" w:rsidRDefault="00811E95" w:rsidP="00AF4CAA">
            <w:pPr>
              <w:pStyle w:val="NoSpacing"/>
            </w:pPr>
            <w:r w:rsidRPr="004B4023">
              <w:t>5</w:t>
            </w:r>
          </w:p>
        </w:tc>
        <w:tc>
          <w:tcPr>
            <w:tcW w:w="2541" w:type="dxa"/>
          </w:tcPr>
          <w:p w14:paraId="351043F9" w14:textId="49E2D2CB" w:rsidR="00811E95" w:rsidRDefault="00811E95" w:rsidP="00AF4CAA">
            <w:pPr>
              <w:pStyle w:val="NoSpacing"/>
            </w:pPr>
            <w:r w:rsidRPr="004B4023">
              <w:t>2</w:t>
            </w:r>
          </w:p>
        </w:tc>
      </w:tr>
      <w:tr w:rsidR="00811E95" w14:paraId="3EA8867B" w14:textId="77777777" w:rsidTr="00811E95">
        <w:trPr>
          <w:trHeight w:val="280"/>
        </w:trPr>
        <w:tc>
          <w:tcPr>
            <w:tcW w:w="3081" w:type="dxa"/>
            <w:tcBorders>
              <w:right w:val="single" w:sz="4" w:space="0" w:color="auto"/>
            </w:tcBorders>
          </w:tcPr>
          <w:p w14:paraId="4AFF36E9" w14:textId="77777777" w:rsidR="00811E95" w:rsidRDefault="00811E95" w:rsidP="00AF4CAA">
            <w:pPr>
              <w:pStyle w:val="NoSpacing"/>
            </w:pPr>
            <w:r>
              <w:t>North Carolina</w:t>
            </w:r>
          </w:p>
        </w:tc>
        <w:tc>
          <w:tcPr>
            <w:tcW w:w="2296" w:type="dxa"/>
            <w:tcBorders>
              <w:left w:val="single" w:sz="4" w:space="0" w:color="auto"/>
              <w:right w:val="single" w:sz="4" w:space="0" w:color="auto"/>
            </w:tcBorders>
          </w:tcPr>
          <w:p w14:paraId="3BEA730B" w14:textId="77777777" w:rsidR="00811E95" w:rsidRDefault="00811E95" w:rsidP="00AF4CAA">
            <w:pPr>
              <w:pStyle w:val="NoSpacing"/>
            </w:pPr>
            <w:r>
              <w:t>15</w:t>
            </w:r>
          </w:p>
        </w:tc>
        <w:tc>
          <w:tcPr>
            <w:tcW w:w="2228" w:type="dxa"/>
            <w:tcBorders>
              <w:left w:val="single" w:sz="4" w:space="0" w:color="auto"/>
            </w:tcBorders>
          </w:tcPr>
          <w:p w14:paraId="2C4C4424" w14:textId="18564E3B" w:rsidR="00811E95" w:rsidRDefault="00811E95" w:rsidP="00AF4CAA">
            <w:pPr>
              <w:pStyle w:val="NoSpacing"/>
            </w:pPr>
            <w:r w:rsidRPr="004B4023">
              <w:t>1</w:t>
            </w:r>
            <w:r>
              <w:t>3</w:t>
            </w:r>
          </w:p>
        </w:tc>
        <w:tc>
          <w:tcPr>
            <w:tcW w:w="2541" w:type="dxa"/>
          </w:tcPr>
          <w:p w14:paraId="04DED613" w14:textId="2BE316CB" w:rsidR="00811E95" w:rsidRDefault="00811E95" w:rsidP="00AF4CAA">
            <w:pPr>
              <w:pStyle w:val="NoSpacing"/>
            </w:pPr>
            <w:r>
              <w:t>2</w:t>
            </w:r>
          </w:p>
        </w:tc>
      </w:tr>
      <w:tr w:rsidR="00811E95" w14:paraId="60353A0D" w14:textId="77777777" w:rsidTr="00811E95">
        <w:trPr>
          <w:trHeight w:val="273"/>
        </w:trPr>
        <w:tc>
          <w:tcPr>
            <w:tcW w:w="3081" w:type="dxa"/>
            <w:tcBorders>
              <w:right w:val="single" w:sz="4" w:space="0" w:color="auto"/>
            </w:tcBorders>
          </w:tcPr>
          <w:p w14:paraId="623BF420" w14:textId="77777777" w:rsidR="00811E95" w:rsidRDefault="00811E95" w:rsidP="00AF4CAA">
            <w:pPr>
              <w:pStyle w:val="NoSpacing"/>
            </w:pPr>
            <w:r>
              <w:t>South Carolina</w:t>
            </w:r>
          </w:p>
        </w:tc>
        <w:tc>
          <w:tcPr>
            <w:tcW w:w="2296" w:type="dxa"/>
            <w:tcBorders>
              <w:left w:val="single" w:sz="4" w:space="0" w:color="auto"/>
              <w:right w:val="single" w:sz="4" w:space="0" w:color="auto"/>
            </w:tcBorders>
          </w:tcPr>
          <w:p w14:paraId="3111487E" w14:textId="77777777" w:rsidR="00811E95" w:rsidRDefault="00811E95" w:rsidP="00AF4CAA">
            <w:pPr>
              <w:pStyle w:val="NoSpacing"/>
            </w:pPr>
            <w:r>
              <w:t>11</w:t>
            </w:r>
          </w:p>
        </w:tc>
        <w:tc>
          <w:tcPr>
            <w:tcW w:w="2228" w:type="dxa"/>
            <w:tcBorders>
              <w:left w:val="single" w:sz="4" w:space="0" w:color="auto"/>
            </w:tcBorders>
          </w:tcPr>
          <w:p w14:paraId="7F16CD94" w14:textId="46B3A750" w:rsidR="00811E95" w:rsidRDefault="00811E95" w:rsidP="00AF4CAA">
            <w:pPr>
              <w:pStyle w:val="NoSpacing"/>
            </w:pPr>
            <w:r w:rsidRPr="004B4023">
              <w:t>11</w:t>
            </w:r>
          </w:p>
        </w:tc>
        <w:tc>
          <w:tcPr>
            <w:tcW w:w="2541" w:type="dxa"/>
          </w:tcPr>
          <w:p w14:paraId="28D9B5BB" w14:textId="5FD9BD88" w:rsidR="00811E95" w:rsidRDefault="00811E95" w:rsidP="00AF4CAA">
            <w:pPr>
              <w:pStyle w:val="NoSpacing"/>
            </w:pPr>
            <w:r w:rsidRPr="004B4023">
              <w:t>0</w:t>
            </w:r>
          </w:p>
        </w:tc>
      </w:tr>
      <w:tr w:rsidR="00811E95" w14:paraId="1782DC91" w14:textId="77777777" w:rsidTr="00811E95">
        <w:trPr>
          <w:trHeight w:val="273"/>
        </w:trPr>
        <w:tc>
          <w:tcPr>
            <w:tcW w:w="3081" w:type="dxa"/>
            <w:tcBorders>
              <w:right w:val="single" w:sz="4" w:space="0" w:color="auto"/>
            </w:tcBorders>
          </w:tcPr>
          <w:p w14:paraId="7500F663" w14:textId="77777777" w:rsidR="00811E95" w:rsidRDefault="00811E95" w:rsidP="00AF4CAA">
            <w:pPr>
              <w:pStyle w:val="NoSpacing"/>
            </w:pPr>
            <w:r>
              <w:t>Georgia</w:t>
            </w:r>
          </w:p>
        </w:tc>
        <w:tc>
          <w:tcPr>
            <w:tcW w:w="2296" w:type="dxa"/>
            <w:tcBorders>
              <w:left w:val="single" w:sz="4" w:space="0" w:color="auto"/>
              <w:right w:val="single" w:sz="4" w:space="0" w:color="auto"/>
            </w:tcBorders>
          </w:tcPr>
          <w:p w14:paraId="40F922DC" w14:textId="77777777" w:rsidR="00811E95" w:rsidRDefault="00811E95" w:rsidP="00AF4CAA">
            <w:pPr>
              <w:pStyle w:val="NoSpacing"/>
            </w:pPr>
            <w:r>
              <w:t>8</w:t>
            </w:r>
          </w:p>
        </w:tc>
        <w:tc>
          <w:tcPr>
            <w:tcW w:w="2228" w:type="dxa"/>
            <w:tcBorders>
              <w:left w:val="single" w:sz="4" w:space="0" w:color="auto"/>
            </w:tcBorders>
          </w:tcPr>
          <w:p w14:paraId="30BB252B" w14:textId="6AC5126B" w:rsidR="00811E95" w:rsidRDefault="00811E95" w:rsidP="00AF4CAA">
            <w:pPr>
              <w:pStyle w:val="NoSpacing"/>
            </w:pPr>
            <w:r w:rsidRPr="004B4023">
              <w:t>8</w:t>
            </w:r>
          </w:p>
        </w:tc>
        <w:tc>
          <w:tcPr>
            <w:tcW w:w="2541" w:type="dxa"/>
          </w:tcPr>
          <w:p w14:paraId="168DB4E5" w14:textId="0261EF66" w:rsidR="00811E95" w:rsidRDefault="00811E95" w:rsidP="00AF4CAA">
            <w:pPr>
              <w:pStyle w:val="NoSpacing"/>
            </w:pPr>
            <w:r w:rsidRPr="004B4023">
              <w:t>0</w:t>
            </w:r>
          </w:p>
        </w:tc>
      </w:tr>
      <w:tr w:rsidR="00811E95" w14:paraId="149E8451" w14:textId="77777777" w:rsidTr="00811E95">
        <w:trPr>
          <w:trHeight w:val="273"/>
        </w:trPr>
        <w:tc>
          <w:tcPr>
            <w:tcW w:w="3081" w:type="dxa"/>
            <w:tcBorders>
              <w:bottom w:val="single" w:sz="4" w:space="0" w:color="auto"/>
              <w:right w:val="single" w:sz="4" w:space="0" w:color="auto"/>
            </w:tcBorders>
          </w:tcPr>
          <w:p w14:paraId="4031B2CE" w14:textId="0BCE6945" w:rsidR="00811E95" w:rsidRDefault="007C2058" w:rsidP="00AF4CAA">
            <w:pPr>
              <w:pStyle w:val="NoSpacing"/>
            </w:pPr>
            <w:r>
              <w:t>Yazoo</w:t>
            </w:r>
          </w:p>
        </w:tc>
        <w:tc>
          <w:tcPr>
            <w:tcW w:w="2296" w:type="dxa"/>
            <w:tcBorders>
              <w:left w:val="single" w:sz="4" w:space="0" w:color="auto"/>
              <w:bottom w:val="single" w:sz="4" w:space="0" w:color="auto"/>
              <w:right w:val="single" w:sz="4" w:space="0" w:color="auto"/>
            </w:tcBorders>
          </w:tcPr>
          <w:p w14:paraId="4DA5503E" w14:textId="5EF9F7C9" w:rsidR="00811E95" w:rsidRDefault="00811E95" w:rsidP="00AF4CAA">
            <w:pPr>
              <w:pStyle w:val="NoSpacing"/>
            </w:pPr>
            <w:r>
              <w:t>3</w:t>
            </w:r>
          </w:p>
        </w:tc>
        <w:tc>
          <w:tcPr>
            <w:tcW w:w="2228" w:type="dxa"/>
            <w:tcBorders>
              <w:left w:val="single" w:sz="4" w:space="0" w:color="auto"/>
              <w:bottom w:val="single" w:sz="4" w:space="0" w:color="auto"/>
            </w:tcBorders>
          </w:tcPr>
          <w:p w14:paraId="5A043855" w14:textId="3A61605C" w:rsidR="00811E95" w:rsidRDefault="00811E95" w:rsidP="00AF4CAA">
            <w:pPr>
              <w:pStyle w:val="NoSpacing"/>
            </w:pPr>
            <w:r>
              <w:t>2</w:t>
            </w:r>
          </w:p>
        </w:tc>
        <w:tc>
          <w:tcPr>
            <w:tcW w:w="2541" w:type="dxa"/>
            <w:tcBorders>
              <w:bottom w:val="single" w:sz="4" w:space="0" w:color="auto"/>
            </w:tcBorders>
          </w:tcPr>
          <w:p w14:paraId="6EF1FE9A" w14:textId="44BA8AD4" w:rsidR="00811E95" w:rsidRPr="00766E32" w:rsidRDefault="00811E95" w:rsidP="00AF4CAA">
            <w:pPr>
              <w:pStyle w:val="NoSpacing"/>
            </w:pPr>
            <w:r>
              <w:t>1</w:t>
            </w:r>
          </w:p>
        </w:tc>
      </w:tr>
      <w:tr w:rsidR="00811E95" w:rsidRPr="003F3623" w14:paraId="66913121" w14:textId="77777777" w:rsidTr="00811E95">
        <w:trPr>
          <w:trHeight w:val="273"/>
        </w:trPr>
        <w:tc>
          <w:tcPr>
            <w:tcW w:w="3081" w:type="dxa"/>
            <w:tcBorders>
              <w:top w:val="single" w:sz="4" w:space="0" w:color="auto"/>
              <w:right w:val="single" w:sz="4" w:space="0" w:color="auto"/>
            </w:tcBorders>
          </w:tcPr>
          <w:p w14:paraId="1254756E" w14:textId="77777777" w:rsidR="00811E95" w:rsidRPr="003F3623" w:rsidRDefault="00811E95" w:rsidP="00AF4CAA">
            <w:pPr>
              <w:pStyle w:val="NoSpacing"/>
              <w:rPr>
                <w:b/>
                <w:bCs/>
              </w:rPr>
            </w:pPr>
            <w:r w:rsidRPr="003F3623">
              <w:rPr>
                <w:b/>
                <w:bCs/>
              </w:rPr>
              <w:t>Total</w:t>
            </w:r>
          </w:p>
        </w:tc>
        <w:tc>
          <w:tcPr>
            <w:tcW w:w="2296" w:type="dxa"/>
            <w:tcBorders>
              <w:top w:val="single" w:sz="4" w:space="0" w:color="auto"/>
              <w:left w:val="single" w:sz="4" w:space="0" w:color="auto"/>
              <w:right w:val="single" w:sz="4" w:space="0" w:color="auto"/>
            </w:tcBorders>
          </w:tcPr>
          <w:p w14:paraId="4D29ACC4" w14:textId="49BA0DE2" w:rsidR="00811E95" w:rsidRPr="003F3623" w:rsidRDefault="00811E95" w:rsidP="00AF4CAA">
            <w:pPr>
              <w:pStyle w:val="NoSpacing"/>
              <w:rPr>
                <w:b/>
                <w:bCs/>
              </w:rPr>
            </w:pPr>
            <w:r w:rsidRPr="003F3623">
              <w:rPr>
                <w:b/>
                <w:bCs/>
              </w:rPr>
              <w:t>226</w:t>
            </w:r>
          </w:p>
        </w:tc>
        <w:tc>
          <w:tcPr>
            <w:tcW w:w="2228" w:type="dxa"/>
            <w:tcBorders>
              <w:top w:val="single" w:sz="4" w:space="0" w:color="auto"/>
              <w:left w:val="single" w:sz="4" w:space="0" w:color="auto"/>
            </w:tcBorders>
          </w:tcPr>
          <w:p w14:paraId="52D5B0B2" w14:textId="36BE65AB" w:rsidR="00811E95" w:rsidRPr="003F3623" w:rsidRDefault="00811E95" w:rsidP="00AF4CAA">
            <w:pPr>
              <w:pStyle w:val="NoSpacing"/>
              <w:rPr>
                <w:b/>
                <w:bCs/>
                <w:u w:val="single"/>
              </w:rPr>
            </w:pPr>
            <w:r w:rsidRPr="003F3623">
              <w:rPr>
                <w:b/>
                <w:bCs/>
                <w:u w:val="single"/>
              </w:rPr>
              <w:t>119</w:t>
            </w:r>
          </w:p>
        </w:tc>
        <w:tc>
          <w:tcPr>
            <w:tcW w:w="2541" w:type="dxa"/>
            <w:tcBorders>
              <w:top w:val="single" w:sz="4" w:space="0" w:color="auto"/>
            </w:tcBorders>
          </w:tcPr>
          <w:p w14:paraId="6AE8802B" w14:textId="11AF1964" w:rsidR="00811E95" w:rsidRPr="003F3623" w:rsidRDefault="00811E95" w:rsidP="00AF4CAA">
            <w:pPr>
              <w:pStyle w:val="NoSpacing"/>
              <w:rPr>
                <w:b/>
                <w:bCs/>
              </w:rPr>
            </w:pPr>
            <w:r w:rsidRPr="003F3623">
              <w:rPr>
                <w:b/>
                <w:bCs/>
              </w:rPr>
              <w:t>107</w:t>
            </w:r>
          </w:p>
        </w:tc>
      </w:tr>
    </w:tbl>
    <w:p w14:paraId="05AA9BF0" w14:textId="77777777" w:rsidR="00811E95" w:rsidRDefault="00811E95" w:rsidP="00811E95"/>
    <w:p w14:paraId="45B372FB" w14:textId="660C29B7" w:rsidR="007D6ACD" w:rsidRDefault="00811E95" w:rsidP="00A01FA7">
      <w:r>
        <w:t>Though many feared Burr would refuse to accept this election and instead try to keep</w:t>
      </w:r>
      <w:r w:rsidR="00E355F2">
        <w:t xml:space="preserve"> his</w:t>
      </w:r>
      <w:r>
        <w:t xml:space="preserve"> office, </w:t>
      </w:r>
      <w:proofErr w:type="gramStart"/>
      <w:r w:rsidR="00E355F2">
        <w:t>being a committed democrat</w:t>
      </w:r>
      <w:proofErr w:type="gramEnd"/>
      <w:r w:rsidR="00E355F2">
        <w:t xml:space="preserve"> </w:t>
      </w:r>
      <w:r>
        <w:t>he accepted his defeat. He was even present to witness Madison’s inauguration</w:t>
      </w:r>
      <w:r w:rsidR="001D16FC">
        <w:t>, thus formally handing power off to him</w:t>
      </w:r>
      <w:r>
        <w:t xml:space="preserve">. But it hardly meant the end of Burr’s presence on the political stage; having inaugurated mass politics that came </w:t>
      </w:r>
      <w:proofErr w:type="gramStart"/>
      <w:r>
        <w:t>hand-in-hand</w:t>
      </w:r>
      <w:proofErr w:type="gramEnd"/>
      <w:r>
        <w:t xml:space="preserve"> with Jeffersonian democracy, he </w:t>
      </w:r>
      <w:r w:rsidR="00252A1E">
        <w:t xml:space="preserve">had all the tools to re-enter political office. </w:t>
      </w:r>
      <w:r w:rsidR="006E05E5">
        <w:t xml:space="preserve">Travelling home to </w:t>
      </w:r>
      <w:r w:rsidR="006E05E5">
        <w:lastRenderedPageBreak/>
        <w:t>New York, he was met with commiserations from its Tammany Society, and he plotted for the future</w:t>
      </w:r>
      <w:r w:rsidR="005146F5">
        <w:rPr>
          <w:rStyle w:val="EndnoteReference"/>
        </w:rPr>
        <w:endnoteReference w:id="24"/>
      </w:r>
      <w:r w:rsidR="006E05E5">
        <w:t>.</w:t>
      </w:r>
      <w:r w:rsidR="00F44934">
        <w:t xml:space="preserve"> </w:t>
      </w:r>
    </w:p>
    <w:p w14:paraId="77132A5C" w14:textId="1AE7B264" w:rsidR="002741BB" w:rsidRDefault="002741BB" w:rsidP="00A01FA7">
      <w:r>
        <w:br w:type="page"/>
      </w:r>
    </w:p>
    <w:p w14:paraId="46BF0DA4" w14:textId="77777777" w:rsidR="002741BB" w:rsidRDefault="002741BB" w:rsidP="004C6471"/>
    <w:p w14:paraId="62AED718" w14:textId="77777777" w:rsidR="004C6471" w:rsidRDefault="004C6471" w:rsidP="004C6471">
      <w:pPr>
        <w:ind w:firstLine="0"/>
        <w:sectPr w:rsidR="004C6471" w:rsidSect="004C6471">
          <w:endnotePr>
            <w:numFmt w:val="decimal"/>
            <w:numRestart w:val="eachSect"/>
          </w:endnotePr>
          <w:type w:val="continuous"/>
          <w:pgSz w:w="12240" w:h="15840"/>
          <w:pgMar w:top="1440" w:right="1440" w:bottom="1440" w:left="1440" w:header="708" w:footer="708" w:gutter="0"/>
          <w:cols w:space="708"/>
          <w:docGrid w:linePitch="360"/>
        </w:sectPr>
      </w:pPr>
    </w:p>
    <w:p w14:paraId="5F2B1D84" w14:textId="77777777" w:rsidR="004C6471" w:rsidRDefault="004C6471" w:rsidP="004C6471">
      <w:r>
        <w:br w:type="page"/>
      </w:r>
    </w:p>
    <w:p w14:paraId="5292146D" w14:textId="36D7C27C" w:rsidR="004B2A15" w:rsidRDefault="00F27305" w:rsidP="00C91F77">
      <w:pPr>
        <w:pStyle w:val="Heading1"/>
      </w:pPr>
      <w:bookmarkStart w:id="6" w:name="_Toc202006203"/>
      <w:r>
        <w:lastRenderedPageBreak/>
        <w:t xml:space="preserve">4. </w:t>
      </w:r>
      <w:r w:rsidR="004B2A15">
        <w:t>The Conquest of Space</w:t>
      </w:r>
      <w:bookmarkEnd w:id="6"/>
    </w:p>
    <w:p w14:paraId="5E2BBA11" w14:textId="63F296A5" w:rsidR="0025493C" w:rsidRDefault="004C6471" w:rsidP="0025493C">
      <w:r>
        <w:t xml:space="preserve">The opening of the Erie Canal was the occasion of the season. On November 23, 1815, President Burr travelled aboard a packet ship, the </w:t>
      </w:r>
      <w:r w:rsidRPr="004C6471">
        <w:rPr>
          <w:i/>
          <w:iCs/>
        </w:rPr>
        <w:t>Constitution</w:t>
      </w:r>
      <w:r>
        <w:t>, departing from New York City with a barrel of water from the Atlantic Ocean, and he zipped up the canal in four days – not the two weeks by stagecoach it once took. At the village of Black Rock, he opened the barrel and emptied it, and he declared</w:t>
      </w:r>
      <w:r w:rsidR="00280F9E">
        <w:t>,</w:t>
      </w:r>
      <w:r>
        <w:t xml:space="preserve"> </w:t>
      </w:r>
      <w:r w:rsidR="00280F9E">
        <w:t>“T</w:t>
      </w:r>
      <w:r>
        <w:t>he waters of the Atlantic Ocean and the Great Lakes</w:t>
      </w:r>
      <w:r w:rsidR="00280F9E">
        <w:t xml:space="preserve"> are no longer separate: they are</w:t>
      </w:r>
      <w:r>
        <w:t xml:space="preserve"> forever intermingled</w:t>
      </w:r>
      <w:r w:rsidR="00280F9E">
        <w:t>”</w:t>
      </w:r>
      <w:r>
        <w:t xml:space="preserve">. </w:t>
      </w:r>
      <w:r w:rsidR="00E8617F">
        <w:t xml:space="preserve">Black Rock’s inhabitants cheered, not in the least since they could see the great future before </w:t>
      </w:r>
      <w:r w:rsidR="00F53B08">
        <w:t>them</w:t>
      </w:r>
      <w:r w:rsidR="00E8617F">
        <w:t>. A</w:t>
      </w:r>
      <w:r w:rsidR="00310562">
        <w:t>fter a brief trip up to Niagara Falls</w:t>
      </w:r>
      <w:r w:rsidR="009943B9">
        <w:t xml:space="preserve"> where he revelled in the magnificent sights</w:t>
      </w:r>
      <w:r w:rsidR="00310562">
        <w:t>,</w:t>
      </w:r>
      <w:r w:rsidR="00E8617F">
        <w:t xml:space="preserve"> </w:t>
      </w:r>
      <w:r w:rsidR="00A57A8F">
        <w:t>Burr</w:t>
      </w:r>
      <w:r w:rsidR="00E52BFF">
        <w:t xml:space="preserve"> travelled</w:t>
      </w:r>
      <w:r w:rsidR="00E8617F">
        <w:t xml:space="preserve"> back down the Canal</w:t>
      </w:r>
      <w:r w:rsidR="00A57A8F">
        <w:t>;</w:t>
      </w:r>
      <w:r w:rsidR="00E8617F">
        <w:t xml:space="preserve"> </w:t>
      </w:r>
      <w:r w:rsidR="00A57A8F">
        <w:t>he</w:t>
      </w:r>
      <w:r w:rsidR="00E8617F">
        <w:t xml:space="preserve"> watched fireworks </w:t>
      </w:r>
      <w:r w:rsidR="00967EE0">
        <w:t>light</w:t>
      </w:r>
      <w:r w:rsidR="00E8617F">
        <w:t xml:space="preserve"> up the sky of New York City, happily cheering the man who made their city the gateway to the West</w:t>
      </w:r>
      <w:r w:rsidR="00280F9E">
        <w:rPr>
          <w:rStyle w:val="EndnoteReference"/>
        </w:rPr>
        <w:endnoteReference w:id="25"/>
      </w:r>
      <w:r w:rsidR="00E8617F">
        <w:t xml:space="preserve">. Here, </w:t>
      </w:r>
      <w:r w:rsidR="00967EE0">
        <w:t>he</w:t>
      </w:r>
      <w:r w:rsidR="00E8617F">
        <w:t xml:space="preserve"> accepted toasts from all the city government, from the Tammany Hall that served as the lynchpin of the city’s Democratic Party, and from the Irish immigrants who revelled in patronage from Burr</w:t>
      </w:r>
      <w:r w:rsidR="00F341A7">
        <w:t>.</w:t>
      </w:r>
      <w:r w:rsidR="00E8617F">
        <w:t xml:space="preserve"> </w:t>
      </w:r>
      <w:r w:rsidR="00F341A7">
        <w:t>The impact was such that the New York Irish</w:t>
      </w:r>
      <w:r w:rsidR="00E8617F">
        <w:t xml:space="preserve"> put</w:t>
      </w:r>
      <w:r w:rsidR="006D6FAD">
        <w:t xml:space="preserve"> portraits of him on their walls, side-by-side with</w:t>
      </w:r>
      <w:r w:rsidR="00E8617F">
        <w:t xml:space="preserve"> Edward Fitzgerald</w:t>
      </w:r>
      <w:r w:rsidR="0025493C">
        <w:rPr>
          <w:rStyle w:val="EndnoteReference"/>
        </w:rPr>
        <w:endnoteReference w:id="26"/>
      </w:r>
      <w:r w:rsidR="0025493C">
        <w:t xml:space="preserve"> - </w:t>
      </w:r>
      <w:r w:rsidR="006D6FAD">
        <w:t>among these Irish immigrants was</w:t>
      </w:r>
      <w:r w:rsidR="0025493C">
        <w:t xml:space="preserve"> Thomas Addis Emmet, </w:t>
      </w:r>
      <w:r w:rsidR="00EF50A4">
        <w:t>although his</w:t>
      </w:r>
      <w:r w:rsidR="0025493C">
        <w:t xml:space="preserve"> </w:t>
      </w:r>
      <w:r w:rsidR="00EF50A4">
        <w:t>famous son</w:t>
      </w:r>
      <w:r w:rsidR="0025493C">
        <w:t xml:space="preserve"> Curran</w:t>
      </w:r>
      <w:r w:rsidR="00EF50A4">
        <w:t xml:space="preserve"> was yet to be born</w:t>
      </w:r>
      <w:r w:rsidR="0025493C">
        <w:t xml:space="preserve">. </w:t>
      </w:r>
    </w:p>
    <w:p w14:paraId="10BE060D" w14:textId="7570DE44" w:rsidR="0086042C" w:rsidRDefault="0025493C" w:rsidP="0025493C">
      <w:r>
        <w:t>This event was but the harbinger of a Canal Mania that consumed the nation. For it was not only that the canals eased transportation; they also virtually changed the topography of the nation. The Erie Canal compressed the distance between New York City to Black Rock, and by doing so it transformed New York into a city just next door to the Middle West. It was suddenly cheaper to transport freight and people from New York to Cincinnati than it was to transport the same from Philadelphia</w:t>
      </w:r>
      <w:r w:rsidR="0048561A">
        <w:t xml:space="preserve">; practically speaking, </w:t>
      </w:r>
      <w:r>
        <w:t xml:space="preserve">this made </w:t>
      </w:r>
      <w:r w:rsidR="0048561A">
        <w:t>it</w:t>
      </w:r>
      <w:r>
        <w:t xml:space="preserve"> closer to New York</w:t>
      </w:r>
      <w:r w:rsidR="006E05E5">
        <w:t>.</w:t>
      </w:r>
      <w:r w:rsidR="007E2E05">
        <w:t xml:space="preserve"> New England, suffering from both a high birth rate and a paucity of land, was already seeing a large section of its population emigrate to Upstate New York; suddenly the Erie Canal allowed it to settle vast numbers of people </w:t>
      </w:r>
      <w:proofErr w:type="gramStart"/>
      <w:r w:rsidR="007E2E05">
        <w:lastRenderedPageBreak/>
        <w:t>all across</w:t>
      </w:r>
      <w:proofErr w:type="gramEnd"/>
      <w:r w:rsidR="007E2E05">
        <w:t xml:space="preserve"> the Middle West</w:t>
      </w:r>
      <w:r w:rsidR="00A6129E">
        <w:t>, particularly in Ohio, northern Indiana, and New Ireland</w:t>
      </w:r>
      <w:r w:rsidR="00A6129E">
        <w:rPr>
          <w:rStyle w:val="EndnoteReference"/>
        </w:rPr>
        <w:endnoteReference w:id="27"/>
      </w:r>
      <w:r w:rsidR="007E2E05">
        <w:t>.</w:t>
      </w:r>
      <w:r w:rsidR="006E05E5">
        <w:t xml:space="preserve"> </w:t>
      </w:r>
      <w:r w:rsidR="009A4B83">
        <w:t xml:space="preserve">Combined with the </w:t>
      </w:r>
      <w:r w:rsidR="00DF3CE4">
        <w:t>rising</w:t>
      </w:r>
      <w:r w:rsidR="009A4B83">
        <w:t xml:space="preserve"> steamboat in the same era, </w:t>
      </w:r>
      <w:r w:rsidR="004D7BEE">
        <w:t>the nation became</w:t>
      </w:r>
      <w:r w:rsidR="00973DA9">
        <w:t xml:space="preserve"> much closer</w:t>
      </w:r>
      <w:r w:rsidR="00610393">
        <w:t xml:space="preserve"> and tighter</w:t>
      </w:r>
      <w:r w:rsidR="00973DA9">
        <w:t xml:space="preserve"> than ever before.</w:t>
      </w:r>
      <w:r w:rsidR="009A4B83">
        <w:t xml:space="preserve"> </w:t>
      </w:r>
      <w:r w:rsidR="007E2E05">
        <w:t>T</w:t>
      </w:r>
      <w:r w:rsidR="006E05E5">
        <w:t>he tyranny of distance that had so long worried observers of American observers was a thing of the past, to be destroyed by the all-powerful force of the canal</w:t>
      </w:r>
      <w:r w:rsidR="006E05E5">
        <w:rPr>
          <w:rStyle w:val="EndnoteReference"/>
        </w:rPr>
        <w:endnoteReference w:id="28"/>
      </w:r>
      <w:r>
        <w:t xml:space="preserve">. The Burr years saw money flow like wine from the federal government, flush </w:t>
      </w:r>
      <w:proofErr w:type="gramStart"/>
      <w:r>
        <w:t>from tariffs,</w:t>
      </w:r>
      <w:proofErr w:type="gramEnd"/>
      <w:r>
        <w:t xml:space="preserve"> to projects in the several states, or in the case of </w:t>
      </w:r>
      <w:proofErr w:type="gramStart"/>
      <w:r>
        <w:t>constitutionally-fastidious</w:t>
      </w:r>
      <w:proofErr w:type="gramEnd"/>
      <w:r>
        <w:t xml:space="preserve"> Virginia, to the states themselves. The Erie Canal would not be alone; it would soon be joined by the intracoastal Delaware and Chesapeake, Delaware and Raritan, and Cape Cod Canals, </w:t>
      </w:r>
      <w:r w:rsidR="00FB4F63">
        <w:t xml:space="preserve">dramatically </w:t>
      </w:r>
      <w:r>
        <w:t>cutting time in the trade from Washington to Philadelphia to New York to Boston</w:t>
      </w:r>
      <w:r w:rsidR="00FB4F63">
        <w:t xml:space="preserve"> and</w:t>
      </w:r>
      <w:r w:rsidR="00245A32">
        <w:t>, in a time when people feared British predations</w:t>
      </w:r>
      <w:r w:rsidR="009A25B0">
        <w:t xml:space="preserve"> on commerce</w:t>
      </w:r>
      <w:r w:rsidR="00245A32">
        <w:t>,</w:t>
      </w:r>
      <w:r w:rsidR="00FB4F63">
        <w:t xml:space="preserve"> allowing ships to remain securely in American territory</w:t>
      </w:r>
      <w:r w:rsidR="002A1DD1">
        <w:t xml:space="preserve"> while trading</w:t>
      </w:r>
      <w:r w:rsidR="00FB4F63">
        <w:t xml:space="preserve">. </w:t>
      </w:r>
      <w:r w:rsidR="00245A32">
        <w:t>Additionally,</w:t>
      </w:r>
      <w:r>
        <w:t xml:space="preserve"> every state wanted to get the trade to the West</w:t>
      </w:r>
      <w:r w:rsidR="00FB4F63">
        <w:t>, and it was this which resulted in the most dramatic part of the canal boom</w:t>
      </w:r>
      <w:r w:rsidR="00111233">
        <w:rPr>
          <w:rStyle w:val="EndnoteReference"/>
        </w:rPr>
        <w:endnoteReference w:id="29"/>
      </w:r>
      <w:r>
        <w:t xml:space="preserve">. </w:t>
      </w:r>
    </w:p>
    <w:p w14:paraId="09127304" w14:textId="0729EC8D" w:rsidR="0086042C" w:rsidRDefault="0025493C" w:rsidP="0086042C">
      <w:r>
        <w:t>Even before the completion of the Erie Canal,</w:t>
      </w:r>
      <w:r w:rsidR="003F1B50">
        <w:t xml:space="preserve"> from 181</w:t>
      </w:r>
      <w:r w:rsidR="00CA4DE6">
        <w:t>0</w:t>
      </w:r>
      <w:r>
        <w:t xml:space="preserve"> the Union Canal from Washington to </w:t>
      </w:r>
      <w:proofErr w:type="spellStart"/>
      <w:r>
        <w:t>Pittsburg</w:t>
      </w:r>
      <w:proofErr w:type="spellEnd"/>
      <w:r>
        <w:t xml:space="preserve"> had begun construction </w:t>
      </w:r>
      <w:r w:rsidR="003F1B50">
        <w:t>under the aegis of the federal government</w:t>
      </w:r>
      <w:r>
        <w:t>, and after several impressive feats of engineering</w:t>
      </w:r>
      <w:r w:rsidR="003E2F01">
        <w:t xml:space="preserve"> </w:t>
      </w:r>
      <w:r>
        <w:t>helped by the recent invention of the hydraulic drill</w:t>
      </w:r>
      <w:r w:rsidR="00A541E2">
        <w:t xml:space="preserve"> and despite it </w:t>
      </w:r>
      <w:r w:rsidR="00051DA0">
        <w:t>ending up</w:t>
      </w:r>
      <w:r w:rsidR="00A541E2">
        <w:t xml:space="preserve"> way overbudget</w:t>
      </w:r>
      <w:r w:rsidR="003D39E0">
        <w:t xml:space="preserve"> and requiring </w:t>
      </w:r>
      <w:r w:rsidR="00285E06">
        <w:t>fundraising through bond-selling</w:t>
      </w:r>
      <w:r w:rsidR="003F1B50">
        <w:t>, it was finally completed in 18</w:t>
      </w:r>
      <w:r w:rsidR="00C05EA6">
        <w:t>25</w:t>
      </w:r>
      <w:r w:rsidR="002E7AB5">
        <w:t>.</w:t>
      </w:r>
      <w:r w:rsidR="00CA4DE6">
        <w:t xml:space="preserve"> </w:t>
      </w:r>
      <w:r w:rsidR="002E7AB5">
        <w:t>E</w:t>
      </w:r>
      <w:r w:rsidR="00CA4DE6">
        <w:t>ven before its completion, it helped to fuel a boom in Washington and its growth into a great city</w:t>
      </w:r>
      <w:r w:rsidR="002E7AB5">
        <w:t xml:space="preserve">, </w:t>
      </w:r>
      <w:r w:rsidR="000F0992">
        <w:t>as the speculation market it generated fuelled a boom, and that the canal reached the coal center of Cumberland along the way helped fuel an industrial boom</w:t>
      </w:r>
      <w:r w:rsidR="00894A7B">
        <w:t xml:space="preserve"> in Washington itself. Additionally, this resulted </w:t>
      </w:r>
      <w:r w:rsidR="004B432D">
        <w:t>in Washington’s growth as a grand port of the middle Atlantic, and this came at the expense of Baltimore</w:t>
      </w:r>
      <w:r w:rsidR="00754D84">
        <w:t xml:space="preserve">, whose own canal ambitions </w:t>
      </w:r>
      <w:r w:rsidR="008916D7">
        <w:t xml:space="preserve">were squeezed by </w:t>
      </w:r>
      <w:r w:rsidR="00B8360E">
        <w:t>not only Washington, but also by Philadelphia and its own boom</w:t>
      </w:r>
      <w:r w:rsidR="003F1B50">
        <w:t xml:space="preserve">. </w:t>
      </w:r>
      <w:r w:rsidR="00915DB6">
        <w:t>This is because</w:t>
      </w:r>
      <w:r w:rsidR="00CA4DE6">
        <w:t xml:space="preserve"> Pennsylvania used both state and federal funds to construct the Pennsylvania Canal system, connecting several rivers by canal to connect Philadelphia to </w:t>
      </w:r>
      <w:proofErr w:type="spellStart"/>
      <w:r w:rsidR="00B04892">
        <w:t>Pittsburg</w:t>
      </w:r>
      <w:proofErr w:type="spellEnd"/>
      <w:r w:rsidR="00CA4DE6">
        <w:t xml:space="preserve">. After several delays, from its beginning in 1813, it was </w:t>
      </w:r>
      <w:r w:rsidR="00CA4DE6">
        <w:lastRenderedPageBreak/>
        <w:t>completed in 1834</w:t>
      </w:r>
      <w:r w:rsidR="004924BD">
        <w:t xml:space="preserve">, in a quite dramatic feat which required, most dramatically, </w:t>
      </w:r>
      <w:r w:rsidR="00420F18">
        <w:t xml:space="preserve">the construction of </w:t>
      </w:r>
      <w:r w:rsidR="004924BD">
        <w:t>a seven-kilometer tunnel below the summit of the Alleghenies</w:t>
      </w:r>
      <w:r w:rsidR="00CA4DE6">
        <w:t xml:space="preserve">. Virginia had long since nursed a dream of a canal connecting the James and Kanawha Rivers; and however much its political elites regarded Burr as an uncouth demagogue, it was only too happy to use the money he gave them for </w:t>
      </w:r>
      <w:r w:rsidR="008D496A">
        <w:t>that</w:t>
      </w:r>
      <w:r w:rsidR="00CA4DE6">
        <w:t xml:space="preserve"> purpose. </w:t>
      </w:r>
      <w:r w:rsidR="002D7BC9">
        <w:t xml:space="preserve">Its completion in 1822 was another great achievement of the Canal Era. </w:t>
      </w:r>
      <w:r w:rsidR="00AC6DE8">
        <w:t xml:space="preserve">And </w:t>
      </w:r>
      <w:proofErr w:type="gramStart"/>
      <w:r w:rsidR="00AC6DE8">
        <w:t>further-south</w:t>
      </w:r>
      <w:proofErr w:type="gramEnd"/>
      <w:r w:rsidR="00AC6DE8">
        <w:t xml:space="preserve">, the Tennessee Canal system connected the Tennessee River to several rivers with their mouths in the Atlantic, allowing goods </w:t>
      </w:r>
      <w:r w:rsidR="00FE09C7">
        <w:t xml:space="preserve">to be transported from the ports of South Carolina and Georgia right to the border. </w:t>
      </w:r>
    </w:p>
    <w:p w14:paraId="6B7441CC" w14:textId="477F692A" w:rsidR="006E5C11" w:rsidRDefault="00FB0CE7" w:rsidP="0025493C">
      <w:r>
        <w:t xml:space="preserve">These canals had a profound impact on American life. New York rose to become the chief city of the United States, as commerce migrated there, and the Great Lakes port of Black Rock turned from a village to a great American city. All along the Erie Canal, the cities of Rochester and Albany boomed, and it became a truly strong economic corridor. Further south, the Union Canal turned Washington from </w:t>
      </w:r>
      <w:r w:rsidR="00AD5E27">
        <w:t>a</w:t>
      </w:r>
      <w:r>
        <w:t xml:space="preserve"> glorified set of villages, separated by fields of forest, into a real city worthy of the name</w:t>
      </w:r>
      <w:r w:rsidR="00AD5E27">
        <w:t xml:space="preserve"> as immigrants and merchants came to take full advantage of the ca</w:t>
      </w:r>
      <w:r w:rsidR="00391262">
        <w:t>n</w:t>
      </w:r>
      <w:r w:rsidR="00AD5E27">
        <w:t>al</w:t>
      </w:r>
      <w:r w:rsidR="00136956">
        <w:t xml:space="preserve">. In this regard, it </w:t>
      </w:r>
      <w:r w:rsidR="00710F0B">
        <w:t>allowed Washington to</w:t>
      </w:r>
      <w:r w:rsidR="0039790B">
        <w:t xml:space="preserve"> dominate</w:t>
      </w:r>
      <w:r w:rsidR="00136956">
        <w:t xml:space="preserve"> its </w:t>
      </w:r>
      <w:r w:rsidR="005221F6">
        <w:t xml:space="preserve">economic </w:t>
      </w:r>
      <w:r w:rsidR="00136956">
        <w:t>neighborhood</w:t>
      </w:r>
      <w:r w:rsidR="009C1DF2">
        <w:t xml:space="preserve">, </w:t>
      </w:r>
      <w:r w:rsidR="00632340">
        <w:t>as far north as</w:t>
      </w:r>
      <w:r w:rsidR="0014253A">
        <w:t xml:space="preserve"> Baltimore</w:t>
      </w:r>
      <w:r w:rsidR="00F32EB7">
        <w:t xml:space="preserve"> and as far</w:t>
      </w:r>
      <w:r w:rsidR="00C14143">
        <w:t xml:space="preserve"> west</w:t>
      </w:r>
      <w:r w:rsidR="00F32EB7">
        <w:t xml:space="preserve"> as</w:t>
      </w:r>
      <w:r w:rsidR="003D71A1">
        <w:t xml:space="preserve"> </w:t>
      </w:r>
      <w:proofErr w:type="spellStart"/>
      <w:r w:rsidR="003D71A1">
        <w:t>Pittsburg</w:t>
      </w:r>
      <w:proofErr w:type="spellEnd"/>
      <w:r w:rsidR="002A4A87">
        <w:t>, and it turned it into the center of commerce in th</w:t>
      </w:r>
      <w:r w:rsidR="00AB2DD1">
        <w:t>e</w:t>
      </w:r>
      <w:r w:rsidR="002A4A87">
        <w:t xml:space="preserve"> area</w:t>
      </w:r>
      <w:r>
        <w:t>. The</w:t>
      </w:r>
      <w:r w:rsidR="00391262">
        <w:t xml:space="preserve"> bonds floated by the Union Canal Company fuelled a</w:t>
      </w:r>
      <w:r>
        <w:t xml:space="preserve"> speculation bubbl</w:t>
      </w:r>
      <w:r w:rsidR="00391262">
        <w:t>e</w:t>
      </w:r>
      <w:r w:rsidR="00E0014A">
        <w:t>, which fuelled ambitious economic development of the city</w:t>
      </w:r>
      <w:r w:rsidR="00391262">
        <w:t>; this,</w:t>
      </w:r>
      <w:r>
        <w:t xml:space="preserve"> as well as the Fiscal Bank of Washington’s management of the project, create</w:t>
      </w:r>
      <w:r w:rsidR="00391262">
        <w:t>d</w:t>
      </w:r>
      <w:r>
        <w:t xml:space="preserve"> the Washington Board of Brokers, which became the leading stock exchange of the United States. Additionally, it built economic links between Washington and </w:t>
      </w:r>
      <w:proofErr w:type="spellStart"/>
      <w:r w:rsidR="00B04892">
        <w:t>Pittsburg</w:t>
      </w:r>
      <w:proofErr w:type="spellEnd"/>
      <w:r>
        <w:t>, bringing the latter city into the economic orbit of the South; come 18</w:t>
      </w:r>
      <w:r w:rsidR="00587398">
        <w:t>68</w:t>
      </w:r>
      <w:r w:rsidR="00391262">
        <w:t>, this</w:t>
      </w:r>
      <w:r w:rsidR="007D1277">
        <w:t xml:space="preserve"> had momentous consequences on the fortunes of the United States</w:t>
      </w:r>
      <w:r>
        <w:t xml:space="preserve">. And it became an important access point for Southerners seeking to migrate westwards. </w:t>
      </w:r>
      <w:r w:rsidR="00B50AC4">
        <w:t xml:space="preserve">Further south, Richmond and </w:t>
      </w:r>
      <w:r w:rsidR="000565E4">
        <w:t xml:space="preserve">Charleston boomed, and </w:t>
      </w:r>
      <w:r w:rsidR="000565E4">
        <w:lastRenderedPageBreak/>
        <w:t xml:space="preserve">this slowly transformed the </w:t>
      </w:r>
      <w:r w:rsidR="001F2506">
        <w:t xml:space="preserve">South and turned it </w:t>
      </w:r>
      <w:r w:rsidR="00403115">
        <w:t>into an increasingly urban and modern society</w:t>
      </w:r>
      <w:r w:rsidR="00917362">
        <w:t xml:space="preserve"> – albeit</w:t>
      </w:r>
      <w:r w:rsidR="00403115">
        <w:t xml:space="preserve"> with slavery intact. </w:t>
      </w:r>
    </w:p>
    <w:p w14:paraId="55EBD411" w14:textId="09ED7404" w:rsidR="006E5C11" w:rsidRDefault="006E5C11" w:rsidP="0025493C">
      <w:r>
        <w:t xml:space="preserve">The other great project that collapsed space in the United States in this era was its </w:t>
      </w:r>
      <w:r w:rsidR="00674BF8">
        <w:t>optical</w:t>
      </w:r>
      <w:r w:rsidR="000B2B88">
        <w:t>,</w:t>
      </w:r>
      <w:r w:rsidR="00A874E3">
        <w:t xml:space="preserve"> Chappe-</w:t>
      </w:r>
      <w:r w:rsidR="000B2B88">
        <w:t xml:space="preserve">, or semaphoric </w:t>
      </w:r>
      <w:r w:rsidR="00A874E3">
        <w:t>telegraph</w:t>
      </w:r>
      <w:r>
        <w:t xml:space="preserve"> network</w:t>
      </w:r>
      <w:r w:rsidR="00674BF8">
        <w:t xml:space="preserve">, which began </w:t>
      </w:r>
      <w:r w:rsidR="008C79A9">
        <w:t>a great communications</w:t>
      </w:r>
      <w:r w:rsidR="00674BF8">
        <w:t xml:space="preserve"> revolution in American history</w:t>
      </w:r>
      <w:r>
        <w:t xml:space="preserve">. Almost </w:t>
      </w:r>
      <w:r w:rsidR="002D13DA">
        <w:t>deceptively</w:t>
      </w:r>
      <w:r>
        <w:t xml:space="preserve"> simple, </w:t>
      </w:r>
      <w:r w:rsidR="00674BF8">
        <w:t>this system</w:t>
      </w:r>
      <w:r>
        <w:t xml:space="preserve"> consist</w:t>
      </w:r>
      <w:r w:rsidR="00674BF8">
        <w:t>ed</w:t>
      </w:r>
      <w:r>
        <w:t xml:space="preserve"> of several</w:t>
      </w:r>
      <w:r w:rsidR="00674BF8">
        <w:t xml:space="preserve"> semaphore</w:t>
      </w:r>
      <w:r>
        <w:t xml:space="preserve"> towers in line with one another, each with a set of cranes at the top</w:t>
      </w:r>
      <w:r w:rsidR="00A874E3">
        <w:t xml:space="preserve"> </w:t>
      </w:r>
      <w:r w:rsidR="00D9254D">
        <w:t>controlled</w:t>
      </w:r>
      <w:r w:rsidR="00A874E3">
        <w:t xml:space="preserve"> through an apparatus at the bottom of the tower</w:t>
      </w:r>
      <w:r>
        <w:t>. Messages are turned</w:t>
      </w:r>
      <w:r w:rsidR="00D9254D">
        <w:t>, letter by letter,</w:t>
      </w:r>
      <w:r>
        <w:t xml:space="preserve"> into </w:t>
      </w:r>
      <w:r w:rsidR="00653A83">
        <w:t>the</w:t>
      </w:r>
      <w:r>
        <w:t xml:space="preserve"> crane </w:t>
      </w:r>
      <w:r w:rsidR="0038230B">
        <w:t>arrangements</w:t>
      </w:r>
      <w:r w:rsidR="00653A83">
        <w:t xml:space="preserve"> that, under the Chappe code, </w:t>
      </w:r>
      <w:r w:rsidR="00E8291D">
        <w:t>corresponded to</w:t>
      </w:r>
      <w:r w:rsidR="00653A83">
        <w:t xml:space="preserve"> it</w:t>
      </w:r>
      <w:r w:rsidR="0090264B">
        <w:t xml:space="preserve"> – although it was discovered</w:t>
      </w:r>
      <w:r w:rsidR="00366E39">
        <w:t xml:space="preserve"> not long afterwards</w:t>
      </w:r>
      <w:r w:rsidR="0090264B">
        <w:t xml:space="preserve"> that messages could be compressed further with the use of crane arrangements to represent whole letters or phrases</w:t>
      </w:r>
      <w:r w:rsidR="00D9254D">
        <w:t>. Each tower would act like part of a grand relay operation, examining the previous tower in line by telescope</w:t>
      </w:r>
      <w:r w:rsidR="0038230B">
        <w:t xml:space="preserve"> and</w:t>
      </w:r>
      <w:r>
        <w:t xml:space="preserve"> replicating </w:t>
      </w:r>
      <w:r w:rsidR="00D9254D">
        <w:t>its crane</w:t>
      </w:r>
      <w:r>
        <w:t xml:space="preserve"> </w:t>
      </w:r>
      <w:r w:rsidR="002D13DA">
        <w:t>arrangement</w:t>
      </w:r>
      <w:r w:rsidR="00D9254D">
        <w:t>s</w:t>
      </w:r>
      <w:r w:rsidR="002D13DA">
        <w:t>, until they are sent to their reception-point, where they are converted back into plaintext.</w:t>
      </w:r>
      <w:r>
        <w:t xml:space="preserve"> </w:t>
      </w:r>
      <w:r w:rsidR="002D13DA">
        <w:t>Invented in the early 1790s by one Claude Chappe, it immediately became adopted by the French Republic, facing as it was an invasion by all its rivals. From initial lines for military use from Paris to Lille, it only expanded with time, and by 1807 messages could be transmitted from Amsterdam to Milan within an hour</w:t>
      </w:r>
      <w:r w:rsidR="00AE3F37">
        <w:t xml:space="preserve">. From its military uses, it multiplied. It became used for transmitting news bulletins from </w:t>
      </w:r>
      <w:r w:rsidR="00AE3F37" w:rsidRPr="00AE3F37">
        <w:rPr>
          <w:i/>
          <w:iCs/>
        </w:rPr>
        <w:t xml:space="preserve">Le </w:t>
      </w:r>
      <w:proofErr w:type="spellStart"/>
      <w:r w:rsidR="00AE3F37" w:rsidRPr="00AE3F37">
        <w:rPr>
          <w:i/>
          <w:iCs/>
        </w:rPr>
        <w:t>Moniteur</w:t>
      </w:r>
      <w:proofErr w:type="spellEnd"/>
      <w:r w:rsidR="00AE3F37">
        <w:t xml:space="preserve"> across France and its dependencies, and it also became used to transmit </w:t>
      </w:r>
      <w:r w:rsidR="002054FD">
        <w:t>data about</w:t>
      </w:r>
      <w:r w:rsidR="00AE3F37">
        <w:t xml:space="preserve"> financial securities</w:t>
      </w:r>
      <w:r w:rsidR="002054FD">
        <w:t>, to prevent exploitation of price differences</w:t>
      </w:r>
      <w:r w:rsidR="00AE3F37">
        <w:t>. In short, it was the harbinger of a revolution of information</w:t>
      </w:r>
      <w:r w:rsidR="00923308">
        <w:rPr>
          <w:rStyle w:val="EndnoteReference"/>
        </w:rPr>
        <w:endnoteReference w:id="30"/>
      </w:r>
      <w:r w:rsidR="002D13DA">
        <w:t xml:space="preserve">. </w:t>
      </w:r>
    </w:p>
    <w:p w14:paraId="30DC2576" w14:textId="5F31BF1D" w:rsidR="002D13DA" w:rsidRDefault="00923308" w:rsidP="0025493C">
      <w:r>
        <w:t xml:space="preserve">The slow expansion of </w:t>
      </w:r>
      <w:r w:rsidR="002C7174">
        <w:t xml:space="preserve">semaphoric </w:t>
      </w:r>
      <w:r w:rsidR="003E50AA">
        <w:t>telegraph</w:t>
      </w:r>
      <w:r>
        <w:t xml:space="preserve"> networks in the United States, developed for shipping purposes, led to growing ambitions for something bigger. In 1810, President Burr successfully secured the passage of a bill to build a network from New York to Charleston</w:t>
      </w:r>
      <w:r w:rsidR="00D5701E">
        <w:t>, in the name of military preparedness against both the British and Spanish</w:t>
      </w:r>
      <w:r>
        <w:t xml:space="preserve">. </w:t>
      </w:r>
      <w:r w:rsidR="00384D1A">
        <w:t xml:space="preserve">With this network of </w:t>
      </w:r>
      <w:r w:rsidR="00384D1A">
        <w:lastRenderedPageBreak/>
        <w:t xml:space="preserve">semaphore towers a broad success, congressmen in the west campaigned for </w:t>
      </w:r>
      <w:r w:rsidR="003E50AA">
        <w:t>telegraph</w:t>
      </w:r>
      <w:r w:rsidR="00384D1A">
        <w:t xml:space="preserve"> links of their own</w:t>
      </w:r>
      <w:r w:rsidR="00C14AE1">
        <w:t xml:space="preserve">, and they got them. </w:t>
      </w:r>
      <w:r w:rsidR="00E042AB">
        <w:t>The ensuing boom saw</w:t>
      </w:r>
      <w:r w:rsidR="00246710">
        <w:t>, by 1825,</w:t>
      </w:r>
      <w:r w:rsidR="00E042AB">
        <w:t xml:space="preserve"> </w:t>
      </w:r>
      <w:r w:rsidR="003E50AA">
        <w:t>lines</w:t>
      </w:r>
      <w:r w:rsidR="00E042AB">
        <w:t xml:space="preserve"> connecting New York to Black Rock</w:t>
      </w:r>
      <w:r w:rsidR="00AC39B3">
        <w:t>,</w:t>
      </w:r>
      <w:r w:rsidR="00E042AB">
        <w:t xml:space="preserve"> from Washington to </w:t>
      </w:r>
      <w:proofErr w:type="spellStart"/>
      <w:r w:rsidR="00B04892">
        <w:t>Pittsburg</w:t>
      </w:r>
      <w:proofErr w:type="spellEnd"/>
      <w:r w:rsidR="00AC39B3">
        <w:t xml:space="preserve">, and from Charleston to </w:t>
      </w:r>
      <w:r w:rsidR="0062151E">
        <w:t>Knoxville</w:t>
      </w:r>
      <w:r w:rsidR="00AC39B3">
        <w:t>;</w:t>
      </w:r>
      <w:r w:rsidR="00E042AB">
        <w:t xml:space="preserve"> and from there they reached the Mississippi</w:t>
      </w:r>
      <w:r w:rsidR="0062151E">
        <w:t>, where they would, if ever necessary, signal news of some activity across the border</w:t>
      </w:r>
      <w:r w:rsidR="00AE3F37">
        <w:t xml:space="preserve">, all transmitted through ciphers quite </w:t>
      </w:r>
      <w:proofErr w:type="gramStart"/>
      <w:r w:rsidR="00AE3F37">
        <w:t>similar to</w:t>
      </w:r>
      <w:proofErr w:type="gramEnd"/>
      <w:r w:rsidR="00AE3F37">
        <w:t xml:space="preserve"> those used by diplomats</w:t>
      </w:r>
      <w:r w:rsidR="00AE3F37">
        <w:rPr>
          <w:rStyle w:val="EndnoteReference"/>
        </w:rPr>
        <w:endnoteReference w:id="31"/>
      </w:r>
      <w:r w:rsidR="00E042AB">
        <w:t>.</w:t>
      </w:r>
      <w:r w:rsidR="00552807">
        <w:t xml:space="preserve"> Indeed, its impact was such that, when new towns would be laid out in the west, </w:t>
      </w:r>
      <w:r w:rsidR="002063C0">
        <w:t>they would be centered around hills that they eagerly anticipated would see semaphore towers built upon them</w:t>
      </w:r>
      <w:r w:rsidR="00C87ADD">
        <w:t>; even today, their legacy remains in the form of the many Telegraph Hills named after the towers that once stood upon them</w:t>
      </w:r>
      <w:r w:rsidR="002063C0">
        <w:t>.</w:t>
      </w:r>
      <w:r w:rsidR="00E042AB">
        <w:t xml:space="preserve"> </w:t>
      </w:r>
      <w:r w:rsidR="00AE3F37">
        <w:t>Under the authority of the Post Office, this network swiftly became used for purposes other than military; along the French model, it transmitted weekly</w:t>
      </w:r>
      <w:r w:rsidR="00D42805">
        <w:t xml:space="preserve"> and later daily</w:t>
      </w:r>
      <w:r w:rsidR="00AE3F37">
        <w:t xml:space="preserve"> bulletin</w:t>
      </w:r>
      <w:r w:rsidR="00D42805">
        <w:t>s</w:t>
      </w:r>
      <w:r w:rsidR="00AE3F37">
        <w:t xml:space="preserve"> of the news</w:t>
      </w:r>
      <w:r w:rsidR="00B345A5">
        <w:t xml:space="preserve">; today, this has since evolved into the </w:t>
      </w:r>
      <w:r w:rsidR="00B345A5" w:rsidRPr="00DA692E">
        <w:rPr>
          <w:i/>
          <w:iCs/>
        </w:rPr>
        <w:t>Federal Bulletin</w:t>
      </w:r>
      <w:r w:rsidR="009743AA">
        <w:rPr>
          <w:rStyle w:val="EndnoteReference"/>
          <w:i/>
          <w:iCs/>
        </w:rPr>
        <w:endnoteReference w:id="32"/>
      </w:r>
      <w:r w:rsidR="00B345A5">
        <w:t>. Additionally</w:t>
      </w:r>
      <w:r w:rsidR="004F0C5E">
        <w:t>,</w:t>
      </w:r>
      <w:r w:rsidR="00AE3F37">
        <w:t xml:space="preserve"> </w:t>
      </w:r>
      <w:proofErr w:type="gramStart"/>
      <w:r w:rsidR="00AE3F37">
        <w:t>in order to</w:t>
      </w:r>
      <w:proofErr w:type="gramEnd"/>
      <w:r w:rsidR="00AE3F37">
        <w:t xml:space="preserve"> prevent financial scheming across the several </w:t>
      </w:r>
      <w:r w:rsidR="00C1189C">
        <w:t>securities</w:t>
      </w:r>
      <w:r w:rsidR="00AE3F37">
        <w:t xml:space="preserve"> exchanges of the nation, it regularly transmitted prices of commodities and securities</w:t>
      </w:r>
      <w:r w:rsidR="00DA0E3E">
        <w:t>, in what was but the first step to the integration of the broker boards into a single clearing house</w:t>
      </w:r>
      <w:r w:rsidR="00AE3F37">
        <w:t xml:space="preserve">. </w:t>
      </w:r>
      <w:r w:rsidR="001D56E9">
        <w:t>Furthermore</w:t>
      </w:r>
      <w:r w:rsidR="00AE3F37">
        <w:t xml:space="preserve">, for </w:t>
      </w:r>
      <w:r w:rsidR="002A2A8F">
        <w:t xml:space="preserve">the </w:t>
      </w:r>
      <w:r w:rsidR="00AE3F37">
        <w:t>high price</w:t>
      </w:r>
      <w:r w:rsidR="002A2A8F">
        <w:t xml:space="preserve"> of several dollars</w:t>
      </w:r>
      <w:r w:rsidR="00AE3F37">
        <w:t xml:space="preserve">, messages could be transmitted through this network for private use, with remarkable speed. </w:t>
      </w:r>
      <w:r w:rsidR="003D2D49">
        <w:t>Beyond this</w:t>
      </w:r>
      <w:r w:rsidR="00AC06E8">
        <w:t xml:space="preserve">, managing the </w:t>
      </w:r>
      <w:r w:rsidR="00D52DA9">
        <w:t>telegraph</w:t>
      </w:r>
      <w:r w:rsidR="00AC06E8">
        <w:t xml:space="preserve"> network required a body of </w:t>
      </w:r>
      <w:r w:rsidR="00765992">
        <w:t>operators and telegraphists</w:t>
      </w:r>
      <w:r w:rsidR="00AC06E8">
        <w:t>, including people to man the towers and</w:t>
      </w:r>
      <w:r w:rsidR="004F0C5E">
        <w:t xml:space="preserve"> to send</w:t>
      </w:r>
      <w:r w:rsidR="00AC06E8">
        <w:t xml:space="preserve"> messengers in between them; </w:t>
      </w:r>
      <w:r w:rsidR="006F5DC1">
        <w:t>this network</w:t>
      </w:r>
      <w:r w:rsidR="00AC06E8">
        <w:t xml:space="preserve"> being managed by the post office, this made it natural to send letters to and from the towers</w:t>
      </w:r>
      <w:r w:rsidR="00DA692E">
        <w:t xml:space="preserve">, which by their very nature were a very </w:t>
      </w:r>
      <w:r w:rsidR="00D36B8F">
        <w:t>effective</w:t>
      </w:r>
      <w:r w:rsidR="00DA692E">
        <w:t xml:space="preserve"> layout for the conveying of letters</w:t>
      </w:r>
      <w:r w:rsidR="00A53CA4">
        <w:rPr>
          <w:rStyle w:val="EndnoteReference"/>
        </w:rPr>
        <w:endnoteReference w:id="33"/>
      </w:r>
      <w:r w:rsidR="00AC06E8">
        <w:t xml:space="preserve">. This made the post a more efficient service for the nation at large. </w:t>
      </w:r>
    </w:p>
    <w:p w14:paraId="08B093A6" w14:textId="0651B296" w:rsidR="00AC06E8" w:rsidRDefault="00283447" w:rsidP="00AC06E8">
      <w:r>
        <w:t xml:space="preserve">Together, the canal and the </w:t>
      </w:r>
      <w:r w:rsidR="002E27E1">
        <w:t xml:space="preserve">semaphoric </w:t>
      </w:r>
      <w:r w:rsidR="00A2428F">
        <w:t>telegraph</w:t>
      </w:r>
      <w:r>
        <w:t xml:space="preserve"> unified the United States into a single and more cohesive nation. They allowed for news to travel across the nation quicker than ever before, and it allowed for the migrations of peoples </w:t>
      </w:r>
      <w:proofErr w:type="gramStart"/>
      <w:r>
        <w:t>all across</w:t>
      </w:r>
      <w:proofErr w:type="gramEnd"/>
      <w:r>
        <w:t xml:space="preserve"> the country. This had several influential consequences. First, the Erie Canal</w:t>
      </w:r>
      <w:r w:rsidR="00E6625B">
        <w:t xml:space="preserve"> </w:t>
      </w:r>
      <w:proofErr w:type="gramStart"/>
      <w:r w:rsidR="00E6625B">
        <w:t>in particular</w:t>
      </w:r>
      <w:r>
        <w:t xml:space="preserve"> birthed</w:t>
      </w:r>
      <w:proofErr w:type="gramEnd"/>
      <w:r>
        <w:t xml:space="preserve"> a very intense era of religious revival, </w:t>
      </w:r>
      <w:r>
        <w:lastRenderedPageBreak/>
        <w:t>which had ramifications all over the nation</w:t>
      </w:r>
      <w:r w:rsidR="00B95E0F">
        <w:t>. Western New York had already been noted for its religious zeal owing to its settlement in the first place from New England, a region long noted for its high religiosity and indeed founded in the first place by Puritans, but as massive numbers of people flowed through it, this only escalated</w:t>
      </w:r>
      <w:r>
        <w:t xml:space="preserve">. Missionaries attracted zealous converts in Western New York, and the converts either moved to the west and took their religions with them, or they settled in Western New York where they influenced future barrages of immigrants. </w:t>
      </w:r>
      <w:r w:rsidR="00E47C5C">
        <w:t xml:space="preserve">The sheer scale of this was such </w:t>
      </w:r>
      <w:r w:rsidR="00ED7DF1">
        <w:t>that the entire region received the nickname of the “Burned-Over District”, the fire of religiosity having metaphorically burned through it.</w:t>
      </w:r>
      <w:r w:rsidR="00E47C5C">
        <w:t xml:space="preserve"> </w:t>
      </w:r>
      <w:r>
        <w:t>Some of the more famous religio</w:t>
      </w:r>
      <w:r w:rsidR="00E47C5C">
        <w:t>us</w:t>
      </w:r>
      <w:r>
        <w:t xml:space="preserve"> movements that emerged in this </w:t>
      </w:r>
      <w:r w:rsidR="00AC06E8">
        <w:t>place</w:t>
      </w:r>
      <w:r>
        <w:t xml:space="preserve"> included the Millerites, the Shakers, and the </w:t>
      </w:r>
      <w:r w:rsidR="00AC06E8">
        <w:t>Spiritualists; but in general, religious revivalism included abolitionism, temperance, and other quite ambitious programs to realign society. All of this had immense ramifications for the nation at large</w:t>
      </w:r>
      <w:r w:rsidR="00777B03">
        <w:t xml:space="preserve">; that such movements tended to be uncompromising in their politics helped inaugurate the age of social reform that preceded the </w:t>
      </w:r>
      <w:r w:rsidR="00FC3B87">
        <w:t>Liberty and Union</w:t>
      </w:r>
      <w:r w:rsidR="00777B03">
        <w:t xml:space="preserve"> War</w:t>
      </w:r>
      <w:r w:rsidR="00AC06E8">
        <w:t xml:space="preserve">. </w:t>
      </w:r>
    </w:p>
    <w:p w14:paraId="279C7785" w14:textId="6C6BEE8B" w:rsidR="0086042C" w:rsidRDefault="00AC06E8" w:rsidP="0086042C">
      <w:r>
        <w:t>Additionally, the new ease of communications resulted in an increase in sectional tensions. The division between the North, whose economy was based on free labor, and the South, whose economy was based on slavery, threatened to spiral out in the open, now that the two could so easily communicate with one another</w:t>
      </w:r>
      <w:r w:rsidR="00A767A0">
        <w:t xml:space="preserve"> and </w:t>
      </w:r>
      <w:r w:rsidR="00BC2C01">
        <w:t>grasp</w:t>
      </w:r>
      <w:r w:rsidR="00A767A0">
        <w:t xml:space="preserve"> better the differences between each other</w:t>
      </w:r>
      <w:r>
        <w:t xml:space="preserve">. </w:t>
      </w:r>
      <w:r w:rsidR="001E429D">
        <w:t xml:space="preserve">Precisely the fact that communication between free and slave states was easier than before, was what </w:t>
      </w:r>
      <w:r w:rsidR="00283EF8">
        <w:t>terrified</w:t>
      </w:r>
      <w:r w:rsidR="001E429D">
        <w:t xml:space="preserve"> the South, which</w:t>
      </w:r>
      <w:r w:rsidR="00C25CA3">
        <w:t xml:space="preserve"> consistently</w:t>
      </w:r>
      <w:r w:rsidR="006E7CC5">
        <w:t xml:space="preserve"> feared </w:t>
      </w:r>
      <w:r w:rsidR="00C25CA3">
        <w:t xml:space="preserve">that </w:t>
      </w:r>
      <w:r w:rsidR="006E7CC5">
        <w:t xml:space="preserve">messages from the North, transmitted through </w:t>
      </w:r>
      <w:r w:rsidR="00AD6F90">
        <w:t>telegraph</w:t>
      </w:r>
      <w:r w:rsidR="006E7CC5">
        <w:t>, were secret calls for a slave revolt</w:t>
      </w:r>
      <w:r w:rsidR="001E429D">
        <w:t>; this was one reason why the issue of a local veto on federal appointments emerged, to prevent the appointment of northerners who would transmit calls for rebellion</w:t>
      </w:r>
      <w:r w:rsidR="006E7CC5">
        <w:t>. And d</w:t>
      </w:r>
      <w:r>
        <w:t>ebates over slavery in Congress no longer simply died in Congress; instead, they became topics of discussion for the nation at large</w:t>
      </w:r>
      <w:r w:rsidR="00094A77">
        <w:t xml:space="preserve"> not so long after they took place</w:t>
      </w:r>
      <w:r>
        <w:t xml:space="preserve">, and congressmen </w:t>
      </w:r>
      <w:r w:rsidR="001E2695">
        <w:t xml:space="preserve">now </w:t>
      </w:r>
      <w:r>
        <w:t xml:space="preserve">had to answer to </w:t>
      </w:r>
      <w:r w:rsidR="003B7F66">
        <w:t>constituents</w:t>
      </w:r>
      <w:r>
        <w:t xml:space="preserve"> who </w:t>
      </w:r>
      <w:r w:rsidR="001E2695">
        <w:t xml:space="preserve">were unwilling to accept </w:t>
      </w:r>
      <w:r w:rsidR="001E2695">
        <w:lastRenderedPageBreak/>
        <w:t>compromise</w:t>
      </w:r>
      <w:r w:rsidR="00445A1E">
        <w:t xml:space="preserve"> and eagerly examined</w:t>
      </w:r>
      <w:r w:rsidR="008E1F64">
        <w:t xml:space="preserve"> th</w:t>
      </w:r>
      <w:r w:rsidR="00E449CB">
        <w:t>eir</w:t>
      </w:r>
      <w:r w:rsidR="004A5BC4">
        <w:t xml:space="preserve"> representatives’</w:t>
      </w:r>
      <w:r w:rsidR="00E449CB">
        <w:t xml:space="preserve"> records for it</w:t>
      </w:r>
      <w:r>
        <w:t xml:space="preserve">. </w:t>
      </w:r>
      <w:r w:rsidR="003B7F66">
        <w:t xml:space="preserve">The conquest of space by the canal and the </w:t>
      </w:r>
      <w:r w:rsidR="00CB3E37">
        <w:t xml:space="preserve">semaphoric </w:t>
      </w:r>
      <w:r w:rsidR="00AD6F90">
        <w:t>telegraph</w:t>
      </w:r>
      <w:r w:rsidR="003B7F66">
        <w:t xml:space="preserve"> may have brought the nation together, but it also made its internal contradictions </w:t>
      </w:r>
      <w:proofErr w:type="gramStart"/>
      <w:r w:rsidR="003B7F66">
        <w:t>more stark</w:t>
      </w:r>
      <w:proofErr w:type="gramEnd"/>
      <w:r w:rsidR="003B7F66">
        <w:t xml:space="preserve">. </w:t>
      </w:r>
    </w:p>
    <w:p w14:paraId="123723AF" w14:textId="77777777" w:rsidR="006E7DE4" w:rsidRDefault="006E7DE4" w:rsidP="006E7DE4">
      <w:r>
        <w:br w:type="page"/>
      </w:r>
    </w:p>
    <w:p w14:paraId="68609F1A" w14:textId="77777777" w:rsidR="006E7DE4" w:rsidRDefault="006E7DE4" w:rsidP="006E7DE4"/>
    <w:p w14:paraId="5DC4A0EE" w14:textId="77777777" w:rsidR="006E7DE4" w:rsidRDefault="006E7DE4" w:rsidP="006E7DE4">
      <w:pPr>
        <w:sectPr w:rsidR="006E7DE4" w:rsidSect="006E7DE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AE49AAA" w14:textId="30916C13" w:rsidR="0025493C" w:rsidRDefault="0025493C" w:rsidP="0025493C">
      <w:r>
        <w:br w:type="page"/>
      </w:r>
    </w:p>
    <w:p w14:paraId="76F98E1C" w14:textId="54A0B72B" w:rsidR="00011BD3" w:rsidRDefault="008C32B0" w:rsidP="00C91F77">
      <w:pPr>
        <w:pStyle w:val="Heading1"/>
      </w:pPr>
      <w:bookmarkStart w:id="7" w:name="_Toc202006204"/>
      <w:r>
        <w:lastRenderedPageBreak/>
        <w:t xml:space="preserve">5. </w:t>
      </w:r>
      <w:r w:rsidR="00011BD3">
        <w:t>The National Blessing</w:t>
      </w:r>
      <w:bookmarkEnd w:id="7"/>
    </w:p>
    <w:p w14:paraId="04A0F6B7" w14:textId="374F5738" w:rsidR="005D4FAC" w:rsidRDefault="00CF5CC5" w:rsidP="00011BD3">
      <w:r>
        <w:t>By 1800, the United States still had a fundamentally colonial economy. The focal point of economic</w:t>
      </w:r>
      <w:r w:rsidR="00F512EB">
        <w:t xml:space="preserve"> development was the trading of raw goods from the western interior to the eastern ports, and then from the</w:t>
      </w:r>
      <w:r w:rsidR="000618EB">
        <w:t>se</w:t>
      </w:r>
      <w:r w:rsidR="00F512EB">
        <w:t xml:space="preserve"> ports to the British Isles</w:t>
      </w:r>
      <w:r w:rsidR="00167121">
        <w:t>, where it would be turned from raw materials into goods</w:t>
      </w:r>
      <w:r w:rsidR="000618EB">
        <w:t>, which were then exported back to the United States for its use</w:t>
      </w:r>
      <w:r w:rsidR="00F512EB">
        <w:t>. Very little trade diverted away from this</w:t>
      </w:r>
      <w:r w:rsidR="00167121">
        <w:t xml:space="preserve">, and as such fundamentally American trade was dependent on its former colonial masters. </w:t>
      </w:r>
      <w:r w:rsidR="0026678A">
        <w:t>The chief motive that Alexander Hamilton had for his report on manufactures</w:t>
      </w:r>
      <w:r w:rsidR="009D4CB1">
        <w:t>,</w:t>
      </w:r>
      <w:r w:rsidR="0026678A">
        <w:t xml:space="preserve"> and his high-tariff high-spending agenda was </w:t>
      </w:r>
      <w:r w:rsidR="009D4CB1">
        <w:t>intended</w:t>
      </w:r>
      <w:r w:rsidR="0026678A">
        <w:t xml:space="preserve"> </w:t>
      </w:r>
      <w:r w:rsidR="009D4CB1">
        <w:t xml:space="preserve">to substitute British manufacturing for American equivalents, all being </w:t>
      </w:r>
      <w:r w:rsidR="004A7B59">
        <w:t>used</w:t>
      </w:r>
      <w:r w:rsidR="009D4CB1">
        <w:t xml:space="preserve"> within a home market</w:t>
      </w:r>
      <w:r w:rsidR="00C604A1">
        <w:rPr>
          <w:rStyle w:val="EndnoteReference"/>
        </w:rPr>
        <w:endnoteReference w:id="34"/>
      </w:r>
      <w:r w:rsidR="009D4CB1">
        <w:t xml:space="preserve">. </w:t>
      </w:r>
      <w:r w:rsidR="00494C43">
        <w:t>The Revolution of 1800 represented a defeat for this idea but by no means its demise; for all that Thomas Jefferson wanted a United States of yeomen-farmers and planters free of</w:t>
      </w:r>
      <w:r w:rsidR="006E13E2">
        <w:t xml:space="preserve"> cities that he sneered as little more than boils on the body politic</w:t>
      </w:r>
      <w:r w:rsidR="00494C43">
        <w:t>, he was not an enemy of commerce</w:t>
      </w:r>
      <w:r w:rsidR="009E0FE0">
        <w:t>, nor of industry</w:t>
      </w:r>
      <w:r w:rsidR="00902CD4">
        <w:t xml:space="preserve">. Most notably the establishment of the Patent Office in 1802, by giving security to new inventions, helped make </w:t>
      </w:r>
      <w:r w:rsidR="009E0FE0">
        <w:t>industry</w:t>
      </w:r>
      <w:r w:rsidR="00902CD4">
        <w:t xml:space="preserve"> viable</w:t>
      </w:r>
      <w:r w:rsidR="009E0FE0">
        <w:t xml:space="preserve">, and the Survey of the Coasts, established in 1807, began the process of </w:t>
      </w:r>
      <w:r w:rsidR="00AB1003">
        <w:t>constructing and improving a national market for commerce</w:t>
      </w:r>
      <w:r w:rsidR="00494C43">
        <w:t xml:space="preserve">. </w:t>
      </w:r>
      <w:r w:rsidR="009E0FE0">
        <w:t>It</w:t>
      </w:r>
      <w:r w:rsidR="00494C43">
        <w:t xml:space="preserve"> saw a slow rise in the first decade of the nineteenth century, particularly in New England. </w:t>
      </w:r>
    </w:p>
    <w:p w14:paraId="12305B05" w14:textId="62C3E16D" w:rsidR="00011BD3" w:rsidRDefault="007A2915" w:rsidP="00011BD3">
      <w:r>
        <w:t>Industry that did emerge and prosper did so because it was of immediate concern to the rise of agriculture; a fully automated flour mill was invented in 1789, and this saw immediate adoption</w:t>
      </w:r>
      <w:r w:rsidR="00D90030">
        <w:t xml:space="preserve"> across the United States</w:t>
      </w:r>
      <w:r>
        <w:t xml:space="preserve">. Additionally, the invention of the cotton gin in 1793 helped to </w:t>
      </w:r>
      <w:r w:rsidR="00A53648">
        <w:t>turn</w:t>
      </w:r>
      <w:r>
        <w:t xml:space="preserve"> cotton into the main crop of the </w:t>
      </w:r>
      <w:r w:rsidR="009134A0">
        <w:t>South</w:t>
      </w:r>
      <w:r w:rsidR="00903A27">
        <w:t>; the ease of processing</w:t>
      </w:r>
      <w:r w:rsidR="009134A0">
        <w:t xml:space="preserve"> it</w:t>
      </w:r>
      <w:r w:rsidR="001E330D">
        <w:t xml:space="preserve"> allowed </w:t>
      </w:r>
      <w:r w:rsidR="00903A27">
        <w:t>enabled</w:t>
      </w:r>
      <w:r w:rsidR="001E330D">
        <w:t xml:space="preserve"> econom</w:t>
      </w:r>
      <w:r w:rsidR="00903A27">
        <w:t>ies</w:t>
      </w:r>
      <w:r w:rsidR="001E330D">
        <w:t xml:space="preserve"> of scale</w:t>
      </w:r>
      <w:r w:rsidR="009134A0">
        <w:t xml:space="preserve"> </w:t>
      </w:r>
      <w:r w:rsidR="001E330D">
        <w:t>which made it</w:t>
      </w:r>
      <w:r w:rsidR="009134A0">
        <w:t xml:space="preserve"> a lot more profitable than it was before</w:t>
      </w:r>
      <w:r w:rsidR="00E46405">
        <w:t xml:space="preserve"> – so much that it crowded out many of the South’s other crops –</w:t>
      </w:r>
      <w:r w:rsidR="005D4FAC">
        <w:t xml:space="preserve"> and much of the expansion of slavery into the Southwest was fuelled by the expansion of</w:t>
      </w:r>
      <w:r w:rsidR="00240933">
        <w:t xml:space="preserve"> the cotton industry</w:t>
      </w:r>
      <w:r w:rsidR="009134A0">
        <w:t xml:space="preserve">. </w:t>
      </w:r>
      <w:proofErr w:type="gramStart"/>
      <w:r w:rsidR="009134A0">
        <w:t>In particular, New</w:t>
      </w:r>
      <w:proofErr w:type="gramEnd"/>
      <w:r w:rsidR="009134A0">
        <w:t xml:space="preserve"> England’s textile industry was largely the work </w:t>
      </w:r>
      <w:r w:rsidR="009134A0">
        <w:lastRenderedPageBreak/>
        <w:t xml:space="preserve">of one man, Samuel Slater, an immigrant from the British Isles who </w:t>
      </w:r>
      <w:r w:rsidR="006D2775">
        <w:t>brought with him knowledge on and designs on textile factorie</w:t>
      </w:r>
      <w:r w:rsidR="002C6AC3">
        <w:t xml:space="preserve">s; Yankee traders dominating America’s maritime trade for centuries, </w:t>
      </w:r>
      <w:r w:rsidR="008A3E5B">
        <w:t>this established</w:t>
      </w:r>
      <w:r w:rsidR="00865B38">
        <w:t xml:space="preserve"> at least the potential of</w:t>
      </w:r>
      <w:r w:rsidR="008A3E5B">
        <w:t xml:space="preserve"> strong commercial links </w:t>
      </w:r>
      <w:r w:rsidR="00865B38">
        <w:t>between the South and New England</w:t>
      </w:r>
      <w:r w:rsidR="006D2775">
        <w:t>. This infant industry struggled under Jefferson’s firm belief in free trade, however, and most Southern planters exported their raw material to the British Isles</w:t>
      </w:r>
      <w:r w:rsidR="00784BC8">
        <w:t xml:space="preserve"> rather than to industrialists within their own country</w:t>
      </w:r>
      <w:r w:rsidR="006D2775">
        <w:t xml:space="preserve">. </w:t>
      </w:r>
    </w:p>
    <w:p w14:paraId="6CF95EC7" w14:textId="27297DCD" w:rsidR="00C604A1" w:rsidRDefault="00E40E96" w:rsidP="00FB0C78">
      <w:r>
        <w:t xml:space="preserve">With the Burr era, this began to change. </w:t>
      </w:r>
      <w:r w:rsidR="009A4E8E">
        <w:t xml:space="preserve">The Tariff of 1810, though primarily established for raising revenue, was in part motivated by a </w:t>
      </w:r>
      <w:r w:rsidR="002722CE">
        <w:t xml:space="preserve">nationalist </w:t>
      </w:r>
      <w:r w:rsidR="009A4E8E">
        <w:t>desire to reduce dependence on the British</w:t>
      </w:r>
      <w:r w:rsidR="009A2525">
        <w:t>, to substitute its imports with ones at home</w:t>
      </w:r>
      <w:r w:rsidR="001030E7">
        <w:rPr>
          <w:rStyle w:val="EndnoteReference"/>
        </w:rPr>
        <w:endnoteReference w:id="35"/>
      </w:r>
      <w:r w:rsidR="009A4E8E">
        <w:t xml:space="preserve">. </w:t>
      </w:r>
      <w:r w:rsidR="007D59A7">
        <w:t xml:space="preserve">And </w:t>
      </w:r>
      <w:r w:rsidR="00D65A81">
        <w:t>indeed,</w:t>
      </w:r>
      <w:r w:rsidR="007D59A7">
        <w:t xml:space="preserve"> it did </w:t>
      </w:r>
      <w:proofErr w:type="gramStart"/>
      <w:r w:rsidR="007D59A7">
        <w:t xml:space="preserve">have an </w:t>
      </w:r>
      <w:r w:rsidR="009134A0">
        <w:t>effect</w:t>
      </w:r>
      <w:r w:rsidR="007D59A7">
        <w:t xml:space="preserve"> on</w:t>
      </w:r>
      <w:proofErr w:type="gramEnd"/>
      <w:r w:rsidR="007D59A7">
        <w:t xml:space="preserve"> industry; not only did industry rise within </w:t>
      </w:r>
      <w:r w:rsidR="00902CD4">
        <w:t xml:space="preserve">New England along similar lines to </w:t>
      </w:r>
      <w:r w:rsidR="008224C5">
        <w:t xml:space="preserve">the </w:t>
      </w:r>
      <w:r w:rsidR="00902CD4">
        <w:t xml:space="preserve">British </w:t>
      </w:r>
      <w:r w:rsidR="008224C5">
        <w:t>factory system</w:t>
      </w:r>
      <w:r w:rsidR="00902CD4">
        <w:t>, but an iron industry emerged in Pennsylvania and Virginia</w:t>
      </w:r>
      <w:r w:rsidR="00C1797F">
        <w:t>, all the while fostered by both federal and state governments</w:t>
      </w:r>
      <w:r w:rsidR="00674ACD">
        <w:t>. Notably, at this early point, most of this industry used free white labor, on both sides of the Mason-Dixon line; to the extent to which Southern factories used</w:t>
      </w:r>
      <w:r w:rsidR="00C06021">
        <w:t xml:space="preserve"> slaves, it was for the most unskilled</w:t>
      </w:r>
      <w:r w:rsidR="00052058">
        <w:t xml:space="preserve"> jobs</w:t>
      </w:r>
      <w:r w:rsidR="004822C8">
        <w:t xml:space="preserve">, and this was because the high price of the average American slave made entirely slave-powered factories </w:t>
      </w:r>
      <w:r w:rsidR="008E7BCE">
        <w:t>unprofitable</w:t>
      </w:r>
      <w:r w:rsidR="00902CD4">
        <w:t xml:space="preserve">. </w:t>
      </w:r>
      <w:r w:rsidR="00026785">
        <w:t>Additionally, the immigration of a great deal of Irish people with the suppression of the Great Irish Rebellion</w:t>
      </w:r>
      <w:r w:rsidR="00AB4739">
        <w:t xml:space="preserve"> not only provided factories with cheaper labor;</w:t>
      </w:r>
      <w:r w:rsidR="00026785">
        <w:t xml:space="preserve"> their Anglophobia</w:t>
      </w:r>
      <w:r w:rsidR="009556A5">
        <w:t xml:space="preserve"> led them to view commercial links with the British as a danger</w:t>
      </w:r>
      <w:r w:rsidR="00295BCE">
        <w:t>, a parallel of the situation their native island was stuck in</w:t>
      </w:r>
      <w:r w:rsidR="009556A5">
        <w:t>. This view</w:t>
      </w:r>
      <w:r w:rsidR="00026785">
        <w:t xml:space="preserve"> had a massive influence on the burgeoning Democratic Party, and the readiness of the Burr administration to support internal improvements certainly came </w:t>
      </w:r>
      <w:proofErr w:type="gramStart"/>
      <w:r w:rsidR="00026785">
        <w:t>hand-in-hand</w:t>
      </w:r>
      <w:proofErr w:type="gramEnd"/>
      <w:r w:rsidR="00026785">
        <w:t xml:space="preserve"> with a higher tariff</w:t>
      </w:r>
      <w:r w:rsidR="005A2C4F">
        <w:t xml:space="preserve"> to fund them</w:t>
      </w:r>
      <w:r w:rsidR="00026785">
        <w:t xml:space="preserve">. </w:t>
      </w:r>
      <w:r w:rsidR="00AA1571">
        <w:t>The leader of this new, brewing, American protectionism came from Matthew Carey</w:t>
      </w:r>
      <w:r w:rsidR="00912B33">
        <w:t>, a United Irishman exile who settled in Pennsylvania, and though his voice was a minority, it nevertheless had a noted presence within the Democratic Party</w:t>
      </w:r>
      <w:r w:rsidR="00AB7C25">
        <w:t xml:space="preserve"> – even if only to justify the rise of tariffs with logic beyond simple revenue raising</w:t>
      </w:r>
      <w:r w:rsidR="00912B33">
        <w:t xml:space="preserve">. </w:t>
      </w:r>
      <w:r w:rsidR="00D65A81">
        <w:lastRenderedPageBreak/>
        <w:t xml:space="preserve">The tariff ceased to be a prop for olden mercantilism; instead, it became a tool </w:t>
      </w:r>
      <w:r w:rsidR="003F3CD8">
        <w:t>for promoting</w:t>
      </w:r>
      <w:r w:rsidR="00D65A81">
        <w:t xml:space="preserve"> modern</w:t>
      </w:r>
      <w:r w:rsidR="003F3CD8">
        <w:t>ity and</w:t>
      </w:r>
      <w:r w:rsidR="00D65A81">
        <w:t xml:space="preserve"> </w:t>
      </w:r>
      <w:r w:rsidR="003F3CD8">
        <w:t>an industrial economy</w:t>
      </w:r>
      <w:r w:rsidR="00D65A81">
        <w:t xml:space="preserve">. </w:t>
      </w:r>
    </w:p>
    <w:p w14:paraId="1B219F99" w14:textId="57A6A62D" w:rsidR="008F6D7B" w:rsidRDefault="00A75DE2" w:rsidP="008F6D7B">
      <w:r>
        <w:t>The slow growth of industry did have a booming market in place – the West.</w:t>
      </w:r>
      <w:r w:rsidR="00DC6CCE">
        <w:t xml:space="preserve"> Already a growing phenomenon, settlement of the west turned into an avalanche in his era</w:t>
      </w:r>
      <w:r w:rsidR="0014543A">
        <w:t xml:space="preserve">. </w:t>
      </w:r>
      <w:r w:rsidR="00DC6CCE">
        <w:t xml:space="preserve">An avid expansionist, Jefferson </w:t>
      </w:r>
      <w:r w:rsidR="00166B19">
        <w:t>governed over</w:t>
      </w:r>
      <w:r w:rsidR="00DC6CCE">
        <w:t xml:space="preserve"> a slow expansion of settlement; the Southwest saw booming cotton plantations, while the Northwest saw the expansion of settlement on the New England model</w:t>
      </w:r>
      <w:r w:rsidR="00657DC6">
        <w:t>. Burr saw a growth of infrastructure across the West that could get people there</w:t>
      </w:r>
      <w:r w:rsidR="00136809">
        <w:t xml:space="preserve"> in the first place</w:t>
      </w:r>
      <w:r w:rsidR="00657DC6">
        <w:t>, chiefly the canal</w:t>
      </w:r>
      <w:r w:rsidR="00B13F2E">
        <w:t>, and he also introduced the semaphoric telegraph which</w:t>
      </w:r>
      <w:r w:rsidR="00715122">
        <w:t xml:space="preserve"> made it easier than ever for the East to keep in touch with it</w:t>
      </w:r>
      <w:r w:rsidR="00DC6CCE">
        <w:t xml:space="preserve">. This settlement became an avalanche with the opening of the Erie Canal in 1815; </w:t>
      </w:r>
      <w:r w:rsidR="00A75C2A">
        <w:t xml:space="preserve">in the wake the Year Without a Summer, and the economic havoc that wreaked on New England, this led to an avalanche of settlers moving westwards. </w:t>
      </w:r>
      <w:r w:rsidR="008F6D7B">
        <w:t>To assist the</w:t>
      </w:r>
      <w:r w:rsidR="00557332">
        <w:t>se settlers</w:t>
      </w:r>
      <w:r w:rsidR="008F6D7B">
        <w:t xml:space="preserve"> </w:t>
      </w:r>
      <w:r w:rsidR="00557332">
        <w:t>came</w:t>
      </w:r>
      <w:r w:rsidR="008F6D7B">
        <w:t xml:space="preserve"> a series of markets</w:t>
      </w:r>
      <w:r w:rsidR="00557332">
        <w:t>, linked by roads and canals</w:t>
      </w:r>
      <w:r w:rsidR="008F6D7B">
        <w:t>, to sell goods to this new</w:t>
      </w:r>
      <w:r w:rsidR="0081604E">
        <w:t>, booming</w:t>
      </w:r>
      <w:r w:rsidR="008F6D7B">
        <w:t xml:space="preserve"> consumer base, and in this the rising industrialists of the Northeast became involved.</w:t>
      </w:r>
      <w:r w:rsidR="002415E2">
        <w:t xml:space="preserve"> This became more viable than ever as the canals and roads allowed for much easier and quicker selling of goods. Cincinnati, </w:t>
      </w:r>
      <w:proofErr w:type="spellStart"/>
      <w:r w:rsidR="00B04892">
        <w:t>Pittsburg</w:t>
      </w:r>
      <w:proofErr w:type="spellEnd"/>
      <w:r w:rsidR="002415E2">
        <w:t xml:space="preserve">, and Black Rock became emporia for industrial goods, and they in turn </w:t>
      </w:r>
      <w:r w:rsidR="00B22A92">
        <w:t xml:space="preserve">fostered the growth of markets </w:t>
      </w:r>
      <w:r w:rsidR="004E15A6">
        <w:t>to sell them</w:t>
      </w:r>
      <w:r w:rsidR="006B0928">
        <w:t xml:space="preserve">. </w:t>
      </w:r>
    </w:p>
    <w:p w14:paraId="410679A8" w14:textId="62B2BA75" w:rsidR="00F97ACD" w:rsidRDefault="00F97ACD" w:rsidP="008F6D7B">
      <w:r>
        <w:t>Additionally, industry even began to emerge in the West. Ohio, which was the oldest part of the West and had seen the growth of cities to populate its markets, saw its cities begin to grow, and this</w:t>
      </w:r>
      <w:r w:rsidR="005E1CF9">
        <w:t xml:space="preserve"> labor surplus</w:t>
      </w:r>
      <w:r>
        <w:t xml:space="preserve"> provided capacity for the rise of industry. This was additionally fostered by the growth of canals across the state, funded by the Burr administration</w:t>
      </w:r>
      <w:r w:rsidR="00C52D5A">
        <w:rPr>
          <w:rStyle w:val="EndnoteReference"/>
        </w:rPr>
        <w:endnoteReference w:id="36"/>
      </w:r>
      <w:r>
        <w:t xml:space="preserve">; together, this allowed for goods to be imported and exported from Cincinnati to Sandusky, through </w:t>
      </w:r>
      <w:r w:rsidR="005E1CF9">
        <w:t xml:space="preserve">a canal system. Additionally, that many of the workers who built the canals (mostly Irish and German immigrants) stayed in the places they had worked in, helped to foster the growth of an industrial working class, </w:t>
      </w:r>
      <w:r w:rsidR="005E1CF9">
        <w:lastRenderedPageBreak/>
        <w:t xml:space="preserve">with a labor surplus that promoted the growth of factories. </w:t>
      </w:r>
      <w:proofErr w:type="gramStart"/>
      <w:r w:rsidR="005E1CF9">
        <w:t>Sandusky in particular, within</w:t>
      </w:r>
      <w:proofErr w:type="gramEnd"/>
      <w:r w:rsidR="005E1CF9">
        <w:t xml:space="preserve"> the Western Reserve region that had been settled directly from New England, became the industrial center of Ohio</w:t>
      </w:r>
      <w:r w:rsidR="00F05528">
        <w:t xml:space="preserve">; eventually, industry migrated southwards to </w:t>
      </w:r>
      <w:proofErr w:type="spellStart"/>
      <w:r w:rsidR="00F05528">
        <w:t>Ballytone</w:t>
      </w:r>
      <w:proofErr w:type="spellEnd"/>
      <w:r w:rsidR="00F05528">
        <w:t xml:space="preserve"> and further to Cincinnati. </w:t>
      </w:r>
      <w:r w:rsidR="00152128">
        <w:t>As Indiana settled over the 1810s, its canal program saw the inklings of a proto-industrial economy emerge, and Michigan Territory (today New Ireland), also began to see industr</w:t>
      </w:r>
      <w:r w:rsidR="0025123E">
        <w:t>ial development as New Englander settlers brought equipment westwards</w:t>
      </w:r>
      <w:r w:rsidR="00152128">
        <w:t>. But by far, the industrial center of the west was Ohio</w:t>
      </w:r>
      <w:r w:rsidR="000C1E9B">
        <w:t>, where Northeastern settlement collided with</w:t>
      </w:r>
      <w:r w:rsidR="002E55D9">
        <w:t xml:space="preserve"> settled and mature </w:t>
      </w:r>
      <w:r w:rsidR="00DC71A3">
        <w:t xml:space="preserve">economic and </w:t>
      </w:r>
      <w:r w:rsidR="002E55D9">
        <w:t>political institutions</w:t>
      </w:r>
      <w:r w:rsidR="002A5919">
        <w:rPr>
          <w:rStyle w:val="EndnoteReference"/>
        </w:rPr>
        <w:endnoteReference w:id="37"/>
      </w:r>
      <w:r w:rsidR="00152128">
        <w:t xml:space="preserve">. </w:t>
      </w:r>
      <w:r w:rsidR="004226E6">
        <w:t xml:space="preserve">Industrial </w:t>
      </w:r>
      <w:r w:rsidR="007E6468">
        <w:t>development</w:t>
      </w:r>
      <w:r w:rsidR="004226E6">
        <w:t xml:space="preserve"> </w:t>
      </w:r>
      <w:r w:rsidR="007E6468">
        <w:t xml:space="preserve">made its true rise on the nation stage with the Harrisburg Convention of 1823, in which delegates campaigned for a higher tariff for purposes of protection and submitted </w:t>
      </w:r>
      <w:r w:rsidR="00E07DFF">
        <w:t>petitions</w:t>
      </w:r>
      <w:r w:rsidR="007E6468">
        <w:t xml:space="preserve"> to this end</w:t>
      </w:r>
      <w:r w:rsidR="00E07DFF">
        <w:t xml:space="preserve"> to Congress; </w:t>
      </w:r>
      <w:r w:rsidR="0008562C">
        <w:t xml:space="preserve">it did not lead to an immediate shift towards protection, </w:t>
      </w:r>
      <w:r w:rsidR="004F6785">
        <w:t>rather</w:t>
      </w:r>
      <w:r w:rsidR="0008562C">
        <w:t xml:space="preserve"> it simply budged the needle towards</w:t>
      </w:r>
      <w:r w:rsidR="004F6785">
        <w:t xml:space="preserve"> protectionism, particularly within the Democratic Party</w:t>
      </w:r>
      <w:r w:rsidR="004A1DB9">
        <w:t xml:space="preserve">. </w:t>
      </w:r>
    </w:p>
    <w:p w14:paraId="7C753EF6" w14:textId="7634C08E" w:rsidR="00152128" w:rsidRDefault="00152128" w:rsidP="00152128">
      <w:r>
        <w:t xml:space="preserve">Additionally, even at this point, industry was more of a Northern phenomenon than it was Southern. This </w:t>
      </w:r>
      <w:r w:rsidR="006D7D33">
        <w:t>didn’t mean it was solely the purview of the North</w:t>
      </w:r>
      <w:r>
        <w:t xml:space="preserve"> –notably, Virginia saw the emergence of a substantial iron sector over the 1810s – but the difference</w:t>
      </w:r>
      <w:r w:rsidR="00EE5152">
        <w:t xml:space="preserve"> in industrial development,</w:t>
      </w:r>
      <w:r>
        <w:t xml:space="preserve"> was quite stark. This had to do with several reasons –the North attracted considerably more immigrants, precisely because of its lack of slavery; more inventions and patents came from the </w:t>
      </w:r>
      <w:r w:rsidR="005C09A9">
        <w:t>N</w:t>
      </w:r>
      <w:r>
        <w:t>orth</w:t>
      </w:r>
      <w:r w:rsidR="005C09A9">
        <w:t>, thanks to a far larger free population; without planter feudalism, commercialism made much greater headway</w:t>
      </w:r>
      <w:r w:rsidR="009C460F">
        <w:t xml:space="preserve"> in the North</w:t>
      </w:r>
      <w:r>
        <w:t>; and there was a lot less hostility towards urbanization in the North</w:t>
      </w:r>
      <w:r w:rsidR="003A2A68">
        <w:rPr>
          <w:rStyle w:val="EndnoteReference"/>
        </w:rPr>
        <w:endnoteReference w:id="38"/>
      </w:r>
      <w:r>
        <w:t>. Most of these issues are at least tangentially related to the great difference of slavery; though slave-based industrialization was not impossible and, with the crash of the price of the slave over the 1820s</w:t>
      </w:r>
      <w:r w:rsidR="0019436A">
        <w:t xml:space="preserve"> and beyond</w:t>
      </w:r>
      <w:r>
        <w:t xml:space="preserve">, did happen, it was harder, and it required a greater conceptual leap. The growth of industry in the North helped to reinforce its </w:t>
      </w:r>
      <w:r w:rsidR="00D752AA">
        <w:t xml:space="preserve">numerical </w:t>
      </w:r>
      <w:r w:rsidR="00D752AA">
        <w:lastRenderedPageBreak/>
        <w:t>majority over the South</w:t>
      </w:r>
      <w:r w:rsidR="00C64746">
        <w:t>, as it allowed for larger cities</w:t>
      </w:r>
      <w:r w:rsidR="00D752AA">
        <w:t xml:space="preserve">; this was, without a doubt, a contributing factor to the rise of sectional politics in the decades that followed. </w:t>
      </w:r>
    </w:p>
    <w:p w14:paraId="61D5D8FB" w14:textId="0D21FEF0" w:rsidR="00C604A1" w:rsidRDefault="00C604A1">
      <w:pPr>
        <w:spacing w:before="0" w:line="259" w:lineRule="auto"/>
        <w:ind w:firstLine="0"/>
      </w:pPr>
      <w:r>
        <w:br w:type="page"/>
      </w:r>
    </w:p>
    <w:p w14:paraId="43E6662E" w14:textId="77777777" w:rsidR="00FB0C78" w:rsidRDefault="00FB0C78" w:rsidP="00FB0C78"/>
    <w:p w14:paraId="64209C71" w14:textId="77777777" w:rsidR="00011BD3" w:rsidRDefault="00011BD3" w:rsidP="00011BD3">
      <w:pPr>
        <w:sectPr w:rsidR="00011BD3" w:rsidSect="00011BD3">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21E7BC8" w14:textId="77777777" w:rsidR="00011BD3" w:rsidRDefault="00011BD3" w:rsidP="00011BD3">
      <w:r>
        <w:br w:type="page"/>
      </w:r>
    </w:p>
    <w:p w14:paraId="3C41ABA5" w14:textId="34C975D5" w:rsidR="0025493C" w:rsidRDefault="00FB055F" w:rsidP="00C91F77">
      <w:pPr>
        <w:pStyle w:val="Heading1"/>
      </w:pPr>
      <w:bookmarkStart w:id="8" w:name="_Toc202006205"/>
      <w:r>
        <w:lastRenderedPageBreak/>
        <w:t xml:space="preserve">6. </w:t>
      </w:r>
      <w:r w:rsidR="006E7DE4">
        <w:t>Wolf by the Ears</w:t>
      </w:r>
      <w:bookmarkEnd w:id="8"/>
    </w:p>
    <w:p w14:paraId="5944EA78" w14:textId="3EC8B168" w:rsidR="006E7DE4" w:rsidRDefault="001F40CA" w:rsidP="0025493C">
      <w:r>
        <w:t xml:space="preserve">By 1800, the United States was growing more divided over slavery than it was before. Influenced by the transcendental principles of the Age of Reason, the North gradually abandoned slavery, and manumissions greatly eroded the institution. In the South, however, it was not abandoned at all. Instead, it grew more firm, as all the states of the </w:t>
      </w:r>
      <w:r w:rsidR="00EB60B1">
        <w:t>S</w:t>
      </w:r>
      <w:r>
        <w:t xml:space="preserve">outheast regarded slavery as, if not a positive good, definitely a necessary evil. </w:t>
      </w:r>
      <w:r w:rsidR="00EB60B1">
        <w:t xml:space="preserve">With the opening of the Southwest to settlement, they too attracted slave settlement, and it was likely only the Northwest Ordinance that kept it out of </w:t>
      </w:r>
      <w:r w:rsidR="00D94B21">
        <w:t xml:space="preserve">most of </w:t>
      </w:r>
      <w:r w:rsidR="00EB60B1">
        <w:t xml:space="preserve">the Middle West. </w:t>
      </w:r>
      <w:r w:rsidR="008329ED">
        <w:t xml:space="preserve">The end of the Atlantic slave trade in 1808 did not restrict the growth of slavery at all; instead, it resulted in the growth of an interstate slave trade, in which slaves were taken, through the disturbing sights of the coffle, </w:t>
      </w:r>
      <w:r w:rsidR="006F1615">
        <w:t xml:space="preserve">from the exhausted soil of the Carolinas and Virginia </w:t>
      </w:r>
      <w:r w:rsidR="008329ED">
        <w:t xml:space="preserve">to the growing slave markets of Kentucky, Tennessee, Yazoo, and Mississippi. </w:t>
      </w:r>
      <w:r w:rsidR="00C623CA">
        <w:t xml:space="preserve">The slavery issue </w:t>
      </w:r>
      <w:r w:rsidR="00863B1A">
        <w:t>lurked</w:t>
      </w:r>
      <w:r w:rsidR="00C623CA">
        <w:t xml:space="preserve"> beneath the politics of the era – the Federalists tended to be more Northern than Southern, and Republicans the reverse. This was such that, if not for the three-fifths compromise, Adams would have won the 1800 election. </w:t>
      </w:r>
      <w:r w:rsidR="00863B1A">
        <w:t>This left many disgruntled – in particular, the Federalist Timothy Pickering was so angered he plotted New England’s secession from the republic – but nevertheless national unity held</w:t>
      </w:r>
      <w:r w:rsidR="00456362">
        <w:t>, not in the least because Jefferson did have substantial support from the North</w:t>
      </w:r>
      <w:r w:rsidR="00863B1A">
        <w:t xml:space="preserve">. </w:t>
      </w:r>
    </w:p>
    <w:p w14:paraId="2EB9236D" w14:textId="5E59334C" w:rsidR="00456362" w:rsidRDefault="00BA44E6" w:rsidP="0025493C">
      <w:r>
        <w:t>The chief way the slavery issue popped up in this era came in the form of a fear of slave revolt from below. The Haitian Revolution heavily cooled Southern Republicans’ enthusiasm for the French Revolution, as they damned the rise of Toussaint</w:t>
      </w:r>
      <w:r w:rsidR="004C0DA1">
        <w:t xml:space="preserve"> to power</w:t>
      </w:r>
      <w:r>
        <w:t xml:space="preserve"> and France’s abolition of slavery as nothing more than the </w:t>
      </w:r>
      <w:r w:rsidR="006C382F">
        <w:t>end results</w:t>
      </w:r>
      <w:r>
        <w:t xml:space="preserve"> of revolutionary principles</w:t>
      </w:r>
      <w:r w:rsidR="006C382F">
        <w:t>, of calls for liberty and equality</w:t>
      </w:r>
      <w:r>
        <w:t>. When in 1800, the government of Virginia only narrowly stopped a</w:t>
      </w:r>
      <w:r w:rsidR="004872DE">
        <w:t xml:space="preserve"> well-organized</w:t>
      </w:r>
      <w:r>
        <w:t xml:space="preserve"> slave revolt headed for </w:t>
      </w:r>
      <w:r w:rsidR="00C048C9">
        <w:t>the capital</w:t>
      </w:r>
      <w:r>
        <w:t xml:space="preserve">, it demonstrated this fear was real. Afterwards, the Virginian government </w:t>
      </w:r>
      <w:r>
        <w:lastRenderedPageBreak/>
        <w:t xml:space="preserve">debated on a course of action against this, including deporting slaves back to Africa or establishing some sort of penal colony in the American interior for “rebellious” slaves; however, this debate ultimately </w:t>
      </w:r>
      <w:r w:rsidR="00F008B9">
        <w:t>fizzled out</w:t>
      </w:r>
      <w:r w:rsidR="00396EDD">
        <w:t xml:space="preserve"> due to divisions within Virginia’s legislature</w:t>
      </w:r>
      <w:r w:rsidR="00F008B9">
        <w:t xml:space="preserve">. It made a return in 1803, with the Chatham Manor Revolt in which a group of slaves killed their overseer and successfully fled into the forest, and over the next few weeks Virginians were terrified that these </w:t>
      </w:r>
      <w:r w:rsidR="00295483">
        <w:t>fugitive slaves</w:t>
      </w:r>
      <w:r w:rsidR="00F008B9">
        <w:t xml:space="preserve"> were coming to kill them</w:t>
      </w:r>
      <w:r w:rsidR="00295483">
        <w:t>. By the time they were dispatched and</w:t>
      </w:r>
      <w:r w:rsidR="00B036C3">
        <w:t>, after a show trial, executed</w:t>
      </w:r>
      <w:r w:rsidR="00295483">
        <w:t xml:space="preserve">, a great fear escalated </w:t>
      </w:r>
      <w:proofErr w:type="gramStart"/>
      <w:r w:rsidR="00295483">
        <w:t>all across</w:t>
      </w:r>
      <w:proofErr w:type="gramEnd"/>
      <w:r w:rsidR="00295483">
        <w:t xml:space="preserve"> the Southeast, in which any slave feared of conspiring for rebellion got killed</w:t>
      </w:r>
      <w:r w:rsidR="00ED2DF6">
        <w:t xml:space="preserve"> by terrified slaveowners, and talk emerged once more on action against this. The Virginian government once more advocated deportation of “criminal” slaves, and President Jefferson too, being a slaveowner, wanted action. </w:t>
      </w:r>
    </w:p>
    <w:p w14:paraId="732CD029" w14:textId="4558D987" w:rsidR="00456362" w:rsidRDefault="00ED2DF6" w:rsidP="00456362">
      <w:r>
        <w:t xml:space="preserve">After a failed attempt to negotiate with the proprietors of Sierra Leone, a British colony on Africa for freedmen, to send American slaves there, in 1804 Jefferson shepherded through Congress a bill constituting the American Colonization Society. Its aim - to establish a colony in West Africa where states could deport slaves, and other Colored “undesirables” – put the slavery issue on the map in a way it hadn’t been before. The following year, an American navy squadron successfully secured Cape </w:t>
      </w:r>
      <w:proofErr w:type="spellStart"/>
      <w:r>
        <w:t>Mesurado</w:t>
      </w:r>
      <w:proofErr w:type="spellEnd"/>
      <w:r>
        <w:t>, right next to Sierra Leone, as a colony</w:t>
      </w:r>
      <w:r w:rsidR="0078185E">
        <w:t xml:space="preserve"> which it christened “Fredonia”</w:t>
      </w:r>
      <w:r w:rsidR="00C9692F">
        <w:t xml:space="preserve">, and the American Colonization Society attracted </w:t>
      </w:r>
      <w:r w:rsidR="00654B1D">
        <w:t>a high-profile membership, along with a large chest of donations</w:t>
      </w:r>
      <w:r w:rsidR="00C9692F">
        <w:t xml:space="preserve">. In the North, it became a way to be antislavery – but respectably so, without desiring Colored equality or the specter of the much-feared “race-mixing”. In the South, however, it attracted </w:t>
      </w:r>
      <w:proofErr w:type="gramStart"/>
      <w:r w:rsidR="00C9692F">
        <w:t>a large number of</w:t>
      </w:r>
      <w:proofErr w:type="gramEnd"/>
      <w:r w:rsidR="00C9692F">
        <w:t xml:space="preserve"> slaveowners; th</w:t>
      </w:r>
      <w:r w:rsidR="00F95CB6">
        <w:t>ey supported variously because they opposed slavery but wanted to end it by deporting the slaves, because they wanted to remove “rebellious” slaves, or to deal with free Colore</w:t>
      </w:r>
      <w:r w:rsidR="009F3A52">
        <w:t>d</w:t>
      </w:r>
      <w:r w:rsidR="00F95CB6">
        <w:t xml:space="preserve">s who might potentially make common cause with them. </w:t>
      </w:r>
    </w:p>
    <w:p w14:paraId="726B1C50" w14:textId="491F45CB" w:rsidR="00BA44E6" w:rsidRDefault="00CC5663" w:rsidP="0025493C">
      <w:r>
        <w:lastRenderedPageBreak/>
        <w:t>It would be this last</w:t>
      </w:r>
      <w:r w:rsidR="009F3A52">
        <w:t xml:space="preserve"> point that caused a backlash; the free Coloreds of the North damned this movement as a plot to get them to leave their homes for a distant ancestral homeland with which they had no connection</w:t>
      </w:r>
      <w:r w:rsidR="006A2F28">
        <w:t>, a concept no less absurd</w:t>
      </w:r>
      <w:r w:rsidR="001A0F6A">
        <w:t>, they said,</w:t>
      </w:r>
      <w:r w:rsidR="006A2F28">
        <w:t xml:space="preserve"> than deporting white Americans to Europe</w:t>
      </w:r>
      <w:r w:rsidR="009F3A52">
        <w:t xml:space="preserve">. That the ACS often claimed that the Colored could never hope to win equality, only intensified this reaction. </w:t>
      </w:r>
      <w:proofErr w:type="gramStart"/>
      <w:r w:rsidR="009F3A52">
        <w:t>In particular, it</w:t>
      </w:r>
      <w:proofErr w:type="gramEnd"/>
      <w:r w:rsidR="009F3A52">
        <w:t xml:space="preserve"> was this moment which intensified the idea that they were properly denominated Colored-Americans; the term </w:t>
      </w:r>
      <w:r w:rsidR="00D94B21">
        <w:t>“</w:t>
      </w:r>
      <w:proofErr w:type="gramStart"/>
      <w:r w:rsidR="009F3A52">
        <w:t>African-American</w:t>
      </w:r>
      <w:proofErr w:type="gramEnd"/>
      <w:r w:rsidR="00D94B21">
        <w:t>”</w:t>
      </w:r>
      <w:r w:rsidR="009F3A52">
        <w:t>, which was also common in this era, they condemned as implying they were foreign to the country</w:t>
      </w:r>
      <w:r w:rsidR="00D94B21">
        <w:rPr>
          <w:rStyle w:val="EndnoteReference"/>
        </w:rPr>
        <w:endnoteReference w:id="39"/>
      </w:r>
      <w:r w:rsidR="009F3A52">
        <w:t>. Additionally, this organization fed into a free Colored-led abolitionist movement, as the several conventions and other organizations they established to condemn the ACS ended up becoming permanent bodies, in firm opposition to slavery</w:t>
      </w:r>
      <w:r w:rsidR="00AC1C7E">
        <w:t xml:space="preserve"> and in support of their fellow Coloreds in chains</w:t>
      </w:r>
      <w:r w:rsidR="00DF0BDE">
        <w:t xml:space="preserve">, and in contrast with the far more </w:t>
      </w:r>
      <w:r w:rsidR="006A2F28">
        <w:t>moderate, white-led</w:t>
      </w:r>
      <w:r w:rsidR="00DF0BDE">
        <w:t xml:space="preserve"> abolitionist societies that had existed previously</w:t>
      </w:r>
      <w:r w:rsidR="009F3A52">
        <w:t xml:space="preserve">. </w:t>
      </w:r>
      <w:r w:rsidR="000F19F0">
        <w:t xml:space="preserve">This additionally intensified the controversy over the issue of fugitive slaves; free Coloreds organized Vigilant Committees in several northern cities, for the purpose of preventing their capture by southern </w:t>
      </w:r>
      <w:proofErr w:type="gramStart"/>
      <w:r w:rsidR="000F19F0">
        <w:t>slave-catchers</w:t>
      </w:r>
      <w:proofErr w:type="gramEnd"/>
      <w:r w:rsidR="000F19F0">
        <w:t xml:space="preserve">. </w:t>
      </w:r>
      <w:r w:rsidR="00AF5B11">
        <w:t xml:space="preserve">With southern public opinion having long concluded the Fugitive Slave Act of 1793 wholly insufficient to deal with the issue, it intensified agitation for a new, stronger version. </w:t>
      </w:r>
    </w:p>
    <w:p w14:paraId="5A26C1D8" w14:textId="1BE76F29" w:rsidR="00BC7C25" w:rsidRDefault="00AF5B11" w:rsidP="00BC7C25">
      <w:r>
        <w:t xml:space="preserve">Opposition to the ACS also came from the ultra wing of the Republican Party. This wing, led by John Randolph of Roanoke and Nathaniel Macon of North Carolina, had long been motivated in its ultra stance in the fear that an overly strong central government would end up controlled by the North, which would use it to end slavery and ruin their plantation-based economic prosperity. </w:t>
      </w:r>
      <w:r w:rsidR="00876D52">
        <w:t>They also feared this sort of dissension among the white population of the nation would inspire slave revolts. This resulted in increasingly determined ultra opposition to Thomas Jefferson</w:t>
      </w:r>
      <w:r w:rsidR="00EE503A">
        <w:t>, whose criticism of slavery they saw in fear, however much</w:t>
      </w:r>
      <w:r w:rsidR="00CC1DD3">
        <w:t xml:space="preserve"> he did nothing to act on it</w:t>
      </w:r>
      <w:r w:rsidR="002142BB">
        <w:t xml:space="preserve">, and when the Jefferson administration successfully shepherded a bill providing the ACT with federal funding, this </w:t>
      </w:r>
      <w:r w:rsidR="002142BB">
        <w:lastRenderedPageBreak/>
        <w:t>opposition only became more frantic</w:t>
      </w:r>
      <w:r w:rsidR="000762CF">
        <w:t>. With the ascent of Aaron Burr, a northern president known to be opposed to slavery, this sort of ultra opposition only escalated; with the 1812 election and the election between Burr and Monroe coming into the House, that Monroe was the candidate of the ultras could not be doubted, and Jefferson’s backing of Monroe at this point represented that he had moved in the same direction as them</w:t>
      </w:r>
      <w:r w:rsidR="00D94B21">
        <w:t xml:space="preserve">. </w:t>
      </w:r>
      <w:r w:rsidR="000762CF">
        <w:t>The extent to which Jefferson’s increasingly vigorous defence of slavery after 1813 owes to the reconstituted Republicans’ more ultra stance remains in dispute</w:t>
      </w:r>
      <w:r w:rsidR="00660BAB">
        <w:t>, but most historians agree it played a role of some sort</w:t>
      </w:r>
      <w:r w:rsidR="00660BAB">
        <w:rPr>
          <w:rStyle w:val="EndnoteReference"/>
        </w:rPr>
        <w:endnoteReference w:id="40"/>
      </w:r>
      <w:r w:rsidR="00660BAB">
        <w:t xml:space="preserve">. </w:t>
      </w:r>
    </w:p>
    <w:p w14:paraId="2F814FCD" w14:textId="77777777" w:rsidR="00805F32" w:rsidRDefault="00660BAB" w:rsidP="00A37CBD">
      <w:r>
        <w:t xml:space="preserve">Additionally, with the division of politics between the Democrats and Republicans, </w:t>
      </w:r>
      <w:r w:rsidR="0088280A">
        <w:t xml:space="preserve">the </w:t>
      </w:r>
      <w:r>
        <w:t xml:space="preserve">sectional divide returned with a vengeance. The Democrats were, at their core, an alliance between the North and West, on a platform of internal improvements, western settlement, </w:t>
      </w:r>
      <w:proofErr w:type="gramStart"/>
      <w:r>
        <w:t>and also</w:t>
      </w:r>
      <w:proofErr w:type="gramEnd"/>
      <w:r>
        <w:t xml:space="preserve"> increasingly an attachment to the </w:t>
      </w:r>
      <w:r w:rsidR="00471C55">
        <w:t>dignity</w:t>
      </w:r>
      <w:r>
        <w:t xml:space="preserve"> of</w:t>
      </w:r>
      <w:r w:rsidR="00471C55">
        <w:t xml:space="preserve"> the</w:t>
      </w:r>
      <w:r>
        <w:t xml:space="preserve"> free labor</w:t>
      </w:r>
      <w:r w:rsidR="00471C55">
        <w:t>er</w:t>
      </w:r>
      <w:r>
        <w:t xml:space="preserve">. In contrast, the Republicans were led by the planters of Virginia, who made common cause with the planters in the rest of the </w:t>
      </w:r>
      <w:r w:rsidR="00E776F3">
        <w:t>South</w:t>
      </w:r>
      <w:r>
        <w:t xml:space="preserve"> in what was</w:t>
      </w:r>
      <w:r w:rsidR="008C1E96">
        <w:t xml:space="preserve"> already at the time</w:t>
      </w:r>
      <w:r>
        <w:t xml:space="preserve"> dubbed the “Planter Ascendancy”</w:t>
      </w:r>
      <w:r w:rsidR="008C1E96">
        <w:rPr>
          <w:rStyle w:val="EndnoteReference"/>
        </w:rPr>
        <w:endnoteReference w:id="41"/>
      </w:r>
      <w:r>
        <w:t xml:space="preserve">, and </w:t>
      </w:r>
      <w:r w:rsidR="00E776F3">
        <w:t xml:space="preserve">aligned with similar interests </w:t>
      </w:r>
      <w:r w:rsidR="004E0042">
        <w:t>in the West and North</w:t>
      </w:r>
      <w:r w:rsidR="00E776F3">
        <w:t>, which advocated a weak federal government</w:t>
      </w:r>
      <w:r w:rsidR="00692744">
        <w:t>,</w:t>
      </w:r>
      <w:r w:rsidR="00E776F3">
        <w:t xml:space="preserve"> protection of slavery</w:t>
      </w:r>
      <w:r w:rsidR="00692744">
        <w:t>, and opposition to “foreign agitators”</w:t>
      </w:r>
      <w:r w:rsidR="00E776F3">
        <w:t xml:space="preserve">. </w:t>
      </w:r>
      <w:r w:rsidR="004E0042">
        <w:t>That neither side believed the federal government could interfere with the states meant the issue rose most particularly when it came to the settlement of the territories</w:t>
      </w:r>
      <w:r w:rsidR="00F53439">
        <w:t>, where the issue lay in much doubt</w:t>
      </w:r>
      <w:r w:rsidR="004E0042">
        <w:t xml:space="preserve">. </w:t>
      </w:r>
    </w:p>
    <w:p w14:paraId="799DC869" w14:textId="14C3ABDC" w:rsidR="00A37CBD" w:rsidRDefault="008938D8" w:rsidP="00A37CBD">
      <w:r>
        <w:t>Here, the Northwest Ordinance made slavery illegal; despite this, many believed that its introduction would be an economic boon, and they juxtaposed the region with Kentucky and Tennessee where they claimed it helped fuel economic growth</w:t>
      </w:r>
      <w:r w:rsidR="00663204">
        <w:t xml:space="preserve"> and mass settlement</w:t>
      </w:r>
      <w:r>
        <w:t xml:space="preserve">. </w:t>
      </w:r>
      <w:r w:rsidR="00A3770D">
        <w:t xml:space="preserve">As the Middle West became increasingly settled, as the canals from the east </w:t>
      </w:r>
      <w:proofErr w:type="gramStart"/>
      <w:r w:rsidR="00A3770D">
        <w:t>opened up</w:t>
      </w:r>
      <w:proofErr w:type="gramEnd"/>
      <w:r w:rsidR="00A3770D">
        <w:t xml:space="preserve"> more of </w:t>
      </w:r>
      <w:r w:rsidR="00782EE1">
        <w:t>the region</w:t>
      </w:r>
      <w:r w:rsidR="00A3770D">
        <w:t xml:space="preserve"> to settlement, and as states </w:t>
      </w:r>
      <w:r w:rsidR="005B3623">
        <w:t xml:space="preserve">zealously </w:t>
      </w:r>
      <w:r w:rsidR="00A3770D">
        <w:t xml:space="preserve">competed to attract migrants, it was only a matter of time </w:t>
      </w:r>
      <w:r w:rsidR="00A3770D">
        <w:lastRenderedPageBreak/>
        <w:t>before th</w:t>
      </w:r>
      <w:r w:rsidR="00DE48BF">
        <w:t xml:space="preserve">is issue, this great sectional difference, entered the </w:t>
      </w:r>
      <w:r w:rsidR="006A44BE">
        <w:t>domain</w:t>
      </w:r>
      <w:r w:rsidR="00DE48BF">
        <w:t xml:space="preserve"> of politics</w:t>
      </w:r>
      <w:r w:rsidR="001D4D57">
        <w:t xml:space="preserve"> – and it was all</w:t>
      </w:r>
      <w:r w:rsidR="00A3770D">
        <w:t xml:space="preserve"> over the admission of Illinois. </w:t>
      </w:r>
    </w:p>
    <w:p w14:paraId="57B194AB" w14:textId="5EBD94CD" w:rsidR="00D94B21" w:rsidRDefault="00D94B21">
      <w:pPr>
        <w:spacing w:before="0" w:line="259" w:lineRule="auto"/>
        <w:ind w:firstLine="0"/>
      </w:pPr>
      <w:r>
        <w:br w:type="page"/>
      </w:r>
    </w:p>
    <w:p w14:paraId="740CCFDD" w14:textId="77777777" w:rsidR="00AF5B11" w:rsidRDefault="00AF5B11" w:rsidP="0025493C"/>
    <w:p w14:paraId="03B712B0" w14:textId="7CC84CF3" w:rsidR="0025493C" w:rsidRDefault="0025493C" w:rsidP="004C6471">
      <w:pPr>
        <w:sectPr w:rsidR="0025493C" w:rsidSect="004C6471">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72BB60C3" w14:textId="77777777" w:rsidR="004C6471" w:rsidRDefault="004C6471" w:rsidP="004C6471">
      <w:r>
        <w:br w:type="page"/>
      </w:r>
    </w:p>
    <w:p w14:paraId="697D2AAF" w14:textId="6A294A50" w:rsidR="008A75F3" w:rsidRDefault="00FB055F" w:rsidP="00C91F77">
      <w:pPr>
        <w:pStyle w:val="Heading1"/>
      </w:pPr>
      <w:bookmarkStart w:id="9" w:name="_Toc202006206"/>
      <w:r>
        <w:lastRenderedPageBreak/>
        <w:t xml:space="preserve">7. </w:t>
      </w:r>
      <w:r w:rsidR="00930F8F">
        <w:t>The Age of Party</w:t>
      </w:r>
      <w:bookmarkEnd w:id="9"/>
    </w:p>
    <w:p w14:paraId="35532161" w14:textId="5C2E25D8" w:rsidR="00DD6A11" w:rsidRDefault="00C35361" w:rsidP="00DD6A11">
      <w:r>
        <w:t xml:space="preserve">However narrowly the 1816 election was, it did end with Burr’s attempt to win a third term defeated, and it saw the ascent of a man who was much more in keeping with traditional republican values. Born in 1750 to a Virginian planter family, </w:t>
      </w:r>
      <w:r w:rsidR="00923080">
        <w:t xml:space="preserve">Madison became involved in the American Revolution, and upon its end, in 1786 he became a delegate sent to the Continental Congress. Here, he witnessed the </w:t>
      </w:r>
      <w:r w:rsidR="00A41AA4">
        <w:t xml:space="preserve">failure of the Articles of Confederation, and he became the leader of the effort to replace them with a more centralized constitution. As a delegate to the Constitutional Convention, he put an end to attempts to simply amend the Confederation, and instead he organized its replacement. His Virginia Plan proved to be the basis of the new Constitution of the United States of America, and along with Alexander Hamilton he co-wrote the Federalist Papers which successfully corralled support for </w:t>
      </w:r>
      <w:r w:rsidR="0088302A">
        <w:t>its</w:t>
      </w:r>
      <w:r w:rsidR="00A41AA4">
        <w:t xml:space="preserve"> ratification. </w:t>
      </w:r>
      <w:r w:rsidR="0088302A">
        <w:t xml:space="preserve">Breaking with Hamilton’s economic agenda, Madison affiliated with the </w:t>
      </w:r>
      <w:r w:rsidR="00051764">
        <w:t xml:space="preserve">Republican opposition and became close friends with Thomas Jefferson. With the Jay Treaty, this breach with Hamilton became permanent, and Madison became </w:t>
      </w:r>
      <w:r w:rsidR="00DD6A11">
        <w:t xml:space="preserve">Jefferson’s second in command. With the Adams presidency and the rise of the </w:t>
      </w:r>
      <w:r w:rsidR="005C4B85">
        <w:t xml:space="preserve">First </w:t>
      </w:r>
      <w:r w:rsidR="00DD6A11">
        <w:t xml:space="preserve">Quasi War, Madison wrote the Virginia Resolutions of 1798-9, which declared that the Alien and Sedition Acts were unconstitutional and called for the states to work together to interpose against them. More moderate than Jefferson’s calls for their nullification, this nevertheless failed as most states declared the federal judiciary to be the proper place to decide the constitutionality of federal laws. With the 1800 election, though Jefferson was forced by his party to make Aaron Burr his Secretary of State, he nevertheless established a Domestic Department and to head this post he appointed James Madison. </w:t>
      </w:r>
    </w:p>
    <w:p w14:paraId="59A4F73A" w14:textId="244AFE70" w:rsidR="00DD6A11" w:rsidRDefault="00DD6A11" w:rsidP="00DD6A11">
      <w:r>
        <w:t xml:space="preserve">As Secretary of Domestic Affairs, Madison would be involved in many disputes over jurisdiction, but Jefferson successfully ensured these disputes went his way. The Domestic </w:t>
      </w:r>
      <w:r>
        <w:lastRenderedPageBreak/>
        <w:t>Department not only included the domestic sphere formerly under the control of the Department of State, but it also included Indian affairs, formerly under the Department of War</w:t>
      </w:r>
      <w:r w:rsidR="00CF2CD5">
        <w:t>, and a host of other duties which were previously divided randomly between government departments</w:t>
      </w:r>
      <w:r w:rsidR="00DA5A51">
        <w:rPr>
          <w:rStyle w:val="EndnoteReference"/>
        </w:rPr>
        <w:endnoteReference w:id="42"/>
      </w:r>
      <w:r>
        <w:t xml:space="preserve">. Additionally, being increasingly suspicious towards his Secretary of State, Jefferson increasingly turned to Madison as </w:t>
      </w:r>
      <w:r w:rsidR="00571F05">
        <w:t>the</w:t>
      </w:r>
      <w:r>
        <w:t xml:space="preserve"> second-in-command within </w:t>
      </w:r>
      <w:r w:rsidR="00571F05">
        <w:t>his</w:t>
      </w:r>
      <w:r>
        <w:t xml:space="preserve"> cabinet. </w:t>
      </w:r>
      <w:r w:rsidR="00571F05">
        <w:t>With the 1804 election and Burr acceding to the vice presidency, Jefferson lifted Madison to the title of Secretary of State, making him second command in both function and form</w:t>
      </w:r>
      <w:r w:rsidR="00596C75">
        <w:t xml:space="preserve">, and here he was a vigorous supporter of Jefferson’s agenda and worked much more smoothly. </w:t>
      </w:r>
    </w:p>
    <w:p w14:paraId="3171EBE6" w14:textId="579C8B37" w:rsidR="00596C75" w:rsidRDefault="00596C75" w:rsidP="00DD6A11">
      <w:r>
        <w:t xml:space="preserve">Though some speculated upon Burr’s ascent to the presidency that Madison would continue to serve within the cabinet as Jefferson’s representative, such talk went nowhere; instead, Madison became a Congressman as a leader of the Republican Party. Often voting against Burr’s spending bills and regarding many of them as not just bad policy, but also unconstitutional, the two increasingly went to loggerheads; the 1812 election saw Madison become the foremost congressional leader in the effort to depose Burr and replace him with his vice president. Afterwards, </w:t>
      </w:r>
      <w:r w:rsidR="00F303A8">
        <w:t xml:space="preserve">Madison led </w:t>
      </w:r>
      <w:r w:rsidR="001B146C">
        <w:t xml:space="preserve">the </w:t>
      </w:r>
      <w:r w:rsidR="00F303A8">
        <w:t>congress</w:t>
      </w:r>
      <w:r w:rsidR="001B146C">
        <w:t>ional opposition to the Burr agenda; despite his claim as Framer of the Constitution to understand it</w:t>
      </w:r>
      <w:r w:rsidR="00C9231C">
        <w:t xml:space="preserve"> better than most</w:t>
      </w:r>
      <w:r w:rsidR="001B146C">
        <w:t>, he ended up defeated</w:t>
      </w:r>
      <w:r w:rsidR="00C9231C">
        <w:t>, though this did give him support from the party at large</w:t>
      </w:r>
      <w:r w:rsidR="001B146C">
        <w:t xml:space="preserve">. </w:t>
      </w:r>
      <w:r w:rsidR="00C9231C">
        <w:t>In particular, the Richmond Junto, a powerful coterie of Virginian planters that emerged around and in support of Thomas Jefferson</w:t>
      </w:r>
      <w:r w:rsidR="00600760">
        <w:t xml:space="preserve"> and became one of the most important organs of the post-1813 Republican Party</w:t>
      </w:r>
      <w:r w:rsidR="00C9231C">
        <w:t xml:space="preserve">, gave its blessings to Madison, and </w:t>
      </w:r>
      <w:r w:rsidR="00600760">
        <w:t>this backing to the hilt was likely the chief reason he</w:t>
      </w:r>
      <w:r w:rsidR="008C01BB">
        <w:t xml:space="preserve"> became the flag-bearer for republicanism in the years that followed</w:t>
      </w:r>
      <w:r w:rsidR="00C9231C">
        <w:t xml:space="preserve">. </w:t>
      </w:r>
    </w:p>
    <w:p w14:paraId="08560CFA" w14:textId="376E1669" w:rsidR="00D82232" w:rsidRDefault="00405489" w:rsidP="00DD6A11">
      <w:r>
        <w:t xml:space="preserve">The inevitable nominee in 1816, Madison hewed true to classical republicanism and emphatically did not campaign in the election; somewhat disturbed by the rapid growth of </w:t>
      </w:r>
      <w:r>
        <w:lastRenderedPageBreak/>
        <w:t xml:space="preserve">populistic campaigning to match Burr’s efforts, he nevertheless accepted it. Winning a narrow victory and blocking Burr’s attempts </w:t>
      </w:r>
      <w:r w:rsidR="009950D8">
        <w:t>at</w:t>
      </w:r>
      <w:r>
        <w:t xml:space="preserve"> a</w:t>
      </w:r>
      <w:r w:rsidR="00D82232">
        <w:t>n unprecedented third</w:t>
      </w:r>
      <w:r>
        <w:t xml:space="preserve"> term,</w:t>
      </w:r>
      <w:r w:rsidR="005F6EF6">
        <w:t xml:space="preserve"> in his inauguration</w:t>
      </w:r>
      <w:r>
        <w:t xml:space="preserve"> </w:t>
      </w:r>
      <w:r w:rsidR="009950D8">
        <w:t xml:space="preserve">Madison </w:t>
      </w:r>
      <w:r w:rsidR="005F6EF6">
        <w:t>talked as much about reconciliation</w:t>
      </w:r>
      <w:r w:rsidR="009950D8">
        <w:t xml:space="preserve"> </w:t>
      </w:r>
      <w:r w:rsidR="005F6EF6">
        <w:t>as Jefferson did in 1800, but nevertheless it was clear that change was in the air. One place it didn’t, however, was when it came to federal patronage; Burr having filled government jobs with his supporters</w:t>
      </w:r>
      <w:r w:rsidR="00600760">
        <w:t>,</w:t>
      </w:r>
      <w:r w:rsidR="005F6EF6">
        <w:t xml:space="preserve"> Madison removed </w:t>
      </w:r>
      <w:r w:rsidR="00600760">
        <w:t>them</w:t>
      </w:r>
      <w:r w:rsidR="005F6EF6">
        <w:t xml:space="preserve"> and replaced them with Republican men</w:t>
      </w:r>
      <w:r w:rsidR="00600760">
        <w:t xml:space="preserve">. This was doubly supported because of the irrational fear that some Northerners were using the </w:t>
      </w:r>
      <w:r w:rsidR="00B656FB">
        <w:t>telegraph</w:t>
      </w:r>
      <w:r w:rsidR="00600760">
        <w:t xml:space="preserve"> lines, controlled by the government, to incite a slave revolt; appointing securely Southern men was an important part of ensuring safety within it</w:t>
      </w:r>
      <w:r w:rsidR="005F6EF6">
        <w:t xml:space="preserve">. </w:t>
      </w:r>
      <w:r w:rsidR="00D82232">
        <w:t>Within the cabinet, southern states’ rights men became dominant, between his Secretary of State, James Monroe, and his Secretary of the Treasury, Langdon Cheves; neither of them had any ambitious projects planned</w:t>
      </w:r>
      <w:r w:rsidR="00AD2788">
        <w:t>, to reshape the nation</w:t>
      </w:r>
      <w:r w:rsidR="00D82232">
        <w:t>.</w:t>
      </w:r>
      <w:r w:rsidR="000B0EDC">
        <w:t xml:space="preserve"> That </w:t>
      </w:r>
      <w:proofErr w:type="gramStart"/>
      <w:r w:rsidR="000B0EDC">
        <w:t>both of them</w:t>
      </w:r>
      <w:proofErr w:type="gramEnd"/>
      <w:r w:rsidR="000B0EDC">
        <w:t xml:space="preserve"> were firm Southerners, helped give credence to the claim among many northern Democrats that the conspiracy of the “Planters’ Ascendancy” was now in control of the nation</w:t>
      </w:r>
      <w:r w:rsidR="00FB4AE8">
        <w:t xml:space="preserve">, </w:t>
      </w:r>
      <w:r w:rsidR="00154E79">
        <w:t xml:space="preserve">and </w:t>
      </w:r>
      <w:r w:rsidR="00FB4AE8">
        <w:t>though at this point this was only talk</w:t>
      </w:r>
      <w:r w:rsidR="00154E79">
        <w:t xml:space="preserve"> this led to the </w:t>
      </w:r>
      <w:r w:rsidR="00B27675">
        <w:t>disputes</w:t>
      </w:r>
      <w:r w:rsidR="00154E79">
        <w:t xml:space="preserve"> over slavery of the </w:t>
      </w:r>
      <w:r w:rsidR="00B27675">
        <w:t>future</w:t>
      </w:r>
      <w:r w:rsidR="000B0EDC">
        <w:t>.</w:t>
      </w:r>
      <w:r w:rsidR="00FB4AE8">
        <w:t xml:space="preserve"> Despite this move into retrenchment,</w:t>
      </w:r>
      <w:r w:rsidR="00D82232">
        <w:t xml:space="preserve"> </w:t>
      </w:r>
      <w:r w:rsidR="00B560D8">
        <w:t xml:space="preserve">Madison did govern over a program of naval expansion, </w:t>
      </w:r>
      <w:r w:rsidR="00AD2788">
        <w:t xml:space="preserve">as well as considerable expansion of </w:t>
      </w:r>
      <w:r w:rsidR="00F12A7A">
        <w:t>telegraph</w:t>
      </w:r>
      <w:r w:rsidR="00AD2788">
        <w:t xml:space="preserve"> networks </w:t>
      </w:r>
      <w:r w:rsidR="00B560D8">
        <w:t xml:space="preserve">and much of this was the result of southern fears that abolitionist France, particularly its (nominal) colony of Saint-Domingue, would launch some sort of landing and </w:t>
      </w:r>
      <w:r w:rsidR="009A5E39">
        <w:t>free</w:t>
      </w:r>
      <w:r w:rsidR="00B560D8">
        <w:t xml:space="preserve"> its slaves. </w:t>
      </w:r>
    </w:p>
    <w:p w14:paraId="10B317EC" w14:textId="46A74488" w:rsidR="00405489" w:rsidRDefault="005F6EF6" w:rsidP="00DD6A11">
      <w:r>
        <w:t xml:space="preserve">Additionally, spending now slowed, although this was in part because of the Republican majority that rode Madison’s coattails was not so </w:t>
      </w:r>
      <w:r w:rsidR="004F50AA">
        <w:t>eager</w:t>
      </w:r>
      <w:r>
        <w:t xml:space="preserve"> to support them. This did not mean the end of internal improvements, for the states now put up the money</w:t>
      </w:r>
      <w:r w:rsidR="009747C9">
        <w:t xml:space="preserve"> for projects that seemed to assure them prosperity</w:t>
      </w:r>
      <w:r>
        <w:t>; additionally, Madison was less opposed to the federal government building roads and canals as he was to it controlling them</w:t>
      </w:r>
      <w:r w:rsidR="004F50AA">
        <w:t>, so money did still flow from the federal government to the states</w:t>
      </w:r>
      <w:r>
        <w:t xml:space="preserve">. </w:t>
      </w:r>
      <w:r w:rsidR="004F50AA">
        <w:t>But to diminish state control</w:t>
      </w:r>
      <w:r>
        <w:t>, in 1817, the federal government sold off its shares in canal and road corporations</w:t>
      </w:r>
      <w:r w:rsidR="00175FF4">
        <w:rPr>
          <w:rStyle w:val="EndnoteReference"/>
        </w:rPr>
        <w:endnoteReference w:id="43"/>
      </w:r>
      <w:r>
        <w:t xml:space="preserve">. Most of them ended up on the Washington Board of Brokers, where they </w:t>
      </w:r>
      <w:r>
        <w:lastRenderedPageBreak/>
        <w:t>swiftly changed hands, and this fuelled a boom in speculation and stock trading</w:t>
      </w:r>
      <w:r w:rsidR="009F7A3C">
        <w:t>, which only added to the land speculation boom of the era</w:t>
      </w:r>
      <w:r w:rsidR="009747C9">
        <w:rPr>
          <w:rStyle w:val="EndnoteReference"/>
        </w:rPr>
        <w:endnoteReference w:id="44"/>
      </w:r>
      <w:r>
        <w:t xml:space="preserve">. </w:t>
      </w:r>
      <w:r w:rsidR="00C9231C">
        <w:t xml:space="preserve">Additionally, Madison cut down on the tariff; the South benefited the most from this now that its cotton was more easily available for export, and though British and French goods coming for import did damage the North’s economy somewhat, that it wasn’t based around industry as much as it later would be, meant the backlash from this was limited. </w:t>
      </w:r>
      <w:r w:rsidR="00D82232">
        <w:t xml:space="preserve">Indeed, the global economy in this era was booming, and trade between the US and Europe (mostly Britain, but increasingly with France) was doing well. </w:t>
      </w:r>
    </w:p>
    <w:p w14:paraId="1EA7D6E0" w14:textId="1AB524B4" w:rsidR="00B22B4E" w:rsidRDefault="00B22B4E" w:rsidP="00DD6A11">
      <w:r>
        <w:t>However, this prosperity was based on an entirely unsustainable</w:t>
      </w:r>
      <w:r w:rsidR="00D834E5">
        <w:t xml:space="preserve"> bubble. A bubble in land speculation had emerged since the Year Without A Summer and the ensuing escalation of migration westwards, now easier than ever with the Erie Canal, and this in turn fuelled new markets to sell goods to, in addition to new banks that gave easy credit and whose banknotes allowed for a means of exchange in a West where specie was nonexistent; this credit was based on almost nothing – and so too were the banknotes in an era where they were viewed less as a medium of exchange in their own right, and more a sort of transferrable loan. On top of this, the stocks, securities, and bonds that the Madison administration had sold off, resulted in extremely high amounts of speculation</w:t>
      </w:r>
      <w:r w:rsidR="00BA68FC">
        <w:t>, among investors who cared less about seeing those projects to completion and more to sell off their securities at a high value</w:t>
      </w:r>
      <w:r w:rsidR="00D834E5">
        <w:t xml:space="preserve">, and this all became linked </w:t>
      </w:r>
      <w:r w:rsidR="00D824C3">
        <w:t>with western land speculation</w:t>
      </w:r>
      <w:r w:rsidR="00371728">
        <w:t>, provoked by the land rushes of New Englander settlers coming after their economic ruin of the Year Without a Summer</w:t>
      </w:r>
      <w:r w:rsidR="00D824C3">
        <w:t>. All this growth was based on the most unstable of all economic foundations, and that the nation lacked a central bank</w:t>
      </w:r>
      <w:r w:rsidR="00D824C3">
        <w:rPr>
          <w:rStyle w:val="EndnoteReference"/>
        </w:rPr>
        <w:endnoteReference w:id="45"/>
      </w:r>
      <w:r w:rsidR="00D824C3">
        <w:t xml:space="preserve"> meant it had no way of</w:t>
      </w:r>
      <w:r w:rsidR="00633147">
        <w:t xml:space="preserve"> controlling the speculation or otherwise</w:t>
      </w:r>
      <w:r w:rsidR="00D824C3">
        <w:t xml:space="preserve"> popping the bubble before it truly expanded. </w:t>
      </w:r>
    </w:p>
    <w:p w14:paraId="14AFC92D" w14:textId="43E5330E" w:rsidR="00C200DE" w:rsidRDefault="00C200DE" w:rsidP="00DD6A11">
      <w:r>
        <w:t>As such, come 1819, the foundations of economic prosperity were quite unstable indeed. It all unravelled come the failure of a series of far western banks</w:t>
      </w:r>
      <w:r w:rsidR="00E95A1E">
        <w:t xml:space="preserve">, whose </w:t>
      </w:r>
      <w:r w:rsidR="00A6129E">
        <w:t>business</w:t>
      </w:r>
      <w:r w:rsidR="00E95A1E">
        <w:t xml:space="preserve"> w</w:t>
      </w:r>
      <w:r w:rsidR="00A6129E">
        <w:t>as</w:t>
      </w:r>
      <w:r w:rsidR="00E95A1E">
        <w:t xml:space="preserve"> based on land </w:t>
      </w:r>
      <w:r w:rsidR="00E95A1E">
        <w:lastRenderedPageBreak/>
        <w:t>rushes that had since evaporated</w:t>
      </w:r>
      <w:r>
        <w:t>; this in turn sparked runs on other western banks</w:t>
      </w:r>
      <w:r w:rsidR="005130FB">
        <w:t xml:space="preserve"> which soon shut their doors</w:t>
      </w:r>
      <w:r>
        <w:t xml:space="preserve">, and </w:t>
      </w:r>
      <w:r w:rsidR="005130FB">
        <w:t>these failures</w:t>
      </w:r>
      <w:r>
        <w:t xml:space="preserve"> cascaded eastwards. </w:t>
      </w:r>
      <w:r w:rsidR="005130FB">
        <w:t xml:space="preserve">Westerners found their land suddenly the property of whoever bought them in bank liquidation sales. This pattern expanded eastwards, and it essentially became the state of the entire nation. </w:t>
      </w:r>
      <w:r w:rsidR="008D6C66">
        <w:t>Markets essentially</w:t>
      </w:r>
      <w:r w:rsidR="005130FB">
        <w:t xml:space="preserve"> </w:t>
      </w:r>
      <w:r w:rsidR="008D6C66">
        <w:t xml:space="preserve">ceased to exist, banknotes became worthless, and commerce ground to a halt. Suddenly, factories shuttered their doors, and their entire workforces simply migrated to the slums. The crisis was vast, and it was simply inescapable. In the South, this </w:t>
      </w:r>
      <w:proofErr w:type="gramStart"/>
      <w:r w:rsidR="008D6C66">
        <w:t>state of affairs</w:t>
      </w:r>
      <w:proofErr w:type="gramEnd"/>
      <w:r w:rsidR="008D6C66">
        <w:t xml:space="preserve"> achieved a bizarre and horrifying form: the expansion of banking in the region came in the form of plantation banks, which took slaves as collateral and had no assets aside from those slaves. The banks used this workforce of slaves to make a profit by making them work on plantations. The destruction of banks across the South meant the slaves, or else the plantations with them included, were suddenly sold off as part of bank liquidations. This suddenly reduced the price of the slave</w:t>
      </w:r>
      <w:r w:rsidR="00D955BB">
        <w:rPr>
          <w:rStyle w:val="EndnoteReference"/>
        </w:rPr>
        <w:endnoteReference w:id="46"/>
      </w:r>
      <w:r w:rsidR="00051A4B">
        <w:t xml:space="preserve">; given that a quite large portion of Southern wealth </w:t>
      </w:r>
      <w:r w:rsidR="00D955BB">
        <w:t>was simply</w:t>
      </w:r>
      <w:r w:rsidR="00051A4B">
        <w:t xml:space="preserve"> </w:t>
      </w:r>
      <w:r w:rsidR="00D955BB">
        <w:t>the price of the slave</w:t>
      </w:r>
      <w:r w:rsidR="00051A4B">
        <w:t xml:space="preserve">, this meant </w:t>
      </w:r>
      <w:r w:rsidR="00AC114C">
        <w:t xml:space="preserve">conditions verged on financial collapse. </w:t>
      </w:r>
      <w:r w:rsidR="00D955BB">
        <w:t xml:space="preserve">Additionally, this enabled the expansion of the slave labor economy, as the reduced price made it more viable than before; the slave economy expanded into western Virginia, as well as the Southwest. </w:t>
      </w:r>
    </w:p>
    <w:p w14:paraId="0314C19E" w14:textId="77777777" w:rsidR="005474B5" w:rsidRDefault="00FD1925" w:rsidP="00DD6A11">
      <w:r>
        <w:t>Yet, this economic collapse ended up being completely overshadowed in the coming election</w:t>
      </w:r>
      <w:r w:rsidR="007D1AA5">
        <w:t xml:space="preserve"> by the seemingly routine admission of Illinois into the union. The state having ended up settled by people from the Upper South, </w:t>
      </w:r>
      <w:r w:rsidR="00F36760">
        <w:t>it ended up being proslavery,</w:t>
      </w:r>
      <w:r w:rsidR="00A01D6F">
        <w:t xml:space="preserve"> and its desire to attract settlers coming from the Upper South</w:t>
      </w:r>
      <w:r w:rsidR="00F36760">
        <w:t xml:space="preserve"> </w:t>
      </w:r>
      <w:r w:rsidR="00A01D6F">
        <w:t>additionally motivated this</w:t>
      </w:r>
      <w:r w:rsidR="00F36760">
        <w:t xml:space="preserve"> </w:t>
      </w:r>
      <w:r w:rsidR="00A01D6F">
        <w:t>– such that</w:t>
      </w:r>
      <w:r w:rsidR="00F36760">
        <w:t xml:space="preserve"> when it was time to submit its constitution for admission, it included articles </w:t>
      </w:r>
      <w:r w:rsidR="00A01D6F">
        <w:t xml:space="preserve">legalizing slavery. </w:t>
      </w:r>
      <w:r w:rsidR="00F318B8">
        <w:t xml:space="preserve">This was despite the Northwest Ordinance of 1787 having </w:t>
      </w:r>
      <w:r w:rsidR="00056DCD">
        <w:t>barred slavery from the Middle West</w:t>
      </w:r>
      <w:r w:rsidR="002F00DD">
        <w:t xml:space="preserve">, although even this had been moderated by most politicians interpreting it as merely prohibiting the introduction of new slavery, </w:t>
      </w:r>
      <w:r w:rsidR="005F0ED6">
        <w:t>without touching</w:t>
      </w:r>
      <w:r w:rsidR="002F00DD">
        <w:t xml:space="preserve"> the existing slavery in the </w:t>
      </w:r>
      <w:r w:rsidR="0015044C">
        <w:t>region</w:t>
      </w:r>
      <w:r w:rsidR="00056DCD">
        <w:t xml:space="preserve">. </w:t>
      </w:r>
    </w:p>
    <w:p w14:paraId="7BAD6DC2" w14:textId="1D2BFCDF" w:rsidR="004F50AA" w:rsidRDefault="00D57161" w:rsidP="00DD6A11">
      <w:r>
        <w:lastRenderedPageBreak/>
        <w:t>For this reason, when in 1819 Illinois submitted its constitution to Congress as a preliminary to it issuing an act enabling its statehood, a New York Democrat, James Tallmadge Jr., made a motion to amend it requiring it to abolish slavery</w:t>
      </w:r>
      <w:r w:rsidR="00297469">
        <w:t>. Specifically, it mandated that no further slaves would be introduced, and that it would have to free all children of current slaves over the age of 25</w:t>
      </w:r>
      <w:r w:rsidR="00C53D84">
        <w:t>. By doing this, Tallmadge hoped to force the South to put the money where its mouth was and</w:t>
      </w:r>
      <w:r w:rsidR="005474B5">
        <w:t xml:space="preserve"> to do something to</w:t>
      </w:r>
      <w:r w:rsidR="00C53D84">
        <w:t xml:space="preserve"> support the end of the institution that it had long claimed to despise</w:t>
      </w:r>
      <w:r w:rsidR="00A26291">
        <w:t>. It was additionally intended to diminish the South’s influence in government; the three-fifths compromise having allowed Madison’s victory in 1816 over Burr</w:t>
      </w:r>
      <w:r w:rsidR="00417472">
        <w:t xml:space="preserve">, only </w:t>
      </w:r>
      <w:r w:rsidR="004367D0">
        <w:t>served</w:t>
      </w:r>
      <w:r w:rsidR="00417472">
        <w:t xml:space="preserve"> to escalate such talk</w:t>
      </w:r>
      <w:r>
        <w:t xml:space="preserve">. </w:t>
      </w:r>
      <w:r w:rsidR="00F05991">
        <w:t>I</w:t>
      </w:r>
      <w:r w:rsidR="00C467DC">
        <w:t>n the ensuing</w:t>
      </w:r>
      <w:r>
        <w:t xml:space="preserve"> frantic debate</w:t>
      </w:r>
      <w:r w:rsidR="00C467DC">
        <w:t>,</w:t>
      </w:r>
      <w:r>
        <w:t xml:space="preserve"> southern congressmen threatened to incite a civil war</w:t>
      </w:r>
      <w:r w:rsidR="00C467DC">
        <w:t>;</w:t>
      </w:r>
      <w:r>
        <w:t xml:space="preserve"> </w:t>
      </w:r>
      <w:r w:rsidR="00C467DC">
        <w:t>this amendment</w:t>
      </w:r>
      <w:r>
        <w:t xml:space="preserve"> ended up passing the House of Representative by </w:t>
      </w:r>
      <w:r w:rsidR="00F05991">
        <w:t>97-70; northern congressmen voted for it by 96-7, and southern congressmen against by 69-1</w:t>
      </w:r>
      <w:r w:rsidR="00297469">
        <w:t xml:space="preserve">. Submitted to the Senate, where the slave and free states had near-parity, it </w:t>
      </w:r>
      <w:r w:rsidR="00F05991">
        <w:t xml:space="preserve">ended up with a tie. This meant the decision devolved on the vice president DeWitt Clinton, who formally being the President of the Senate and empowered by the Constitution to break ties, voted for the Amendment. This then led to the </w:t>
      </w:r>
      <w:r w:rsidR="001C3A1D">
        <w:t>bill going to President Madison, who vetoed it, and in an adjoining message, he declared the idea of providing restrictions to states entering Congress to be unconstitutional.</w:t>
      </w:r>
      <w:r w:rsidR="00297469">
        <w:t xml:space="preserve"> </w:t>
      </w:r>
      <w:r w:rsidR="001C3A1D">
        <w:t>Before it could debate this bill further, c</w:t>
      </w:r>
      <w:r w:rsidR="00297469">
        <w:t>oming at the end of its session, Congress adjourned. Then the issue</w:t>
      </w:r>
      <w:r w:rsidR="00BA68FC">
        <w:t xml:space="preserve"> exited the halls of Congress – and all hell broke loose. </w:t>
      </w:r>
    </w:p>
    <w:p w14:paraId="7C712302" w14:textId="77777777" w:rsidR="00361FF9" w:rsidRDefault="00E1559D" w:rsidP="00BB58B5">
      <w:r>
        <w:t>Across the North, mass meetings organized to put pressure on congressmen for admitting Illinois</w:t>
      </w:r>
      <w:r w:rsidR="00037805">
        <w:t xml:space="preserve"> with restrictions on slavery</w:t>
      </w:r>
      <w:r w:rsidR="00EC20B9">
        <w:t>, despite the clear impossibility of overcoming Madison’s veto</w:t>
      </w:r>
      <w:r w:rsidR="00037805">
        <w:t>. These meetings not only included Northern Democrats, but also Northern Republicans who were otherwise</w:t>
      </w:r>
      <w:r w:rsidR="00252AB2">
        <w:t xml:space="preserve"> aligned with </w:t>
      </w:r>
      <w:r w:rsidR="00D66EFE">
        <w:t>Thomas Jefferson</w:t>
      </w:r>
      <w:r w:rsidR="00252AB2">
        <w:t xml:space="preserve">. It also included the Federalist remnant party. With near-unanimity, northern state legislatures called upon their congressional delegations to unendingly support restriction of slavery. Like few other things, the issue of slavery unified the North, in firm </w:t>
      </w:r>
      <w:r w:rsidR="00252AB2">
        <w:lastRenderedPageBreak/>
        <w:t xml:space="preserve">opposition to its expansion </w:t>
      </w:r>
      <w:r w:rsidR="00D66EFE">
        <w:t>westwards</w:t>
      </w:r>
      <w:r w:rsidR="00252AB2">
        <w:t>. Similarly, the South also became unified in support of Illinois</w:t>
      </w:r>
      <w:r w:rsidR="00F26BC3">
        <w:t>’ admission with no restrictions – that is, with slavery</w:t>
      </w:r>
      <w:r w:rsidR="002F1F13">
        <w:t xml:space="preserve"> intact</w:t>
      </w:r>
      <w:r w:rsidR="00252AB2">
        <w:t xml:space="preserve">. Indeed, </w:t>
      </w:r>
      <w:r w:rsidR="00A47183">
        <w:t xml:space="preserve">when President Madison tried to pass through some sort of compromise allowing for partial slave </w:t>
      </w:r>
      <w:r w:rsidR="00456E8E">
        <w:t>restriction</w:t>
      </w:r>
      <w:r w:rsidR="00A47183">
        <w:t xml:space="preserve">, several southern states, Virginia among them, threatened to dump him and support in the coming election someone more secure on the slavery issue. </w:t>
      </w:r>
    </w:p>
    <w:p w14:paraId="377D6AF0" w14:textId="49BD40F0" w:rsidR="00BB58B5" w:rsidRDefault="00A47183" w:rsidP="00BB58B5">
      <w:r>
        <w:t xml:space="preserve">Where this was shakier was in the West, where, despite a general opposition to slavery, southern commercial links and many settlers’ southern origins, many called for some sort of compromise to </w:t>
      </w:r>
      <w:r w:rsidR="00F1446E">
        <w:t>keep the sectional peace. There was a spectrum of difference on this – Ohio being well-settled by northerners by this point, firmly supported restriction, while Yazoo being well-settled by southerners and having an economy based on slavery, firmly supported the expansion of slavery – but in general the West was very much willing to compromise</w:t>
      </w:r>
      <w:r w:rsidR="00A24755">
        <w:t>. There was additional pro-compromise sentiment within the Lower North and the Upper South; however, this competed with considerable anti-compromise sentiment</w:t>
      </w:r>
      <w:r w:rsidR="00F1446E">
        <w:t>.</w:t>
      </w:r>
      <w:r w:rsidR="000F7BB8">
        <w:t xml:space="preserve"> And in Illinois itself, public opinion swiftly radicalized; figures like Ninian Edwards declared that not only would the territory fight against any condition for its admission, but also that, to protect its rights, it may even declare its independence from the United States.</w:t>
      </w:r>
      <w:r w:rsidR="00F1446E">
        <w:t xml:space="preserve"> </w:t>
      </w:r>
      <w:r w:rsidR="00BB58B5">
        <w:t>1819 additionally saw Aaron Burr make his political comeback on a platform of slavery restriction</w:t>
      </w:r>
      <w:r w:rsidR="008575F8">
        <w:t>,</w:t>
      </w:r>
      <w:r w:rsidR="00BB58B5">
        <w:t xml:space="preserve"> </w:t>
      </w:r>
      <w:r w:rsidR="0068439F">
        <w:t>winning</w:t>
      </w:r>
      <w:r w:rsidR="00BB58B5">
        <w:t xml:space="preserve"> election as the Governor of New York</w:t>
      </w:r>
      <w:r w:rsidR="00CE4623">
        <w:t xml:space="preserve"> over </w:t>
      </w:r>
      <w:r w:rsidR="001D16FC">
        <w:t>the incumbent Nathan Sanford, a cipher for Burr’s despised rival DeWitt Clinton</w:t>
      </w:r>
      <w:r w:rsidR="00BB58B5">
        <w:t xml:space="preserve">. </w:t>
      </w:r>
      <w:r w:rsidR="007762FF">
        <w:t xml:space="preserve">It demonstrated his willingness for the Democrats to become the party of slavery restriction. </w:t>
      </w:r>
    </w:p>
    <w:p w14:paraId="7A568DA6" w14:textId="77777777" w:rsidR="009F1494" w:rsidRDefault="00A24755" w:rsidP="007F57EC">
      <w:r>
        <w:t>By the time Congress met once again, the battle lines were drawn</w:t>
      </w:r>
      <w:r w:rsidR="00982FA5">
        <w:t xml:space="preserve"> in the sand</w:t>
      </w:r>
      <w:r>
        <w:t>. President Madison, very intent on a compromise, secured the support of Western Democrat</w:t>
      </w:r>
      <w:r w:rsidR="00023FBE">
        <w:t>ic congressman</w:t>
      </w:r>
      <w:r>
        <w:t xml:space="preserve"> Henry Clay to putting this issue to rest – but he failed</w:t>
      </w:r>
      <w:r w:rsidR="00B120BE">
        <w:t xml:space="preserve">. Attempts to divide away the issues of manumitting existing slaves from introducing new slaves to Illinois ended up falling flat on their </w:t>
      </w:r>
      <w:r w:rsidR="00B120BE">
        <w:lastRenderedPageBreak/>
        <w:t>face</w:t>
      </w:r>
      <w:r w:rsidR="004B772B">
        <w:t xml:space="preserve">; </w:t>
      </w:r>
      <w:proofErr w:type="gramStart"/>
      <w:r w:rsidR="004B772B">
        <w:t>so</w:t>
      </w:r>
      <w:proofErr w:type="gramEnd"/>
      <w:r w:rsidR="004B772B">
        <w:t xml:space="preserve"> did efforts to combine allowing Illinois to be admitted as a slave state with a more stringent slavery ban in the rest of the territories. </w:t>
      </w:r>
      <w:r w:rsidR="000F7BB8">
        <w:t xml:space="preserve">When Illinois’ territorial delegate to Congress, John Scott, threatened that if Illinois was admitted with additional conditions it would secede from the Union, most Northerners did not become willing to compromise but instead they </w:t>
      </w:r>
      <w:r w:rsidR="00CE4623">
        <w:t>decided</w:t>
      </w:r>
      <w:r w:rsidR="000F7BB8">
        <w:t xml:space="preserve"> to call his bluff. </w:t>
      </w:r>
      <w:r w:rsidR="00CE4623">
        <w:t>Despite this, such talk increased among southern congressmen, many of whom declared that</w:t>
      </w:r>
      <w:r w:rsidR="00285682">
        <w:t>, if Congress voted for restriction, they’d leave the union, and that if this impasse continued, it might be best for North and South to negotiate terms of disunion</w:t>
      </w:r>
      <w:r w:rsidR="009F1494">
        <w:t>.</w:t>
      </w:r>
      <w:r w:rsidR="00D83090">
        <w:t xml:space="preserve"> </w:t>
      </w:r>
    </w:p>
    <w:p w14:paraId="42A82E49" w14:textId="6BD3665E" w:rsidR="007F57EC" w:rsidRDefault="009F1494" w:rsidP="007F57EC">
      <w:r>
        <w:t>T</w:t>
      </w:r>
      <w:r w:rsidR="00802C33">
        <w:t xml:space="preserve">his talk not only came from </w:t>
      </w:r>
      <w:proofErr w:type="gramStart"/>
      <w:r w:rsidR="00802C33">
        <w:t>ultra</w:t>
      </w:r>
      <w:r w:rsidR="00E0168B">
        <w:t xml:space="preserve"> </w:t>
      </w:r>
      <w:r w:rsidR="00802C33">
        <w:t>Republicans</w:t>
      </w:r>
      <w:proofErr w:type="gramEnd"/>
      <w:r w:rsidR="00802C33">
        <w:t xml:space="preserve"> like John Randolph of Roanoke, but from more moderate voices as well</w:t>
      </w:r>
      <w:r w:rsidR="00D83090">
        <w:t>, whose fears of being dominated by a northern majority</w:t>
      </w:r>
      <w:r w:rsidR="00090DF3">
        <w:t xml:space="preserve"> resembled the emerging</w:t>
      </w:r>
      <w:r w:rsidR="00D83090">
        <w:t xml:space="preserve"> reality</w:t>
      </w:r>
      <w:r w:rsidR="000E1DD4">
        <w:rPr>
          <w:rStyle w:val="EndnoteReference"/>
        </w:rPr>
        <w:endnoteReference w:id="47"/>
      </w:r>
      <w:r w:rsidR="00285682">
        <w:t xml:space="preserve">. </w:t>
      </w:r>
      <w:r w:rsidR="00331E98">
        <w:t xml:space="preserve">This increasingly dangerous escalation of rhetoric brought some Northern Republicans towards mooting some sort of compromise, but it wasn’t enough to </w:t>
      </w:r>
      <w:r w:rsidR="00532CE7">
        <w:t>get</w:t>
      </w:r>
      <w:r w:rsidR="00331E98">
        <w:t xml:space="preserve"> a compromise through the intransigent House. </w:t>
      </w:r>
      <w:r w:rsidR="00532CE7">
        <w:t xml:space="preserve">All other talk came to an end; </w:t>
      </w:r>
      <w:r w:rsidR="00504DBE">
        <w:t>instead,</w:t>
      </w:r>
      <w:r w:rsidR="00532CE7">
        <w:t xml:space="preserve"> the House </w:t>
      </w:r>
      <w:r w:rsidR="00604A45">
        <w:t>simply</w:t>
      </w:r>
      <w:r w:rsidR="00532CE7">
        <w:t xml:space="preserve"> talked</w:t>
      </w:r>
      <w:r w:rsidR="003C6280">
        <w:t>.</w:t>
      </w:r>
      <w:r w:rsidR="00532CE7">
        <w:t xml:space="preserve"> </w:t>
      </w:r>
      <w:r w:rsidR="003C6280">
        <w:t>It</w:t>
      </w:r>
      <w:r w:rsidR="00532CE7">
        <w:t xml:space="preserve"> talked the issue of slavery expansion</w:t>
      </w:r>
      <w:r w:rsidR="00DB22DC">
        <w:t xml:space="preserve"> to death – death that, for the union, might come to be </w:t>
      </w:r>
      <w:r w:rsidR="00C31AD0">
        <w:t>most literal</w:t>
      </w:r>
      <w:r w:rsidR="00532CE7">
        <w:t xml:space="preserve">. </w:t>
      </w:r>
      <w:r w:rsidR="007F57EC">
        <w:t xml:space="preserve">It became increasingly clear that, coming into the election year of 1820, this issue would be </w:t>
      </w:r>
      <w:r w:rsidR="00F25055">
        <w:t>what</w:t>
      </w:r>
      <w:r w:rsidR="007F57EC">
        <w:t xml:space="preserve"> it would be fought over. </w:t>
      </w:r>
    </w:p>
    <w:p w14:paraId="0F644215" w14:textId="1447D91A" w:rsidR="009747C9" w:rsidRDefault="009747C9">
      <w:pPr>
        <w:spacing w:before="0" w:line="259" w:lineRule="auto"/>
        <w:ind w:firstLine="0"/>
      </w:pPr>
      <w:r>
        <w:br w:type="page"/>
      </w:r>
    </w:p>
    <w:p w14:paraId="23607A23" w14:textId="77777777" w:rsidR="009747C9" w:rsidRPr="00AF0D17" w:rsidRDefault="009747C9" w:rsidP="00DD6A11"/>
    <w:p w14:paraId="2C7C1C62" w14:textId="77777777" w:rsidR="005562F9" w:rsidRDefault="005562F9" w:rsidP="005562F9">
      <w:pPr>
        <w:sectPr w:rsidR="005562F9" w:rsidSect="005562F9">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3059A675" w14:textId="77777777" w:rsidR="005562F9" w:rsidRDefault="005562F9" w:rsidP="005562F9">
      <w:r>
        <w:br w:type="page"/>
      </w:r>
    </w:p>
    <w:p w14:paraId="7484B576" w14:textId="32A9E801" w:rsidR="005562F9" w:rsidRDefault="00FB055F" w:rsidP="00C91F77">
      <w:pPr>
        <w:pStyle w:val="Heading1"/>
      </w:pPr>
      <w:bookmarkStart w:id="10" w:name="_Toc202006207"/>
      <w:r>
        <w:lastRenderedPageBreak/>
        <w:t xml:space="preserve">8. </w:t>
      </w:r>
      <w:r w:rsidR="00AF0D17">
        <w:t>A Wilderness So Immense</w:t>
      </w:r>
      <w:bookmarkEnd w:id="10"/>
    </w:p>
    <w:p w14:paraId="5CC222C5" w14:textId="49A4BC92" w:rsidR="00AF0D17" w:rsidRDefault="00AF0D17" w:rsidP="00AF0D17">
      <w:r>
        <w:t xml:space="preserve">In 1800, half of the modern-day United States was under Spanish rule, in the form of the provinces of Luisiana and the </w:t>
      </w:r>
      <w:proofErr w:type="spellStart"/>
      <w:r>
        <w:t>Floridas</w:t>
      </w:r>
      <w:proofErr w:type="spellEnd"/>
      <w:r w:rsidR="000F17CB">
        <w:t>. It may be worth, therefore, to look at Spanish administration of these vast territories</w:t>
      </w:r>
      <w:r>
        <w:t>. Luisiana fell under Spanish rule in 1763,</w:t>
      </w:r>
      <w:r w:rsidR="000F17CB">
        <w:t xml:space="preserve"> ceded by the French in compensation for Spanish support in the Seven Years War. In contrast, the </w:t>
      </w:r>
      <w:proofErr w:type="spellStart"/>
      <w:r w:rsidR="000F17CB">
        <w:t>Floridas</w:t>
      </w:r>
      <w:proofErr w:type="spellEnd"/>
      <w:r w:rsidR="000F17CB">
        <w:t xml:space="preserve"> had been Spanish territory since 1513, aside from a brief British interlude from 1763 to 1783. </w:t>
      </w:r>
      <w:r w:rsidR="00450477">
        <w:t xml:space="preserve">Despite this, </w:t>
      </w:r>
      <w:r w:rsidR="00E254C0">
        <w:t>Spanish</w:t>
      </w:r>
      <w:r w:rsidR="00450477">
        <w:t xml:space="preserve"> rule over these </w:t>
      </w:r>
      <w:r w:rsidR="00E254C0">
        <w:t>provinces</w:t>
      </w:r>
      <w:r w:rsidR="00450477">
        <w:t xml:space="preserve"> </w:t>
      </w:r>
      <w:r w:rsidR="00E254C0">
        <w:t>was weak, and they served less as colon</w:t>
      </w:r>
      <w:r w:rsidR="00053478">
        <w:t>ies</w:t>
      </w:r>
      <w:r w:rsidR="00E254C0">
        <w:t xml:space="preserve"> </w:t>
      </w:r>
      <w:proofErr w:type="gramStart"/>
      <w:r w:rsidR="00E254C0">
        <w:t>in their own right and</w:t>
      </w:r>
      <w:proofErr w:type="gramEnd"/>
      <w:r w:rsidR="00E254C0">
        <w:t xml:space="preserve"> more as a buffer against</w:t>
      </w:r>
      <w:r w:rsidR="00F8380A">
        <w:t xml:space="preserve"> </w:t>
      </w:r>
      <w:r w:rsidR="00E254C0">
        <w:t>American</w:t>
      </w:r>
      <w:r w:rsidR="00F8380A">
        <w:t xml:space="preserve"> encroachment southwards</w:t>
      </w:r>
      <w:r w:rsidR="00E254C0">
        <w:t xml:space="preserve">. Luisiana was more French than it was Spanish, while the </w:t>
      </w:r>
      <w:proofErr w:type="spellStart"/>
      <w:r w:rsidR="00E254C0">
        <w:t>Floridas</w:t>
      </w:r>
      <w:proofErr w:type="spellEnd"/>
      <w:r w:rsidR="00E254C0">
        <w:t xml:space="preserve"> were more Seminole and Creek than it was Spanish; </w:t>
      </w:r>
      <w:r w:rsidR="00E3712C">
        <w:t>over both</w:t>
      </w:r>
      <w:r w:rsidR="00717A81">
        <w:t>,</w:t>
      </w:r>
      <w:r w:rsidR="00E3712C">
        <w:t xml:space="preserve"> </w:t>
      </w:r>
      <w:r w:rsidR="00E254C0">
        <w:t>Spanish control was more nominal than real</w:t>
      </w:r>
      <w:r w:rsidR="00540FF2">
        <w:t xml:space="preserve">, and close to nonexistent outside of several </w:t>
      </w:r>
      <w:r w:rsidR="00A0510B">
        <w:t xml:space="preserve">forts and </w:t>
      </w:r>
      <w:r w:rsidR="00540FF2">
        <w:t>settlements</w:t>
      </w:r>
      <w:r w:rsidR="00F56220">
        <w:rPr>
          <w:rStyle w:val="EndnoteReference"/>
        </w:rPr>
        <w:endnoteReference w:id="48"/>
      </w:r>
      <w:r w:rsidR="00E254C0">
        <w:t xml:space="preserve">. </w:t>
      </w:r>
    </w:p>
    <w:p w14:paraId="49898361" w14:textId="4804F9F3" w:rsidR="00E254C0" w:rsidRDefault="00E3712C" w:rsidP="00AF0D17">
      <w:r>
        <w:t xml:space="preserve">Plans to establish Spanish territory better in these territories entirely fell through thanks to </w:t>
      </w:r>
      <w:r w:rsidR="00BF627A">
        <w:t>the death of the capable, vigorous ruler of Spain, Charles III, in 1788; his successor, Charles IV, was very much not that</w:t>
      </w:r>
      <w:r w:rsidR="00C64404">
        <w:t>, and instead he contented himself with living as a wealthy do-nothing aristocrat</w:t>
      </w:r>
      <w:r w:rsidR="00BF627A">
        <w:t xml:space="preserve">. Administration of Spain ended up dominated by his wife’s lover, Manuel de Godoy, and he </w:t>
      </w:r>
      <w:r w:rsidR="008465D6">
        <w:t>ended up</w:t>
      </w:r>
      <w:r w:rsidR="00BF627A">
        <w:t xml:space="preserve"> a corrupt, incapable man. </w:t>
      </w:r>
      <w:r w:rsidR="00717A81">
        <w:t xml:space="preserve">The outbreak of the French Revolution </w:t>
      </w:r>
      <w:r w:rsidR="005B58B9">
        <w:t xml:space="preserve">turned </w:t>
      </w:r>
      <w:r w:rsidR="00717A81">
        <w:t>Spain’s close ally</w:t>
      </w:r>
      <w:r w:rsidR="008E2695">
        <w:t xml:space="preserve"> into its enemy, and the execution of the king’s royal cousins</w:t>
      </w:r>
      <w:r w:rsidR="00717A81">
        <w:t xml:space="preserve"> brought Spain to war with the French Republic in 1793</w:t>
      </w:r>
      <w:r w:rsidR="00925725">
        <w:t>. T</w:t>
      </w:r>
      <w:r w:rsidR="00717A81">
        <w:t>he ensuing War of the Pyrenees was extremely brutal</w:t>
      </w:r>
      <w:r w:rsidR="007B2359">
        <w:t>, and Spain was faced with oblivion</w:t>
      </w:r>
      <w:r w:rsidR="00717A81">
        <w:t xml:space="preserve">. In an act that may have saved Spain from destruction, in 1795 </w:t>
      </w:r>
      <w:r w:rsidR="008B67DE">
        <w:t>Godoy</w:t>
      </w:r>
      <w:r w:rsidR="00717A81">
        <w:t xml:space="preserve"> signed a peace with France; the following year, </w:t>
      </w:r>
      <w:r w:rsidR="008B67DE">
        <w:t>Spain</w:t>
      </w:r>
      <w:r w:rsidR="00717A81">
        <w:t xml:space="preserve"> joined the War of the French Revolution, on the side of France</w:t>
      </w:r>
      <w:r w:rsidR="003A455F">
        <w:t>, which brought the people who had killed the heads of the House of Bourbon with the remainder of the House of Bourbon</w:t>
      </w:r>
      <w:r w:rsidR="00717A81">
        <w:t xml:space="preserve">. The ensuing war saw British encroachment on Spain’s colonial </w:t>
      </w:r>
      <w:r w:rsidR="00717A81">
        <w:lastRenderedPageBreak/>
        <w:t>empire</w:t>
      </w:r>
      <w:r w:rsidR="00176F5B">
        <w:t>, most famously over Platina</w:t>
      </w:r>
      <w:r w:rsidR="00717A81">
        <w:t xml:space="preserve">, but </w:t>
      </w:r>
      <w:r w:rsidR="00176F5B">
        <w:t>it</w:t>
      </w:r>
      <w:r w:rsidR="00717A81">
        <w:t xml:space="preserve"> notably did not include a reconquest of Florida or claims over Luisiana; when peace came in 1804, the British did not touch either territory</w:t>
      </w:r>
      <w:r w:rsidR="00E029D6">
        <w:rPr>
          <w:rStyle w:val="EndnoteReference"/>
        </w:rPr>
        <w:endnoteReference w:id="49"/>
      </w:r>
      <w:r w:rsidR="00717A81">
        <w:t xml:space="preserve">. </w:t>
      </w:r>
    </w:p>
    <w:p w14:paraId="5E51EA79" w14:textId="70938412" w:rsidR="00DC075D" w:rsidRDefault="00B04289" w:rsidP="00AF0D17">
      <w:r>
        <w:t xml:space="preserve">By this time, however, there was also </w:t>
      </w:r>
      <w:r w:rsidR="00F64601">
        <w:t xml:space="preserve">growing American encroachment on the border. Settlement of Kentucky, Tennessee, Yazoo, and Mississippi increased at rate far greater than Luisiana’s and the </w:t>
      </w:r>
      <w:proofErr w:type="spellStart"/>
      <w:r w:rsidR="00F64601">
        <w:t>Floridas</w:t>
      </w:r>
      <w:proofErr w:type="spellEnd"/>
      <w:r w:rsidR="00F64601">
        <w:t xml:space="preserve">’ population growth. Increasingly, the Spanish feared these settlers having designs on their territories, and </w:t>
      </w:r>
      <w:r w:rsidR="00FF5DEC">
        <w:t>in all truth</w:t>
      </w:r>
      <w:r w:rsidR="00F64601">
        <w:t>, many of them did. By the Treaty of San Lorenzo (1795), Americans had a right to deposit their goods at New Orleans for reshipment, and this allowed the Mississippi, whose mouth was entirely under Spanish control, to become an important artery of the American commercial system. Coming with this was a smattering of American settlers</w:t>
      </w:r>
      <w:r w:rsidR="00540FF2">
        <w:t>, most famously Daniel Boone of Kentucky, and Spain tried, with middling success, to Catholicize them and make them loyal to the Spanish</w:t>
      </w:r>
      <w:r w:rsidR="0024108B">
        <w:t>. That the existing settler</w:t>
      </w:r>
      <w:r w:rsidR="00CE0A73">
        <w:t>s</w:t>
      </w:r>
      <w:r w:rsidR="0024108B">
        <w:t xml:space="preserve"> of these colonies, between the large slave and free Colored </w:t>
      </w:r>
      <w:r w:rsidR="00CE0A73">
        <w:t xml:space="preserve">populations, the Minorcans who had arrived </w:t>
      </w:r>
      <w:proofErr w:type="gramStart"/>
      <w:r w:rsidR="00CE0A73">
        <w:t>to</w:t>
      </w:r>
      <w:proofErr w:type="gramEnd"/>
      <w:r w:rsidR="00CE0A73">
        <w:t xml:space="preserve"> the </w:t>
      </w:r>
      <w:proofErr w:type="spellStart"/>
      <w:r w:rsidR="00CE0A73">
        <w:t>Floridas</w:t>
      </w:r>
      <w:proofErr w:type="spellEnd"/>
      <w:r w:rsidR="00CE0A73">
        <w:t xml:space="preserve"> in British times</w:t>
      </w:r>
      <w:r w:rsidR="005F6BA0">
        <w:t>, or the famous Creoles around New Orleans</w:t>
      </w:r>
      <w:r w:rsidR="00CE0A73">
        <w:t xml:space="preserve">, </w:t>
      </w:r>
      <w:r w:rsidR="000F48DD">
        <w:t>could hardly be said to be unified under Spanish</w:t>
      </w:r>
      <w:r w:rsidR="008A6531">
        <w:t xml:space="preserve"> authority, only worsened the stability of Spanish rule</w:t>
      </w:r>
      <w:r w:rsidR="005304BE">
        <w:t>, and it only</w:t>
      </w:r>
      <w:r w:rsidR="008A6531">
        <w:t xml:space="preserve"> </w:t>
      </w:r>
      <w:r w:rsidR="005304BE">
        <w:t>ensured that</w:t>
      </w:r>
      <w:r w:rsidR="008A6531">
        <w:t xml:space="preserve"> this</w:t>
      </w:r>
      <w:r w:rsidR="005304BE">
        <w:t xml:space="preserve"> became Spain’s</w:t>
      </w:r>
      <w:r w:rsidR="008A6531">
        <w:t xml:space="preserve"> border country</w:t>
      </w:r>
      <w:r w:rsidR="00540FF2">
        <w:t xml:space="preserve">. </w:t>
      </w:r>
      <w:r w:rsidR="00DC075D">
        <w:t xml:space="preserve">Additionally came the Lewis expedition of 1803, which sought to lay a claim of discovery over the Pacific by crossing Spanish Luisiana, albeit over St. Louis, through modern-day </w:t>
      </w:r>
      <w:proofErr w:type="spellStart"/>
      <w:r w:rsidR="00DC075D">
        <w:t>Minasota</w:t>
      </w:r>
      <w:proofErr w:type="spellEnd"/>
      <w:r w:rsidR="00DC075D">
        <w:t>. Fearing this encroachment, the Spanish sent several counter-expeditions to capture them</w:t>
      </w:r>
      <w:r w:rsidR="007A13BC">
        <w:t>, although from there Spanish records stop</w:t>
      </w:r>
      <w:r w:rsidR="00DC075D">
        <w:t>; the</w:t>
      </w:r>
      <w:r w:rsidR="007A13BC">
        <w:t>y may very well have been guilty for the</w:t>
      </w:r>
      <w:r w:rsidR="00DC075D">
        <w:t xml:space="preserve"> disappearance of the Lewis expedition, or</w:t>
      </w:r>
      <w:r w:rsidR="00AB2702">
        <w:t xml:space="preserve"> it may have been that they </w:t>
      </w:r>
      <w:r w:rsidR="00AB2702">
        <w:t>got on the bad side of</w:t>
      </w:r>
      <w:r w:rsidR="00DC075D">
        <w:t xml:space="preserve"> an Indigenous tribe</w:t>
      </w:r>
      <w:r w:rsidR="00427406">
        <w:t>, but either way it demonstrated</w:t>
      </w:r>
      <w:r w:rsidR="00530846">
        <w:t xml:space="preserve"> that the United States did not respect Spanish control of Luisiana and Florida, and that it simply awaited the day they’d fall from Spanish rule like fruits from a tree</w:t>
      </w:r>
      <w:r w:rsidR="00DC075D">
        <w:t xml:space="preserve">. </w:t>
      </w:r>
    </w:p>
    <w:p w14:paraId="752B4E67" w14:textId="02196838" w:rsidR="00524271" w:rsidRDefault="00530846" w:rsidP="00524271">
      <w:r>
        <w:lastRenderedPageBreak/>
        <w:t>This threat</w:t>
      </w:r>
      <w:r w:rsidR="00F75668">
        <w:t xml:space="preserve"> </w:t>
      </w:r>
      <w:r>
        <w:t>to Spanish rule</w:t>
      </w:r>
      <w:r w:rsidR="00F75668">
        <w:t xml:space="preserve"> served as the impetus of a program of fort construction up the Mississippi border. It additionally constructed forts along the Missouri River, which on its north end was facing encroachment by a British colonial project, the Red River Colony</w:t>
      </w:r>
      <w:r w:rsidR="00F75668">
        <w:rPr>
          <w:rStyle w:val="EndnoteReference"/>
        </w:rPr>
        <w:endnoteReference w:id="50"/>
      </w:r>
      <w:r w:rsidR="00F75668">
        <w:t xml:space="preserve">. </w:t>
      </w:r>
      <w:r w:rsidR="00CA6B72">
        <w:t>More impactful would be</w:t>
      </w:r>
      <w:r w:rsidR="00D21B45">
        <w:t xml:space="preserve"> a plan to settle the territory. Aside from a small number of Canarians settled in the 1770s, the Spanish hadn’t sent many settlers into the region; French settlers in the south of Luisiana and around St. Louis continued to dominate the settler population</w:t>
      </w:r>
      <w:r w:rsidR="00935A30">
        <w:t xml:space="preserve"> of Luisiana</w:t>
      </w:r>
      <w:r w:rsidR="00D21B45">
        <w:t>. However, beginning in 1807, the Spanish organized waves of settlements, posting immigration agents in southern Germany, southern Italy, and Spain itself; entirely Catholic, they hoped they would reinforce Spanish rule</w:t>
      </w:r>
      <w:r w:rsidR="009048F4">
        <w:t xml:space="preserve"> and ultimately integrate into Spanish Caribbean culture</w:t>
      </w:r>
      <w:r w:rsidR="00D21B45">
        <w:t xml:space="preserve">. In total, this consisted of an estimated 30,000 people, and they were sent either to southern Luisiana or to the area around St. Louis, which meant they reinforced existing settlements rather than creating new ones. </w:t>
      </w:r>
      <w:r w:rsidR="00524271">
        <w:t xml:space="preserve">Despite this, they helped create a market for goods, which resulted in fur trappers organizing into the interior. </w:t>
      </w:r>
      <w:r w:rsidR="000F149B">
        <w:t>This also helped to establish trading links between Santa Fe in the Internal Provinces and St. Louis, including the paving of the so-called Santa Fe Trail</w:t>
      </w:r>
      <w:r w:rsidR="00CF52AE">
        <w:t>;</w:t>
      </w:r>
      <w:r w:rsidR="00A107F6">
        <w:t xml:space="preserve"> though Spanish rule in the Internal Provinces could hardly be said to be firm, dependent on paying tribute to the fearsome horse-riding Comanche</w:t>
      </w:r>
      <w:r w:rsidR="00392A5F">
        <w:t xml:space="preserve">, and with a settler population so isolated they may as well have been on the moon; these new trade routes allowed </w:t>
      </w:r>
      <w:r w:rsidR="00B22200">
        <w:t>for a</w:t>
      </w:r>
      <w:r w:rsidR="00734D1F">
        <w:t xml:space="preserve"> commercial boom</w:t>
      </w:r>
      <w:r w:rsidR="000F149B">
        <w:t xml:space="preserve">. </w:t>
      </w:r>
    </w:p>
    <w:p w14:paraId="0A131D7D" w14:textId="29DF0EDE" w:rsidR="00833C00" w:rsidRDefault="00524271" w:rsidP="00024DEC">
      <w:r>
        <w:t xml:space="preserve">This came </w:t>
      </w:r>
      <w:proofErr w:type="gramStart"/>
      <w:r>
        <w:t>hand-in-hand</w:t>
      </w:r>
      <w:proofErr w:type="gramEnd"/>
      <w:r>
        <w:t xml:space="preserve"> with a more comprehensive program of economic growth. Luisiana and the </w:t>
      </w:r>
      <w:proofErr w:type="spellStart"/>
      <w:r>
        <w:t>Floridas</w:t>
      </w:r>
      <w:proofErr w:type="spellEnd"/>
      <w:r>
        <w:t xml:space="preserve"> had long been economically tied with the Caribbean, and this meant their settler economies were deeply tied with the institution of slavery. In particular, New Orleans represented something of a late survival of the French West Indies prior to slavery, complete with a large class of free </w:t>
      </w:r>
      <w:r w:rsidR="00130374">
        <w:t>people</w:t>
      </w:r>
      <w:r>
        <w:t xml:space="preserve"> of color who owned slaves themselves</w:t>
      </w:r>
      <w:r w:rsidR="009D1FE3">
        <w:t>, and an economy heavily based around sugar plantations</w:t>
      </w:r>
      <w:r>
        <w:t xml:space="preserve">. </w:t>
      </w:r>
      <w:r w:rsidR="009D1FE3">
        <w:t xml:space="preserve">In the era between 1800 and 1823, the Spanish began a program of expanding slavery-based plantations across Luisiana, up the Mississippi, into the </w:t>
      </w:r>
      <w:proofErr w:type="spellStart"/>
      <w:r w:rsidR="00CC7808">
        <w:t>Arcansa</w:t>
      </w:r>
      <w:proofErr w:type="spellEnd"/>
      <w:r w:rsidR="009D1FE3">
        <w:t xml:space="preserve"> River, and into the region of </w:t>
      </w:r>
      <w:r w:rsidR="009D1FE3">
        <w:lastRenderedPageBreak/>
        <w:t>modern-day Missouri.</w:t>
      </w:r>
      <w:r w:rsidR="00BD7103">
        <w:t xml:space="preserve"> This additionally saw an expansion of the slave trade; already quite a prominent part of the Spanish colonial empire, particularly in Cuba, slave ships now made their way up the Mississippi to supply plantations with new hands</w:t>
      </w:r>
      <w:r w:rsidR="008D58BB">
        <w:t>. A legacy remains in that the Colored people across the Mississippi were able to keep more of their West African cultural practices</w:t>
      </w:r>
      <w:r w:rsidR="00BD7103">
        <w:t xml:space="preserve">. </w:t>
      </w:r>
      <w:r w:rsidR="008D58BB">
        <w:t>Additionally, t</w:t>
      </w:r>
      <w:r w:rsidR="00A97A0B">
        <w:t xml:space="preserve">hough initially these new plantations dealt with sugar, it did not take long for them to diversify. The cotton economy of Mexico fed into industrialization in Spain proper, particularly in Catalonia, as they fed its textile looms; given the success of cotton in the United States, Spanish authorities quickly sought to replicate it, and bringing cotton northwards from </w:t>
      </w:r>
      <w:r w:rsidR="00D23F8F">
        <w:t xml:space="preserve">Mexico, along the </w:t>
      </w:r>
      <w:proofErr w:type="spellStart"/>
      <w:r w:rsidR="00CC7808">
        <w:t>Arcansa</w:t>
      </w:r>
      <w:proofErr w:type="spellEnd"/>
      <w:r w:rsidR="00D23F8F">
        <w:t xml:space="preserve"> and Missouri Rivers, they did. Most of these plantations were owned by a few large landowners, many of them absentee and preferring to live either in New Orleans or in Cuba</w:t>
      </w:r>
      <w:r w:rsidR="00BD7A7B">
        <w:t>; bizarrely, it ended up that the overseers of these plantations were Americans who crossed the Mississippi</w:t>
      </w:r>
      <w:r w:rsidR="00A44C34">
        <w:t>.</w:t>
      </w:r>
      <w:r w:rsidR="00D23F8F">
        <w:t xml:space="preserve"> </w:t>
      </w:r>
    </w:p>
    <w:p w14:paraId="74CB0E59" w14:textId="43B566D4" w:rsidR="00024DEC" w:rsidRDefault="00A44C34" w:rsidP="00024DEC">
      <w:r>
        <w:t>T</w:t>
      </w:r>
      <w:r w:rsidR="00D23F8F">
        <w:t>his created something of a rivalry between them and the European settlers</w:t>
      </w:r>
      <w:r>
        <w:t xml:space="preserve">; in particular, </w:t>
      </w:r>
      <w:r w:rsidR="00474D3E">
        <w:t xml:space="preserve">it was </w:t>
      </w:r>
      <w:r w:rsidR="00D0316D">
        <w:t>at</w:t>
      </w:r>
      <w:r w:rsidR="00474D3E">
        <w:t xml:space="preserve"> this time </w:t>
      </w:r>
      <w:r>
        <w:t xml:space="preserve">that modern-day Missouri saw both large-scale European </w:t>
      </w:r>
      <w:proofErr w:type="gramStart"/>
      <w:r>
        <w:t>settlement</w:t>
      </w:r>
      <w:proofErr w:type="gramEnd"/>
      <w:r>
        <w:t xml:space="preserve"> creating a smallholder class, and the rise of several absentee plantations so profitable that it made slaves too expensive for the </w:t>
      </w:r>
      <w:r w:rsidR="006E771B">
        <w:t>smallholder. Together, this</w:t>
      </w:r>
      <w:r>
        <w:t xml:space="preserve"> </w:t>
      </w:r>
      <w:r w:rsidR="006E771B">
        <w:t>created</w:t>
      </w:r>
      <w:r>
        <w:t xml:space="preserve"> a </w:t>
      </w:r>
      <w:r w:rsidR="006E771B">
        <w:t xml:space="preserve">quite stark </w:t>
      </w:r>
      <w:r>
        <w:t>division between free labor and slavery</w:t>
      </w:r>
      <w:r w:rsidR="00FF1C51">
        <w:t xml:space="preserve">, </w:t>
      </w:r>
      <w:r w:rsidR="00C16618">
        <w:t>and this</w:t>
      </w:r>
      <w:r w:rsidR="00FF1C51">
        <w:t xml:space="preserve"> shaped the values of</w:t>
      </w:r>
      <w:r w:rsidR="00C16618">
        <w:t xml:space="preserve"> the burgeoning society west of the Mississippi</w:t>
      </w:r>
      <w:r w:rsidR="006C6E28">
        <w:t xml:space="preserve"> – and the duel between competing economic systems which forever shaped American society</w:t>
      </w:r>
      <w:r w:rsidR="00D23F8F">
        <w:t xml:space="preserve">. Economic growth in the </w:t>
      </w:r>
      <w:proofErr w:type="spellStart"/>
      <w:r w:rsidR="00D23F8F">
        <w:t>Floridas</w:t>
      </w:r>
      <w:proofErr w:type="spellEnd"/>
      <w:r w:rsidR="00D23F8F">
        <w:t xml:space="preserve"> was somewhat more tepid, although the flight of the Red Stick faction of the Creek southwards after their defeat by both American and official Creek forces</w:t>
      </w:r>
      <w:r w:rsidR="00C509E3">
        <w:t>,</w:t>
      </w:r>
      <w:r w:rsidR="00D23F8F">
        <w:t xml:space="preserve"> </w:t>
      </w:r>
      <w:r w:rsidR="00C509E3">
        <w:t>strengthened Spanish control over and ties with Indigenous tribes</w:t>
      </w:r>
      <w:r w:rsidR="00D23F8F">
        <w:t xml:space="preserve">. To the extent there was economic expansion, it came in the form of cattle ranching, to feed the large booming population of Cuba, and most of this </w:t>
      </w:r>
      <w:r w:rsidR="002B5455">
        <w:t>economic activity emerged</w:t>
      </w:r>
      <w:r w:rsidR="00D23F8F">
        <w:t xml:space="preserve"> either along the coasts or in the north of West Florida</w:t>
      </w:r>
      <w:r w:rsidR="008C397B">
        <w:t xml:space="preserve">. Attempts to </w:t>
      </w:r>
      <w:r w:rsidR="008C397B">
        <w:lastRenderedPageBreak/>
        <w:t>spread cattle into the interior largely failed</w:t>
      </w:r>
      <w:r w:rsidR="00D23F8F">
        <w:t xml:space="preserve"> </w:t>
      </w:r>
      <w:r w:rsidR="008C397B">
        <w:t>because</w:t>
      </w:r>
      <w:r w:rsidR="00D23F8F">
        <w:t xml:space="preserve"> of the Seminole presence in most of the peninsula</w:t>
      </w:r>
      <w:r w:rsidR="007F2409">
        <w:t>, and Spain’s bad relations with them</w:t>
      </w:r>
      <w:r w:rsidR="00D23F8F">
        <w:t xml:space="preserve">. </w:t>
      </w:r>
    </w:p>
    <w:p w14:paraId="08B6A4E9" w14:textId="263EFC8F" w:rsidR="007F2409" w:rsidRDefault="007F2409" w:rsidP="00024DEC">
      <w:r>
        <w:t>Additionally, the expansion of slave trading over much of southern Luisiana led to slave-trading across the border with the US, a way to get around its ban on slave trading. Burr and Madison being both firmly opposed to the Atlantic slave trade, they sent patrols along the Mississippi to prevent this; however, they did not have enough ships to shut it down</w:t>
      </w:r>
      <w:r w:rsidR="003D5287">
        <w:t>, as all erstwhile slave traders had to do was wait for them to pass</w:t>
      </w:r>
      <w:r w:rsidR="00C430F0">
        <w:t>, and then</w:t>
      </w:r>
      <w:r w:rsidR="001C7300">
        <w:t xml:space="preserve"> they could simply</w:t>
      </w:r>
      <w:r w:rsidR="00C430F0">
        <w:t xml:space="preserve"> make their way across</w:t>
      </w:r>
      <w:r w:rsidR="003D5287">
        <w:t>.</w:t>
      </w:r>
      <w:r>
        <w:t xml:space="preserve"> </w:t>
      </w:r>
      <w:r w:rsidR="003D5287">
        <w:t>T</w:t>
      </w:r>
      <w:r>
        <w:t>his helped slavery to expand on</w:t>
      </w:r>
      <w:r w:rsidR="00535295">
        <w:t xml:space="preserve"> not only the Spanish, but also</w:t>
      </w:r>
      <w:r>
        <w:t xml:space="preserve"> the American side. </w:t>
      </w:r>
      <w:r w:rsidR="00003101">
        <w:t>The Mississippi was not yet the great slave river of the Americas, but it was on its way there</w:t>
      </w:r>
      <w:r w:rsidR="00623A33">
        <w:t>. I</w:t>
      </w:r>
      <w:r w:rsidR="00515117">
        <w:t>ndeed</w:t>
      </w:r>
      <w:r w:rsidR="00623A33">
        <w:t>,</w:t>
      </w:r>
      <w:r w:rsidR="00515117">
        <w:t xml:space="preserve"> it was thanks to this that the </w:t>
      </w:r>
      <w:r w:rsidR="000C63EB">
        <w:t>west</w:t>
      </w:r>
      <w:r w:rsidR="00EB5679">
        <w:t xml:space="preserve"> of Kentucky and Tennessee became the most strongly pro</w:t>
      </w:r>
      <w:r w:rsidR="0001432D">
        <w:t>-</w:t>
      </w:r>
      <w:r w:rsidR="00EB5679">
        <w:t>slave</w:t>
      </w:r>
      <w:r w:rsidR="0001432D">
        <w:t>ry</w:t>
      </w:r>
      <w:r w:rsidR="00EB5679">
        <w:t xml:space="preserve"> area of </w:t>
      </w:r>
      <w:r w:rsidR="0001432D">
        <w:t>those states</w:t>
      </w:r>
      <w:r w:rsidR="00623A33">
        <w:t xml:space="preserve">, as from the very outset of settlement slavery </w:t>
      </w:r>
      <w:r w:rsidR="000F16DC">
        <w:t>was at the very heart of the economy and the feudal plantation the very basis of settlement</w:t>
      </w:r>
      <w:r w:rsidR="00003101">
        <w:t xml:space="preserve">. </w:t>
      </w:r>
      <w:r w:rsidR="001272D1">
        <w:t>This also dramatically strengthened the position of</w:t>
      </w:r>
      <w:r w:rsidR="00FE1D16">
        <w:t xml:space="preserve"> slavery within Illinois</w:t>
      </w:r>
      <w:r w:rsidR="008C095A">
        <w:t xml:space="preserve">; undoubtedly, this had a massive impact on the United States come the Liberty and Union War. </w:t>
      </w:r>
    </w:p>
    <w:p w14:paraId="1D0F6FB4" w14:textId="6ADC9CDD" w:rsidR="009511A3" w:rsidRDefault="009511A3" w:rsidP="00024DEC">
      <w:r>
        <w:t xml:space="preserve">With the death of Charles IV in 1822, his son became King Ferdinand VII. </w:t>
      </w:r>
      <w:r w:rsidR="00454E73">
        <w:t>Despising his parents and the corrupt court around them, he got to work purging</w:t>
      </w:r>
      <w:r w:rsidR="00402BA0">
        <w:t xml:space="preserve"> their appointees. Manuel de Godoy found himself forced to flee into</w:t>
      </w:r>
      <w:r w:rsidR="00340D7F">
        <w:t xml:space="preserve"> France, and </w:t>
      </w:r>
      <w:r w:rsidR="001C5559">
        <w:t xml:space="preserve">Spanish administration </w:t>
      </w:r>
      <w:r w:rsidR="00C8692E">
        <w:t>became more vigorous</w:t>
      </w:r>
      <w:r w:rsidR="00301871">
        <w:t xml:space="preserve"> – hardly a </w:t>
      </w:r>
      <w:r w:rsidR="00C8692E">
        <w:t xml:space="preserve">transformation towards constitutional reform, but </w:t>
      </w:r>
      <w:r w:rsidR="005323CA">
        <w:t>rather a sort of modernized autocracy</w:t>
      </w:r>
      <w:r w:rsidR="001C5559">
        <w:t xml:space="preserve">. </w:t>
      </w:r>
      <w:r w:rsidR="008C2F66">
        <w:t xml:space="preserve">To Luisiana, </w:t>
      </w:r>
      <w:r w:rsidR="000711CF">
        <w:t>his new administrators now sought to make their mark, and they did this through new settlement plans</w:t>
      </w:r>
      <w:r w:rsidR="000755E6">
        <w:t>. As famine broke out in Europe over the 1820s, the Spanish saw this as an opportunity</w:t>
      </w:r>
      <w:r w:rsidR="00C957D3">
        <w:t xml:space="preserve"> to strengthen their </w:t>
      </w:r>
      <w:r w:rsidR="00B70BAE">
        <w:t>buffer against the United States</w:t>
      </w:r>
      <w:r w:rsidR="000755E6">
        <w:t>, and they then</w:t>
      </w:r>
      <w:r w:rsidR="00E7300E">
        <w:t xml:space="preserve"> sent immigration agents to </w:t>
      </w:r>
      <w:r w:rsidR="00F03365">
        <w:t xml:space="preserve">southern Germany, southern Italy, and Ireland to attract immigrants. </w:t>
      </w:r>
      <w:r w:rsidR="00BD47A7">
        <w:t xml:space="preserve">Most of these were sent to </w:t>
      </w:r>
      <w:r w:rsidR="00DB296B">
        <w:t>Luisiana, about evenly divided between Upper and Lower Luisiana</w:t>
      </w:r>
      <w:r w:rsidR="00773D78">
        <w:t xml:space="preserve"> and quite impactful for </w:t>
      </w:r>
      <w:r w:rsidR="00773D78">
        <w:lastRenderedPageBreak/>
        <w:t>the former</w:t>
      </w:r>
      <w:r w:rsidR="00DB296B">
        <w:t xml:space="preserve">, while </w:t>
      </w:r>
      <w:r w:rsidR="00C957D3">
        <w:t>a sizeable minority of them were sent to Texa</w:t>
      </w:r>
      <w:r w:rsidR="001C2C6F">
        <w:t xml:space="preserve">s, which represented </w:t>
      </w:r>
      <w:r w:rsidR="001F0349">
        <w:t xml:space="preserve">the beginning of efforts to use that as a buffer. </w:t>
      </w:r>
      <w:r w:rsidR="00833C00">
        <w:t>This in turn increased</w:t>
      </w:r>
      <w:r w:rsidR="00834857">
        <w:t xml:space="preserve"> </w:t>
      </w:r>
      <w:r w:rsidR="009151D2">
        <w:t>commerce with the United States over the Mississippi</w:t>
      </w:r>
      <w:r w:rsidR="00AA78ED">
        <w:t>; this, as well as</w:t>
      </w:r>
      <w:r w:rsidR="009151D2">
        <w:t xml:space="preserve"> that many of these new migrants felt little Spanish identity</w:t>
      </w:r>
      <w:r w:rsidR="00AA78ED">
        <w:t>,</w:t>
      </w:r>
      <w:r w:rsidR="009151D2">
        <w:t xml:space="preserve"> additionally made </w:t>
      </w:r>
      <w:r w:rsidR="00AA78ED">
        <w:t xml:space="preserve">Luisiana a tempting target to </w:t>
      </w:r>
      <w:r w:rsidR="00CF6B57">
        <w:t xml:space="preserve">the United States. </w:t>
      </w:r>
      <w:r w:rsidR="00196AF3">
        <w:t xml:space="preserve">Across the Mississippi, freebooter schemes emerged, commercial interests eagerly anticipated the swallowing of the mouth, and </w:t>
      </w:r>
      <w:r w:rsidR="00BA2A60">
        <w:t>history would be made</w:t>
      </w:r>
    </w:p>
    <w:p w14:paraId="6D636746" w14:textId="40032131" w:rsidR="001272D1" w:rsidRDefault="001272D1">
      <w:pPr>
        <w:spacing w:before="0" w:line="259" w:lineRule="auto"/>
        <w:ind w:firstLine="0"/>
      </w:pPr>
    </w:p>
    <w:p w14:paraId="3BF66024" w14:textId="6C7F992E" w:rsidR="00737EFC" w:rsidRDefault="00737EFC" w:rsidP="00737EFC">
      <w:pPr>
        <w:pStyle w:val="Caption"/>
      </w:pPr>
      <w:bookmarkStart w:id="11" w:name="_Toc202006260"/>
      <w:r>
        <w:t xml:space="preserve">Figure </w:t>
      </w:r>
      <w:fldSimple w:instr=" SEQ Figure \* ARABIC ">
        <w:r w:rsidR="00567D66">
          <w:rPr>
            <w:noProof/>
          </w:rPr>
          <w:t>4</w:t>
        </w:r>
      </w:fldSimple>
      <w:r>
        <w:t xml:space="preserve">: Population of Luisiana and the </w:t>
      </w:r>
      <w:proofErr w:type="spellStart"/>
      <w:r>
        <w:t>Floridas</w:t>
      </w:r>
      <w:proofErr w:type="spellEnd"/>
      <w:r>
        <w:t xml:space="preserve"> 1800-1825</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37EFC" w:rsidRPr="007279AA" w14:paraId="74ED2187" w14:textId="77777777" w:rsidTr="007279AA">
        <w:tc>
          <w:tcPr>
            <w:tcW w:w="3116" w:type="dxa"/>
            <w:tcBorders>
              <w:bottom w:val="single" w:sz="4" w:space="0" w:color="auto"/>
              <w:right w:val="single" w:sz="4" w:space="0" w:color="auto"/>
            </w:tcBorders>
          </w:tcPr>
          <w:p w14:paraId="5A8F0C40" w14:textId="627A990F" w:rsidR="00737EFC" w:rsidRPr="007279AA" w:rsidRDefault="00737EFC" w:rsidP="00AF4CAA">
            <w:pPr>
              <w:pStyle w:val="NoSpacing"/>
              <w:rPr>
                <w:b/>
                <w:bCs/>
              </w:rPr>
            </w:pPr>
            <w:r w:rsidRPr="007279AA">
              <w:rPr>
                <w:b/>
                <w:bCs/>
              </w:rPr>
              <w:t>Year</w:t>
            </w:r>
          </w:p>
        </w:tc>
        <w:tc>
          <w:tcPr>
            <w:tcW w:w="3117" w:type="dxa"/>
            <w:tcBorders>
              <w:left w:val="single" w:sz="4" w:space="0" w:color="auto"/>
              <w:bottom w:val="single" w:sz="4" w:space="0" w:color="auto"/>
            </w:tcBorders>
          </w:tcPr>
          <w:p w14:paraId="3CD5D389" w14:textId="0F188A8F" w:rsidR="00737EFC" w:rsidRPr="007279AA" w:rsidRDefault="00737EFC" w:rsidP="00AF4CAA">
            <w:pPr>
              <w:pStyle w:val="NoSpacing"/>
              <w:rPr>
                <w:b/>
                <w:bCs/>
              </w:rPr>
            </w:pPr>
            <w:r w:rsidRPr="007279AA">
              <w:rPr>
                <w:b/>
                <w:bCs/>
              </w:rPr>
              <w:t>Luisiana</w:t>
            </w:r>
          </w:p>
        </w:tc>
        <w:tc>
          <w:tcPr>
            <w:tcW w:w="3117" w:type="dxa"/>
            <w:tcBorders>
              <w:bottom w:val="single" w:sz="4" w:space="0" w:color="auto"/>
            </w:tcBorders>
          </w:tcPr>
          <w:p w14:paraId="7220F1E7" w14:textId="055699B9" w:rsidR="00737EFC" w:rsidRPr="007279AA" w:rsidRDefault="00737EFC" w:rsidP="00AF4CAA">
            <w:pPr>
              <w:pStyle w:val="NoSpacing"/>
              <w:rPr>
                <w:b/>
                <w:bCs/>
              </w:rPr>
            </w:pPr>
            <w:r w:rsidRPr="007279AA">
              <w:rPr>
                <w:b/>
                <w:bCs/>
              </w:rPr>
              <w:t xml:space="preserve">The </w:t>
            </w:r>
            <w:proofErr w:type="spellStart"/>
            <w:r w:rsidRPr="007279AA">
              <w:rPr>
                <w:b/>
                <w:bCs/>
              </w:rPr>
              <w:t>Floridas</w:t>
            </w:r>
            <w:proofErr w:type="spellEnd"/>
          </w:p>
        </w:tc>
      </w:tr>
      <w:tr w:rsidR="00737EFC" w14:paraId="7F0B984B" w14:textId="77777777" w:rsidTr="007279AA">
        <w:tc>
          <w:tcPr>
            <w:tcW w:w="3116" w:type="dxa"/>
            <w:tcBorders>
              <w:top w:val="single" w:sz="4" w:space="0" w:color="auto"/>
              <w:right w:val="single" w:sz="4" w:space="0" w:color="auto"/>
            </w:tcBorders>
          </w:tcPr>
          <w:p w14:paraId="37FE9ED7" w14:textId="25D8C8FA" w:rsidR="00737EFC" w:rsidRPr="00081D51" w:rsidRDefault="00737EFC" w:rsidP="00AF4CAA">
            <w:pPr>
              <w:pStyle w:val="NoSpacing"/>
            </w:pPr>
            <w:r w:rsidRPr="00081D51">
              <w:t>1800</w:t>
            </w:r>
          </w:p>
        </w:tc>
        <w:tc>
          <w:tcPr>
            <w:tcW w:w="3117" w:type="dxa"/>
            <w:tcBorders>
              <w:top w:val="single" w:sz="4" w:space="0" w:color="auto"/>
              <w:left w:val="single" w:sz="4" w:space="0" w:color="auto"/>
            </w:tcBorders>
          </w:tcPr>
          <w:p w14:paraId="3E206896" w14:textId="776D5846" w:rsidR="00737EFC" w:rsidRDefault="00737EFC" w:rsidP="00AF4CAA">
            <w:pPr>
              <w:pStyle w:val="NoSpacing"/>
            </w:pPr>
            <w:r>
              <w:t>50,000</w:t>
            </w:r>
          </w:p>
        </w:tc>
        <w:tc>
          <w:tcPr>
            <w:tcW w:w="3117" w:type="dxa"/>
            <w:tcBorders>
              <w:top w:val="single" w:sz="4" w:space="0" w:color="auto"/>
            </w:tcBorders>
          </w:tcPr>
          <w:p w14:paraId="7C590B18" w14:textId="09C8CA89" w:rsidR="00737EFC" w:rsidRDefault="00737EFC" w:rsidP="00AF4CAA">
            <w:pPr>
              <w:pStyle w:val="NoSpacing"/>
            </w:pPr>
            <w:r>
              <w:t>5,000</w:t>
            </w:r>
          </w:p>
        </w:tc>
      </w:tr>
      <w:tr w:rsidR="00737EFC" w14:paraId="2CDB846C" w14:textId="77777777" w:rsidTr="007279AA">
        <w:tc>
          <w:tcPr>
            <w:tcW w:w="3116" w:type="dxa"/>
            <w:tcBorders>
              <w:right w:val="single" w:sz="4" w:space="0" w:color="auto"/>
            </w:tcBorders>
          </w:tcPr>
          <w:p w14:paraId="39484EAC" w14:textId="14E25A4D" w:rsidR="00737EFC" w:rsidRPr="00081D51" w:rsidRDefault="00737EFC" w:rsidP="00AF4CAA">
            <w:pPr>
              <w:pStyle w:val="NoSpacing"/>
            </w:pPr>
            <w:r w:rsidRPr="00081D51">
              <w:t>1805</w:t>
            </w:r>
          </w:p>
        </w:tc>
        <w:tc>
          <w:tcPr>
            <w:tcW w:w="3117" w:type="dxa"/>
            <w:tcBorders>
              <w:left w:val="single" w:sz="4" w:space="0" w:color="auto"/>
            </w:tcBorders>
          </w:tcPr>
          <w:p w14:paraId="25FEE0D2" w14:textId="5451E0BA" w:rsidR="00737EFC" w:rsidRDefault="00737EFC" w:rsidP="00AF4CAA">
            <w:pPr>
              <w:pStyle w:val="NoSpacing"/>
            </w:pPr>
            <w:r>
              <w:t>70,000</w:t>
            </w:r>
          </w:p>
        </w:tc>
        <w:tc>
          <w:tcPr>
            <w:tcW w:w="3117" w:type="dxa"/>
          </w:tcPr>
          <w:p w14:paraId="3E03A4F1" w14:textId="3A1A91DE" w:rsidR="00737EFC" w:rsidRDefault="00B57EAB" w:rsidP="00AF4CAA">
            <w:pPr>
              <w:pStyle w:val="NoSpacing"/>
            </w:pPr>
            <w:r>
              <w:t>6,000</w:t>
            </w:r>
          </w:p>
        </w:tc>
      </w:tr>
      <w:tr w:rsidR="00737EFC" w14:paraId="3944A6C3" w14:textId="77777777" w:rsidTr="007279AA">
        <w:tc>
          <w:tcPr>
            <w:tcW w:w="3116" w:type="dxa"/>
            <w:tcBorders>
              <w:right w:val="single" w:sz="4" w:space="0" w:color="auto"/>
            </w:tcBorders>
          </w:tcPr>
          <w:p w14:paraId="2AB81A06" w14:textId="594E8A99" w:rsidR="00737EFC" w:rsidRPr="00081D51" w:rsidRDefault="00737EFC" w:rsidP="00AF4CAA">
            <w:pPr>
              <w:pStyle w:val="NoSpacing"/>
            </w:pPr>
            <w:r w:rsidRPr="00081D51">
              <w:t>1810</w:t>
            </w:r>
          </w:p>
        </w:tc>
        <w:tc>
          <w:tcPr>
            <w:tcW w:w="3117" w:type="dxa"/>
            <w:tcBorders>
              <w:left w:val="single" w:sz="4" w:space="0" w:color="auto"/>
            </w:tcBorders>
          </w:tcPr>
          <w:p w14:paraId="73CB2248" w14:textId="68FA85BA" w:rsidR="00737EFC" w:rsidRDefault="00737EFC" w:rsidP="00AF4CAA">
            <w:pPr>
              <w:pStyle w:val="NoSpacing"/>
            </w:pPr>
            <w:r>
              <w:t>85,000</w:t>
            </w:r>
          </w:p>
        </w:tc>
        <w:tc>
          <w:tcPr>
            <w:tcW w:w="3117" w:type="dxa"/>
          </w:tcPr>
          <w:p w14:paraId="52EF16A5" w14:textId="4689DE6A" w:rsidR="00737EFC" w:rsidRDefault="00B57EAB" w:rsidP="00AF4CAA">
            <w:pPr>
              <w:pStyle w:val="NoSpacing"/>
            </w:pPr>
            <w:r>
              <w:t>10,000</w:t>
            </w:r>
          </w:p>
        </w:tc>
      </w:tr>
      <w:tr w:rsidR="00737EFC" w14:paraId="5F6ED1C8" w14:textId="77777777" w:rsidTr="007279AA">
        <w:tc>
          <w:tcPr>
            <w:tcW w:w="3116" w:type="dxa"/>
            <w:tcBorders>
              <w:right w:val="single" w:sz="4" w:space="0" w:color="auto"/>
            </w:tcBorders>
          </w:tcPr>
          <w:p w14:paraId="57751813" w14:textId="5E91E204" w:rsidR="00737EFC" w:rsidRPr="00081D51" w:rsidRDefault="00737EFC" w:rsidP="00AF4CAA">
            <w:pPr>
              <w:pStyle w:val="NoSpacing"/>
            </w:pPr>
            <w:r w:rsidRPr="00081D51">
              <w:t>1815</w:t>
            </w:r>
          </w:p>
        </w:tc>
        <w:tc>
          <w:tcPr>
            <w:tcW w:w="3117" w:type="dxa"/>
            <w:tcBorders>
              <w:left w:val="single" w:sz="4" w:space="0" w:color="auto"/>
            </w:tcBorders>
          </w:tcPr>
          <w:p w14:paraId="42296413" w14:textId="21AE04C7" w:rsidR="00737EFC" w:rsidRDefault="00737EFC" w:rsidP="00AF4CAA">
            <w:pPr>
              <w:pStyle w:val="NoSpacing"/>
            </w:pPr>
            <w:r>
              <w:t>100,000</w:t>
            </w:r>
          </w:p>
        </w:tc>
        <w:tc>
          <w:tcPr>
            <w:tcW w:w="3117" w:type="dxa"/>
          </w:tcPr>
          <w:p w14:paraId="48F0F834" w14:textId="6B6C5A8C" w:rsidR="00737EFC" w:rsidRDefault="00B57EAB" w:rsidP="00AF4CAA">
            <w:pPr>
              <w:pStyle w:val="NoSpacing"/>
            </w:pPr>
            <w:r>
              <w:t>20,000</w:t>
            </w:r>
          </w:p>
        </w:tc>
      </w:tr>
      <w:tr w:rsidR="00737EFC" w14:paraId="0EF82D24" w14:textId="77777777" w:rsidTr="007279AA">
        <w:tc>
          <w:tcPr>
            <w:tcW w:w="3116" w:type="dxa"/>
            <w:tcBorders>
              <w:right w:val="single" w:sz="4" w:space="0" w:color="auto"/>
            </w:tcBorders>
          </w:tcPr>
          <w:p w14:paraId="5B18070D" w14:textId="5AFFB1AD" w:rsidR="00737EFC" w:rsidRPr="00081D51" w:rsidRDefault="00737EFC" w:rsidP="00AF4CAA">
            <w:pPr>
              <w:pStyle w:val="NoSpacing"/>
            </w:pPr>
            <w:r w:rsidRPr="00081D51">
              <w:t>1820</w:t>
            </w:r>
          </w:p>
        </w:tc>
        <w:tc>
          <w:tcPr>
            <w:tcW w:w="3117" w:type="dxa"/>
            <w:tcBorders>
              <w:left w:val="single" w:sz="4" w:space="0" w:color="auto"/>
            </w:tcBorders>
          </w:tcPr>
          <w:p w14:paraId="43D372D6" w14:textId="4F439C20" w:rsidR="00737EFC" w:rsidRDefault="00737EFC" w:rsidP="00AF4CAA">
            <w:pPr>
              <w:pStyle w:val="NoSpacing"/>
            </w:pPr>
            <w:r>
              <w:t>115,000</w:t>
            </w:r>
          </w:p>
        </w:tc>
        <w:tc>
          <w:tcPr>
            <w:tcW w:w="3117" w:type="dxa"/>
          </w:tcPr>
          <w:p w14:paraId="21E951E9" w14:textId="1BF68970" w:rsidR="00737EFC" w:rsidRDefault="00B57EAB" w:rsidP="00AF4CAA">
            <w:pPr>
              <w:pStyle w:val="NoSpacing"/>
            </w:pPr>
            <w:r>
              <w:t>22,000</w:t>
            </w:r>
          </w:p>
        </w:tc>
      </w:tr>
      <w:tr w:rsidR="00737EFC" w14:paraId="4404530A" w14:textId="77777777" w:rsidTr="007279AA">
        <w:tc>
          <w:tcPr>
            <w:tcW w:w="3116" w:type="dxa"/>
            <w:tcBorders>
              <w:right w:val="single" w:sz="4" w:space="0" w:color="auto"/>
            </w:tcBorders>
          </w:tcPr>
          <w:p w14:paraId="41ECCD88" w14:textId="378E80F4" w:rsidR="00737EFC" w:rsidRPr="00081D51" w:rsidRDefault="00737EFC" w:rsidP="00AF4CAA">
            <w:pPr>
              <w:pStyle w:val="NoSpacing"/>
            </w:pPr>
            <w:r w:rsidRPr="00081D51">
              <w:t>1825</w:t>
            </w:r>
          </w:p>
        </w:tc>
        <w:tc>
          <w:tcPr>
            <w:tcW w:w="3117" w:type="dxa"/>
            <w:tcBorders>
              <w:left w:val="single" w:sz="4" w:space="0" w:color="auto"/>
            </w:tcBorders>
          </w:tcPr>
          <w:p w14:paraId="3495AC3B" w14:textId="6F2177EC" w:rsidR="00737EFC" w:rsidRDefault="00737EFC" w:rsidP="00AF4CAA">
            <w:pPr>
              <w:pStyle w:val="NoSpacing"/>
            </w:pPr>
            <w:r>
              <w:t>150,000</w:t>
            </w:r>
          </w:p>
        </w:tc>
        <w:tc>
          <w:tcPr>
            <w:tcW w:w="3117" w:type="dxa"/>
          </w:tcPr>
          <w:p w14:paraId="6CFD1465" w14:textId="7A505276" w:rsidR="00737EFC" w:rsidRDefault="00B57EAB" w:rsidP="00AF4CAA">
            <w:pPr>
              <w:pStyle w:val="NoSpacing"/>
            </w:pPr>
            <w:r>
              <w:t>30,000</w:t>
            </w:r>
          </w:p>
        </w:tc>
      </w:tr>
    </w:tbl>
    <w:p w14:paraId="1356C6CE" w14:textId="77777777" w:rsidR="00737EFC" w:rsidRDefault="00737EFC" w:rsidP="00024DEC"/>
    <w:p w14:paraId="5A820EE1" w14:textId="7B1490D3" w:rsidR="00CA5182" w:rsidRDefault="00CA5182" w:rsidP="00CA5182">
      <w:r>
        <w:t>Thus, over the 1820s, Luisiana was still very much a frontier colony</w:t>
      </w:r>
      <w:r w:rsidR="005D4927">
        <w:t xml:space="preserve">, with two settlement zones – one, in Lower Luisiana around </w:t>
      </w:r>
      <w:r w:rsidR="00CC7808">
        <w:t xml:space="preserve">New Orleans, another, in Upper Luisiana around St. Louis, and a sort of diffuse zone around the </w:t>
      </w:r>
      <w:proofErr w:type="spellStart"/>
      <w:r w:rsidR="000F35F3">
        <w:t>Arcansa</w:t>
      </w:r>
      <w:proofErr w:type="spellEnd"/>
      <w:r w:rsidR="00CC7808">
        <w:t xml:space="preserve"> River</w:t>
      </w:r>
      <w:r w:rsidR="0064488D">
        <w:t xml:space="preserve"> that connected the two</w:t>
      </w:r>
      <w:r w:rsidR="00BE0D47">
        <w:t xml:space="preserve"> – and not a whole lot beyond that</w:t>
      </w:r>
      <w:r>
        <w:t>. Spanish attempts to establish settlement there were largely failures</w:t>
      </w:r>
      <w:r w:rsidR="008315FB">
        <w:t>, as</w:t>
      </w:r>
      <w:r w:rsidR="00880AE6">
        <w:t xml:space="preserve"> its settler population</w:t>
      </w:r>
      <w:r w:rsidR="008315FB">
        <w:t xml:space="preserve"> </w:t>
      </w:r>
      <w:r w:rsidR="00737EFC">
        <w:t>was well under 200,000</w:t>
      </w:r>
      <w:r w:rsidR="00880AE6">
        <w:t>, which was such that it</w:t>
      </w:r>
      <w:r w:rsidR="008315FB">
        <w:t xml:space="preserve"> continued to be drastically overshadowed by American settlement just across the Mississippi</w:t>
      </w:r>
      <w:r w:rsidR="0025586D">
        <w:t>.</w:t>
      </w:r>
      <w:r w:rsidR="008315FB">
        <w:t xml:space="preserve"> </w:t>
      </w:r>
      <w:r w:rsidR="00712E39">
        <w:t>Indeed, at this point</w:t>
      </w:r>
      <w:r w:rsidR="00436292">
        <w:t>,</w:t>
      </w:r>
      <w:r w:rsidR="00712E39">
        <w:t xml:space="preserve"> it was already clear that</w:t>
      </w:r>
      <w:r w:rsidR="00436292">
        <w:t xml:space="preserve"> Luisiana was not in the economic orbit of the Spanish Caribbean, nor </w:t>
      </w:r>
      <w:r w:rsidR="009C2B1B">
        <w:t>of</w:t>
      </w:r>
      <w:r w:rsidR="00436292">
        <w:t xml:space="preserve"> the Internal Provinces, but rather </w:t>
      </w:r>
      <w:r w:rsidR="009C2B1B">
        <w:t>of</w:t>
      </w:r>
      <w:r w:rsidR="00436292">
        <w:t xml:space="preserve"> the United States</w:t>
      </w:r>
      <w:r w:rsidR="00941F9C">
        <w:t xml:space="preserve">; no matter what the Spanish could </w:t>
      </w:r>
      <w:r w:rsidR="009C4E43">
        <w:t>decree, no matter how much trade they could encourage</w:t>
      </w:r>
      <w:r w:rsidR="00941F9C">
        <w:t xml:space="preserve">, </w:t>
      </w:r>
      <w:r w:rsidR="004F6C69">
        <w:t>the laws of nature made it so</w:t>
      </w:r>
      <w:r w:rsidR="00436292">
        <w:t>.</w:t>
      </w:r>
      <w:r w:rsidR="00712E39">
        <w:t xml:space="preserve"> </w:t>
      </w:r>
      <w:r w:rsidR="0025586D">
        <w:t xml:space="preserve">With the settler boom </w:t>
      </w:r>
      <w:r w:rsidR="00EA6F03">
        <w:t>in America</w:t>
      </w:r>
      <w:r w:rsidR="0025586D">
        <w:t xml:space="preserve"> only escalating,</w:t>
      </w:r>
      <w:r w:rsidR="008315FB">
        <w:t xml:space="preserve"> it was clear </w:t>
      </w:r>
      <w:r w:rsidR="00A12D91">
        <w:t>those American settlers</w:t>
      </w:r>
      <w:r w:rsidR="008315FB">
        <w:t xml:space="preserve"> would cross the border</w:t>
      </w:r>
      <w:r w:rsidR="002E2AC3">
        <w:t xml:space="preserve">, no matter </w:t>
      </w:r>
      <w:r w:rsidR="002E2AC3">
        <w:lastRenderedPageBreak/>
        <w:t>what Spanish authorities would say</w:t>
      </w:r>
      <w:r w:rsidR="005A381F">
        <w:t xml:space="preserve"> – and it was also clear that there was little Spain could do about it</w:t>
      </w:r>
      <w:r w:rsidR="00175FF4">
        <w:rPr>
          <w:rStyle w:val="EndnoteReference"/>
        </w:rPr>
        <w:endnoteReference w:id="51"/>
      </w:r>
      <w:r w:rsidR="008315FB">
        <w:t xml:space="preserve">. </w:t>
      </w:r>
    </w:p>
    <w:p w14:paraId="246F0131" w14:textId="6F875137" w:rsidR="00F75668" w:rsidRDefault="00F75668" w:rsidP="00524271">
      <w:r>
        <w:br w:type="page"/>
      </w:r>
    </w:p>
    <w:p w14:paraId="14BCACAE" w14:textId="77777777" w:rsidR="00B04289" w:rsidRDefault="00B04289" w:rsidP="00AF0D17"/>
    <w:p w14:paraId="71106222" w14:textId="78987672" w:rsidR="00AF0D17" w:rsidRDefault="00AF0D17" w:rsidP="00AF0D17">
      <w:pPr>
        <w:sectPr w:rsidR="00AF0D17" w:rsidSect="00AF0D17">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C91B64E" w14:textId="77777777" w:rsidR="00AF0D17" w:rsidRDefault="00AF0D17" w:rsidP="00AF0D17">
      <w:r>
        <w:br w:type="page"/>
      </w:r>
    </w:p>
    <w:p w14:paraId="5F1F3966" w14:textId="19837D2B" w:rsidR="00E7172B" w:rsidRDefault="00FB055F" w:rsidP="00C91F77">
      <w:pPr>
        <w:pStyle w:val="Heading1"/>
      </w:pPr>
      <w:bookmarkStart w:id="12" w:name="_Toc202006208"/>
      <w:r>
        <w:lastRenderedPageBreak/>
        <w:t xml:space="preserve">9. </w:t>
      </w:r>
      <w:r w:rsidR="00E7172B">
        <w:t>Fire-Bell in the Night</w:t>
      </w:r>
      <w:bookmarkEnd w:id="12"/>
    </w:p>
    <w:p w14:paraId="6CA95975" w14:textId="08E619DC" w:rsidR="0042799C" w:rsidRDefault="00E7172B" w:rsidP="00E7172B">
      <w:r>
        <w:t xml:space="preserve">No single individual in the whole United States saw the Illinois Crisis with quite as much horror as Thomas Jefferson. From his plantation at Monticello, he previously watched the Burr administration with a growing horror; the 1816 election, and the defeat of his attempt to win a third term, he </w:t>
      </w:r>
      <w:r w:rsidR="00B61CCD">
        <w:t>celebrated</w:t>
      </w:r>
      <w:r w:rsidR="00AF2340">
        <w:t xml:space="preserve"> as a “Revolution of 1816” that was a return to the values of 1800</w:t>
      </w:r>
      <w:r w:rsidR="00CE6DC6">
        <w:rPr>
          <w:rStyle w:val="EndnoteReference"/>
        </w:rPr>
        <w:endnoteReference w:id="52"/>
      </w:r>
      <w:r w:rsidR="00ED13AD">
        <w:t xml:space="preserve">. </w:t>
      </w:r>
      <w:r w:rsidR="00B61CCD">
        <w:t>The Illinois crisis, however, saw his horror and trepidation make a vivid return. Suddenly, the nation not only had to fear</w:t>
      </w:r>
      <w:r w:rsidR="003F771A">
        <w:t xml:space="preserve"> the charismatic demagoguery of Aaron Burr</w:t>
      </w:r>
      <w:r w:rsidR="00082291">
        <w:t>, who he knew would march to power</w:t>
      </w:r>
      <w:r w:rsidR="003F771A">
        <w:t>; the entire compromise between slavery and freedom the entire country was built upon</w:t>
      </w:r>
      <w:r w:rsidR="00EB4A46">
        <w:t>, the entire country which he spent his life making</w:t>
      </w:r>
      <w:r w:rsidR="003F771A">
        <w:t>, threatened to evaporate in a puff of smoke</w:t>
      </w:r>
      <w:r w:rsidR="00A76E84">
        <w:t xml:space="preserve">. </w:t>
      </w:r>
      <w:r w:rsidR="00924CCD">
        <w:t>In his personal correspondence, Jefferson wrote, “</w:t>
      </w:r>
      <w:r w:rsidR="00924CCD" w:rsidRPr="00924CCD">
        <w:t>this momentous question, like a fire bell in the night, awakened and filled me with terror. I considered it at once as the knell of the Union</w:t>
      </w:r>
      <w:r w:rsidR="00924CCD">
        <w:t xml:space="preserve">”. But </w:t>
      </w:r>
      <w:r w:rsidR="006F0FF0">
        <w:t xml:space="preserve">Jefferson was no impartial critic of the situation; on the issue of Illinois, </w:t>
      </w:r>
      <w:r w:rsidR="006B3DF9">
        <w:t>his</w:t>
      </w:r>
      <w:r w:rsidR="006F0FF0">
        <w:t xml:space="preserve"> opinion made a complete turn from his writing of the Northwest Ordinance. He wanted it admitted, slavery and all – and he believed Congress had no ability to restrict </w:t>
      </w:r>
      <w:r w:rsidR="006B3DF9">
        <w:t>slavery</w:t>
      </w:r>
      <w:r w:rsidR="006F0FF0">
        <w:t>, but that it should instead be allowed to plant itself all over the territories. To justify this abrupt turn from the principles of the Declaration of Independence</w:t>
      </w:r>
      <w:r w:rsidR="00F57F08">
        <w:t xml:space="preserve"> that, after all,</w:t>
      </w:r>
      <w:r w:rsidR="006F0FF0">
        <w:t xml:space="preserve"> he wrote, he claimed that, far from strengthening slavery by giving it new markets, the expansion of slavery weakened it. This was the so-called “diffusionist” argument: by spreading slavery over a larger surface, slave densities would decrease and with it so would economic activities depending on it. Thus, without abolition upending the economy, slavery </w:t>
      </w:r>
      <w:r w:rsidR="009D10AC">
        <w:t>could be more easily abolished</w:t>
      </w:r>
      <w:r w:rsidR="009D10AC">
        <w:rPr>
          <w:rStyle w:val="EndnoteReference"/>
        </w:rPr>
        <w:endnoteReference w:id="53"/>
      </w:r>
      <w:r w:rsidR="009D10AC">
        <w:t>. This was, without a doubt, a self-serving argument</w:t>
      </w:r>
      <w:r w:rsidR="0042799C">
        <w:t>, but it was an argument that allowed him to justify the proslavery politics he now came to hold</w:t>
      </w:r>
      <w:r w:rsidR="001F19A1">
        <w:t>, without technically abandoning his principles</w:t>
      </w:r>
      <w:r w:rsidR="009D10AC">
        <w:t xml:space="preserve">. </w:t>
      </w:r>
      <w:r w:rsidR="00EB4A46">
        <w:t>Coming into the 1820 election, he reflected a large portion of the Planter Ascendanc</w:t>
      </w:r>
      <w:r w:rsidR="00265172">
        <w:t>y – of which he was now its leader</w:t>
      </w:r>
      <w:r w:rsidR="00EB4A46">
        <w:t xml:space="preserve">. </w:t>
      </w:r>
    </w:p>
    <w:p w14:paraId="7BF48CEE" w14:textId="69CA2590" w:rsidR="00EB4A46" w:rsidRDefault="00EB4A46" w:rsidP="00EB4A46">
      <w:r>
        <w:lastRenderedPageBreak/>
        <w:t>There was little doubt as to whom the Democrats would nominate. Holding a political convention in Harrisburg, Pennsylvania</w:t>
      </w:r>
      <w:r w:rsidR="006729A9">
        <w:t>, with a certain paucity of members from the Southwest</w:t>
      </w:r>
      <w:r>
        <w:t xml:space="preserve">, with unanimity the delegates nominated Aaron Burr to office, and departing from the Governor’s Mansion in Albany, Burr accepted on the convention floor. </w:t>
      </w:r>
      <w:r w:rsidR="006729A9">
        <w:t xml:space="preserve">For its vice president, however, it reflected </w:t>
      </w:r>
      <w:r w:rsidR="002A1793">
        <w:t>calls for national unity. Selecting William Henry Harrison, the popular former governor of Indiana, he was selected for several reasons: he was born in Virgini</w:t>
      </w:r>
      <w:r w:rsidR="0085493D">
        <w:t>a to an old planter family, he was popular across the West, and he had written several letters calling for national reconciliation and a compromise. Somewhat a voice out of sync with the free-soil Democratic Party, he was to represent the Democrats did not want to break the union, but instead</w:t>
      </w:r>
      <w:r w:rsidR="00A74EED">
        <w:t xml:space="preserve"> to</w:t>
      </w:r>
      <w:r w:rsidR="0085493D">
        <w:t xml:space="preserve"> maintain it on principles of freedom. </w:t>
      </w:r>
      <w:r w:rsidR="001E30A2">
        <w:t xml:space="preserve">Like Burr, however, Harrison was consistently accused of being overly ambitious, and indeed Harrison had been one of the most aggressive of office seekers during the Burr </w:t>
      </w:r>
      <w:r w:rsidR="007314B8">
        <w:t>years</w:t>
      </w:r>
      <w:r w:rsidR="001E30A2">
        <w:t xml:space="preserve">. </w:t>
      </w:r>
      <w:r w:rsidR="009C68A4">
        <w:t>This ticket represented a Democratic Party that certainly did not wish to break the union, but it did want a compromise on the North’s terms.</w:t>
      </w:r>
      <w:r w:rsidR="009A1CA4">
        <w:t xml:space="preserve"> Additionally, the Federalist remnant in the North attempted to take full advantage of this and, more unflinchingly advocating free soil politics, it nominated that great creature of the political wilderness, Alexander Hamilton</w:t>
      </w:r>
      <w:r w:rsidR="00425D16">
        <w:t>, who hoped he could ride the issue all the way to the presidency</w:t>
      </w:r>
      <w:r w:rsidR="00E6443B">
        <w:t xml:space="preserve">. </w:t>
      </w:r>
    </w:p>
    <w:p w14:paraId="6EB0CEA9" w14:textId="064BE6A3" w:rsidR="009E577D" w:rsidRDefault="00654B4F" w:rsidP="009E577D">
      <w:r>
        <w:t>The South</w:t>
      </w:r>
      <w:r w:rsidR="009E577D">
        <w:t>, on the other hand, faced some real issues imposing unity</w:t>
      </w:r>
      <w:r>
        <w:t xml:space="preserve">. </w:t>
      </w:r>
      <w:r w:rsidR="009E577D">
        <w:t xml:space="preserve">Madison’s willingness to countenance compromise led much of the Planter Ascendancy concluding him to be unsafe on the issue of slavery. Seeking to consolidate both Southerners and pro-compromise Northerners behind him, Madison’s allies organized a political convention in Baltimore, Maryland, which contained delegates from across the entire nation. </w:t>
      </w:r>
      <w:r w:rsidR="00E47CEA">
        <w:t>After</w:t>
      </w:r>
      <w:r w:rsidR="009E577D">
        <w:t xml:space="preserve"> renominating Madison for a second term to the presidency, it nominated </w:t>
      </w:r>
      <w:r w:rsidR="00E47CEA">
        <w:t>Jesse B. Thomas</w:t>
      </w:r>
      <w:r w:rsidR="009E577D">
        <w:t xml:space="preserve"> to the vice presidency. </w:t>
      </w:r>
      <w:r w:rsidR="00E47CEA">
        <w:t xml:space="preserve">Needing to depose </w:t>
      </w:r>
      <w:r w:rsidR="007301B9">
        <w:t xml:space="preserve">Vice President </w:t>
      </w:r>
      <w:r w:rsidR="00E47CEA">
        <w:t xml:space="preserve">Clinton </w:t>
      </w:r>
      <w:r w:rsidR="007301B9">
        <w:t>over</w:t>
      </w:r>
      <w:r w:rsidR="00E47CEA">
        <w:t xml:space="preserve"> his support of free-soil politics, Thomas was a congressman from Indiana and one of the handful of Northerners who opposed the Tallmadge Amendment; he was also one of </w:t>
      </w:r>
      <w:r w:rsidR="00E47CEA">
        <w:lastRenderedPageBreak/>
        <w:t>the chief organizers of one of the failed compromises. It was a gesture to compromise, and Madison hoped it would net him support from both North and South to end the crisis</w:t>
      </w:r>
      <w:r w:rsidR="00667BA7">
        <w:t>.</w:t>
      </w:r>
      <w:r w:rsidR="00E47CEA">
        <w:t xml:space="preserve"> </w:t>
      </w:r>
      <w:r w:rsidR="009E577D">
        <w:t xml:space="preserve">In addition to this, however, the legislatures of Virginia and South Carolina, dominated by people considering Madison unsound on slavery, nominated a diehard critic of his, Langdon Cheves. </w:t>
      </w:r>
    </w:p>
    <w:p w14:paraId="091D2489" w14:textId="6D52CB41" w:rsidR="00EE5D65" w:rsidRDefault="00EE5D65" w:rsidP="009E577D">
      <w:r>
        <w:t xml:space="preserve">The ensuing election was a chaotic mess. </w:t>
      </w:r>
      <w:r w:rsidR="00667BA7">
        <w:t>E</w:t>
      </w:r>
      <w:r w:rsidR="00BD6078">
        <w:t>very political campaign of the election engaged in quite aggressive electioneering</w:t>
      </w:r>
      <w:r w:rsidR="00667BA7">
        <w:t>, in a desperate attempt to end the crisis. Most famously, resigning his post as governor to do so, Aaron Burr held a tour across the North and West to promote his campaign, beginning in Portland, Massachusetts (now Maine) and ending in Lexington, Kentucky</w:t>
      </w:r>
      <w:r w:rsidR="00BD6078">
        <w:t xml:space="preserve">. In the east, </w:t>
      </w:r>
      <w:r w:rsidR="00DD7439">
        <w:t>Burr and the</w:t>
      </w:r>
      <w:r w:rsidR="00BD6078">
        <w:t xml:space="preserve"> </w:t>
      </w:r>
      <w:r w:rsidR="00DD7439">
        <w:t>Democratic Party</w:t>
      </w:r>
      <w:r w:rsidR="00BD6078">
        <w:t xml:space="preserve"> ran on a campaign stressing above all else the issue of slavery restriction, but in the west its campaign was somewhat more elaborate. Here, it stressed Burr’s support for internal improvements, as well as the deplorable state of the economy; by doing this, he hoped to win the votes of both moderates terrified at the collapse of the nation, as well as from the slave states of the Southwest. And </w:t>
      </w:r>
      <w:proofErr w:type="gramStart"/>
      <w:r w:rsidR="00BD6078">
        <w:t>all across</w:t>
      </w:r>
      <w:proofErr w:type="gramEnd"/>
      <w:r w:rsidR="00BD6078">
        <w:t xml:space="preserve"> the union, the</w:t>
      </w:r>
      <w:r w:rsidR="00DD7439">
        <w:t xml:space="preserve"> Burr</w:t>
      </w:r>
      <w:r w:rsidR="00BD6078">
        <w:t xml:space="preserve"> campaign stressed his belief in national unity, and that</w:t>
      </w:r>
      <w:r w:rsidR="00CC073F">
        <w:t xml:space="preserve"> he firmly opposed the partition and division of the nation. </w:t>
      </w:r>
      <w:r w:rsidR="00DD7439">
        <w:t>The other campaign that could claim to be national in scope, the Republicans and</w:t>
      </w:r>
      <w:r w:rsidR="00764565">
        <w:t xml:space="preserve"> the</w:t>
      </w:r>
      <w:r w:rsidR="00DD7439">
        <w:t xml:space="preserve"> Madison campaign stressed the danger to national unity posed by the Democrats, and it called for a definitive resolution of the slavery issue. By doing this, it hoped to command the support of the South, the West, and a considerable minority of </w:t>
      </w:r>
      <w:proofErr w:type="spellStart"/>
      <w:r w:rsidR="00DD7439">
        <w:t>Northeasterners</w:t>
      </w:r>
      <w:proofErr w:type="spellEnd"/>
      <w:r w:rsidR="00DD7439">
        <w:t xml:space="preserve"> who would be sufficiently horrified at the possibility of disunion that they’d vote for them. </w:t>
      </w:r>
      <w:r w:rsidR="00764565">
        <w:t xml:space="preserve">Then, it hoped to use this to build a coalition to bring the sectional crisis to an end with a compromise. </w:t>
      </w:r>
      <w:r w:rsidR="00735B5D">
        <w:t xml:space="preserve">The Hamilton and Cheves campaigns, which in contrast could not hope to command anything close to national support, instead engaged in sectionalism: the Hamilton campaign talking a great deal about domination of politics by the Planter Ascendancy (while ignoring that Hamilton had not exactly been detached from the planter class), while the Cheves campaign talked a great deal about the danger poised by slavery </w:t>
      </w:r>
      <w:r w:rsidR="00735B5D">
        <w:lastRenderedPageBreak/>
        <w:t>restriction, and how it would allow for a permanent majority of the free states against the planters of the South</w:t>
      </w:r>
      <w:r w:rsidR="003B5A50">
        <w:t xml:space="preserve">. </w:t>
      </w:r>
    </w:p>
    <w:p w14:paraId="14FC6941" w14:textId="629DBB89" w:rsidR="00C54F04" w:rsidRDefault="00C54F04" w:rsidP="009E577D">
      <w:r>
        <w:t xml:space="preserve">The ensuing election demonstrated the sheer divisions within the nation well; </w:t>
      </w:r>
      <w:r w:rsidR="000859C0">
        <w:t xml:space="preserve">Aaron Burr </w:t>
      </w:r>
      <w:r w:rsidR="0003509A">
        <w:t>very nearly won, but he did not</w:t>
      </w:r>
      <w:r w:rsidR="00912C90">
        <w:rPr>
          <w:rStyle w:val="EndnoteReference"/>
        </w:rPr>
        <w:endnoteReference w:id="54"/>
      </w:r>
      <w:r>
        <w:t xml:space="preserve">. </w:t>
      </w:r>
    </w:p>
    <w:p w14:paraId="220E6BAF" w14:textId="77777777" w:rsidR="007C2058" w:rsidRDefault="007C2058" w:rsidP="009E577D"/>
    <w:p w14:paraId="62BF75AD" w14:textId="39D30976" w:rsidR="000B2E9F" w:rsidRDefault="000B2E9F" w:rsidP="000B2E9F">
      <w:pPr>
        <w:pStyle w:val="Caption"/>
      </w:pPr>
      <w:bookmarkStart w:id="13" w:name="_Toc202006261"/>
      <w:r>
        <w:t xml:space="preserve">Figure </w:t>
      </w:r>
      <w:fldSimple w:instr=" SEQ Figure \* ARABIC ">
        <w:r w:rsidR="00567D66">
          <w:rPr>
            <w:noProof/>
          </w:rPr>
          <w:t>5</w:t>
        </w:r>
      </w:fldSimple>
      <w:r>
        <w:t>: The 1820 election, by state</w:t>
      </w:r>
      <w:bookmarkEnd w:id="13"/>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1954"/>
        <w:gridCol w:w="1264"/>
        <w:gridCol w:w="1167"/>
        <w:gridCol w:w="1607"/>
        <w:gridCol w:w="1459"/>
      </w:tblGrid>
      <w:tr w:rsidR="006371E5" w:rsidRPr="00EC1927" w14:paraId="16F6F530" w14:textId="1801DC2C" w:rsidTr="006371E5">
        <w:trPr>
          <w:trHeight w:val="265"/>
        </w:trPr>
        <w:tc>
          <w:tcPr>
            <w:tcW w:w="2623" w:type="dxa"/>
            <w:tcBorders>
              <w:bottom w:val="single" w:sz="4" w:space="0" w:color="auto"/>
              <w:right w:val="single" w:sz="4" w:space="0" w:color="auto"/>
            </w:tcBorders>
          </w:tcPr>
          <w:p w14:paraId="2E280769" w14:textId="77777777" w:rsidR="006371E5" w:rsidRPr="00EC1927" w:rsidRDefault="006371E5" w:rsidP="00AF4CAA">
            <w:pPr>
              <w:pStyle w:val="NoSpacing"/>
              <w:rPr>
                <w:b/>
                <w:bCs/>
              </w:rPr>
            </w:pPr>
            <w:r w:rsidRPr="00EC1927">
              <w:rPr>
                <w:b/>
                <w:bCs/>
              </w:rPr>
              <w:t>State</w:t>
            </w:r>
          </w:p>
        </w:tc>
        <w:tc>
          <w:tcPr>
            <w:tcW w:w="1954" w:type="dxa"/>
            <w:tcBorders>
              <w:left w:val="single" w:sz="4" w:space="0" w:color="auto"/>
              <w:bottom w:val="single" w:sz="4" w:space="0" w:color="auto"/>
              <w:right w:val="single" w:sz="4" w:space="0" w:color="auto"/>
            </w:tcBorders>
          </w:tcPr>
          <w:p w14:paraId="50B122B5" w14:textId="77777777" w:rsidR="006371E5" w:rsidRPr="00EC1927" w:rsidRDefault="006371E5" w:rsidP="00AF4CAA">
            <w:pPr>
              <w:pStyle w:val="NoSpacing"/>
              <w:rPr>
                <w:b/>
                <w:bCs/>
              </w:rPr>
            </w:pPr>
            <w:r w:rsidRPr="00EC1927">
              <w:rPr>
                <w:b/>
                <w:bCs/>
              </w:rPr>
              <w:t>Electoral votes</w:t>
            </w:r>
          </w:p>
        </w:tc>
        <w:tc>
          <w:tcPr>
            <w:tcW w:w="1264" w:type="dxa"/>
            <w:tcBorders>
              <w:left w:val="single" w:sz="4" w:space="0" w:color="auto"/>
              <w:bottom w:val="single" w:sz="4" w:space="0" w:color="auto"/>
            </w:tcBorders>
          </w:tcPr>
          <w:p w14:paraId="368D523F" w14:textId="38011E96" w:rsidR="006371E5" w:rsidRPr="00EC1927" w:rsidRDefault="006371E5" w:rsidP="00AF4CAA">
            <w:pPr>
              <w:pStyle w:val="NoSpacing"/>
              <w:rPr>
                <w:b/>
                <w:bCs/>
              </w:rPr>
            </w:pPr>
            <w:r w:rsidRPr="00EC1927">
              <w:rPr>
                <w:b/>
                <w:bCs/>
              </w:rPr>
              <w:t>Burr</w:t>
            </w:r>
          </w:p>
        </w:tc>
        <w:tc>
          <w:tcPr>
            <w:tcW w:w="1167" w:type="dxa"/>
            <w:tcBorders>
              <w:bottom w:val="single" w:sz="4" w:space="0" w:color="auto"/>
            </w:tcBorders>
          </w:tcPr>
          <w:p w14:paraId="66990237" w14:textId="5403AF8E" w:rsidR="006371E5" w:rsidRPr="00EC1927" w:rsidRDefault="006371E5" w:rsidP="00AF4CAA">
            <w:pPr>
              <w:pStyle w:val="NoSpacing"/>
              <w:rPr>
                <w:b/>
                <w:bCs/>
              </w:rPr>
            </w:pPr>
            <w:r w:rsidRPr="00EC1927">
              <w:rPr>
                <w:b/>
                <w:bCs/>
              </w:rPr>
              <w:t>Madison</w:t>
            </w:r>
          </w:p>
        </w:tc>
        <w:tc>
          <w:tcPr>
            <w:tcW w:w="1607" w:type="dxa"/>
            <w:tcBorders>
              <w:bottom w:val="single" w:sz="4" w:space="0" w:color="auto"/>
            </w:tcBorders>
          </w:tcPr>
          <w:p w14:paraId="49EF4F03" w14:textId="00009469" w:rsidR="006371E5" w:rsidRPr="00EC1927" w:rsidRDefault="006371E5" w:rsidP="00AF4CAA">
            <w:pPr>
              <w:pStyle w:val="NoSpacing"/>
              <w:rPr>
                <w:b/>
                <w:bCs/>
              </w:rPr>
            </w:pPr>
            <w:r w:rsidRPr="00EC1927">
              <w:rPr>
                <w:b/>
                <w:bCs/>
              </w:rPr>
              <w:t>Cheves</w:t>
            </w:r>
          </w:p>
        </w:tc>
        <w:tc>
          <w:tcPr>
            <w:tcW w:w="1459" w:type="dxa"/>
            <w:tcBorders>
              <w:bottom w:val="single" w:sz="4" w:space="0" w:color="auto"/>
            </w:tcBorders>
          </w:tcPr>
          <w:p w14:paraId="1A683CA2" w14:textId="3C4C0E92" w:rsidR="006371E5" w:rsidRPr="00EC1927" w:rsidRDefault="006371E5" w:rsidP="00AF4CAA">
            <w:pPr>
              <w:pStyle w:val="NoSpacing"/>
              <w:rPr>
                <w:b/>
                <w:bCs/>
              </w:rPr>
            </w:pPr>
            <w:r w:rsidRPr="00EC1927">
              <w:rPr>
                <w:b/>
                <w:bCs/>
              </w:rPr>
              <w:t>Hamilton</w:t>
            </w:r>
          </w:p>
        </w:tc>
      </w:tr>
      <w:tr w:rsidR="008B729D" w14:paraId="4D39C855" w14:textId="2BEAD29E" w:rsidTr="006371E5">
        <w:trPr>
          <w:trHeight w:val="274"/>
        </w:trPr>
        <w:tc>
          <w:tcPr>
            <w:tcW w:w="2623" w:type="dxa"/>
            <w:tcBorders>
              <w:top w:val="single" w:sz="4" w:space="0" w:color="auto"/>
              <w:right w:val="single" w:sz="4" w:space="0" w:color="auto"/>
            </w:tcBorders>
          </w:tcPr>
          <w:p w14:paraId="1B28F9EC" w14:textId="77777777" w:rsidR="008B729D" w:rsidRDefault="008B729D" w:rsidP="00AF4CAA">
            <w:pPr>
              <w:pStyle w:val="NoSpacing"/>
            </w:pPr>
            <w:r>
              <w:t>Massachusetts</w:t>
            </w:r>
          </w:p>
        </w:tc>
        <w:tc>
          <w:tcPr>
            <w:tcW w:w="1954" w:type="dxa"/>
            <w:tcBorders>
              <w:top w:val="single" w:sz="4" w:space="0" w:color="auto"/>
              <w:left w:val="single" w:sz="4" w:space="0" w:color="auto"/>
              <w:right w:val="single" w:sz="4" w:space="0" w:color="auto"/>
            </w:tcBorders>
          </w:tcPr>
          <w:p w14:paraId="0E089127" w14:textId="77777777" w:rsidR="008B729D" w:rsidRDefault="008B729D" w:rsidP="00AF4CAA">
            <w:pPr>
              <w:pStyle w:val="NoSpacing"/>
            </w:pPr>
            <w:r>
              <w:t>22</w:t>
            </w:r>
          </w:p>
        </w:tc>
        <w:tc>
          <w:tcPr>
            <w:tcW w:w="1264" w:type="dxa"/>
            <w:tcBorders>
              <w:top w:val="single" w:sz="4" w:space="0" w:color="auto"/>
              <w:left w:val="single" w:sz="4" w:space="0" w:color="auto"/>
            </w:tcBorders>
          </w:tcPr>
          <w:p w14:paraId="79B54467" w14:textId="37235488" w:rsidR="008B729D" w:rsidRDefault="008B729D" w:rsidP="00AF4CAA">
            <w:pPr>
              <w:pStyle w:val="NoSpacing"/>
            </w:pPr>
            <w:r w:rsidRPr="00EA4C54">
              <w:t>12</w:t>
            </w:r>
          </w:p>
        </w:tc>
        <w:tc>
          <w:tcPr>
            <w:tcW w:w="1167" w:type="dxa"/>
            <w:tcBorders>
              <w:top w:val="single" w:sz="4" w:space="0" w:color="auto"/>
            </w:tcBorders>
          </w:tcPr>
          <w:p w14:paraId="3A0E2F4F" w14:textId="71B6F987" w:rsidR="008B729D" w:rsidRDefault="008B729D" w:rsidP="00AF4CAA">
            <w:pPr>
              <w:pStyle w:val="NoSpacing"/>
            </w:pPr>
            <w:r w:rsidRPr="00EA4C54">
              <w:t>0</w:t>
            </w:r>
          </w:p>
        </w:tc>
        <w:tc>
          <w:tcPr>
            <w:tcW w:w="1607" w:type="dxa"/>
            <w:tcBorders>
              <w:top w:val="single" w:sz="4" w:space="0" w:color="auto"/>
            </w:tcBorders>
          </w:tcPr>
          <w:p w14:paraId="111B1AF1" w14:textId="0A6652D7" w:rsidR="008B729D" w:rsidRPr="00D75C77" w:rsidRDefault="008B729D" w:rsidP="00AF4CAA">
            <w:pPr>
              <w:pStyle w:val="NoSpacing"/>
            </w:pPr>
            <w:r w:rsidRPr="00EA4C54">
              <w:t>0</w:t>
            </w:r>
          </w:p>
        </w:tc>
        <w:tc>
          <w:tcPr>
            <w:tcW w:w="1459" w:type="dxa"/>
            <w:tcBorders>
              <w:top w:val="single" w:sz="4" w:space="0" w:color="auto"/>
            </w:tcBorders>
          </w:tcPr>
          <w:p w14:paraId="6A9EC0FA" w14:textId="0ADA686A" w:rsidR="008B729D" w:rsidRPr="00D75C77" w:rsidRDefault="008B729D" w:rsidP="00AF4CAA">
            <w:pPr>
              <w:pStyle w:val="NoSpacing"/>
            </w:pPr>
            <w:r w:rsidRPr="00EA4C54">
              <w:t>10</w:t>
            </w:r>
          </w:p>
        </w:tc>
      </w:tr>
      <w:tr w:rsidR="008B729D" w14:paraId="52CC0DD9" w14:textId="675E1EE5" w:rsidTr="006371E5">
        <w:trPr>
          <w:trHeight w:val="234"/>
        </w:trPr>
        <w:tc>
          <w:tcPr>
            <w:tcW w:w="2623" w:type="dxa"/>
            <w:tcBorders>
              <w:right w:val="single" w:sz="4" w:space="0" w:color="auto"/>
            </w:tcBorders>
          </w:tcPr>
          <w:p w14:paraId="3CC74E87" w14:textId="77777777" w:rsidR="008B729D" w:rsidRDefault="008B729D" w:rsidP="00AF4CAA">
            <w:pPr>
              <w:pStyle w:val="NoSpacing"/>
            </w:pPr>
            <w:r>
              <w:t>New Hampshire</w:t>
            </w:r>
          </w:p>
        </w:tc>
        <w:tc>
          <w:tcPr>
            <w:tcW w:w="1954" w:type="dxa"/>
            <w:tcBorders>
              <w:left w:val="single" w:sz="4" w:space="0" w:color="auto"/>
              <w:right w:val="single" w:sz="4" w:space="0" w:color="auto"/>
            </w:tcBorders>
          </w:tcPr>
          <w:p w14:paraId="451C6F3A" w14:textId="77777777" w:rsidR="008B729D" w:rsidRDefault="008B729D" w:rsidP="00AF4CAA">
            <w:pPr>
              <w:pStyle w:val="NoSpacing"/>
            </w:pPr>
            <w:r>
              <w:t>8</w:t>
            </w:r>
          </w:p>
        </w:tc>
        <w:tc>
          <w:tcPr>
            <w:tcW w:w="1264" w:type="dxa"/>
            <w:tcBorders>
              <w:left w:val="single" w:sz="4" w:space="0" w:color="auto"/>
            </w:tcBorders>
          </w:tcPr>
          <w:p w14:paraId="6EE3EA45" w14:textId="0D7DCF2A" w:rsidR="008B729D" w:rsidRDefault="008B729D" w:rsidP="00AF4CAA">
            <w:pPr>
              <w:pStyle w:val="NoSpacing"/>
            </w:pPr>
            <w:r w:rsidRPr="00EA4C54">
              <w:t>6</w:t>
            </w:r>
          </w:p>
        </w:tc>
        <w:tc>
          <w:tcPr>
            <w:tcW w:w="1167" w:type="dxa"/>
          </w:tcPr>
          <w:p w14:paraId="389F4FFA" w14:textId="2DB9C6D5" w:rsidR="008B729D" w:rsidRDefault="008B729D" w:rsidP="00AF4CAA">
            <w:pPr>
              <w:pStyle w:val="NoSpacing"/>
            </w:pPr>
            <w:r w:rsidRPr="00EA4C54">
              <w:t>1</w:t>
            </w:r>
          </w:p>
        </w:tc>
        <w:tc>
          <w:tcPr>
            <w:tcW w:w="1607" w:type="dxa"/>
          </w:tcPr>
          <w:p w14:paraId="11C7AF87" w14:textId="650C1AC2" w:rsidR="008B729D" w:rsidRPr="00D75C77" w:rsidRDefault="008B729D" w:rsidP="00AF4CAA">
            <w:pPr>
              <w:pStyle w:val="NoSpacing"/>
            </w:pPr>
            <w:r w:rsidRPr="00EA4C54">
              <w:t>0</w:t>
            </w:r>
          </w:p>
        </w:tc>
        <w:tc>
          <w:tcPr>
            <w:tcW w:w="1459" w:type="dxa"/>
          </w:tcPr>
          <w:p w14:paraId="20D41C7F" w14:textId="620D6D0E" w:rsidR="008B729D" w:rsidRPr="00D75C77" w:rsidRDefault="008B729D" w:rsidP="00AF4CAA">
            <w:pPr>
              <w:pStyle w:val="NoSpacing"/>
            </w:pPr>
            <w:r w:rsidRPr="00EA4C54">
              <w:t>1</w:t>
            </w:r>
          </w:p>
        </w:tc>
      </w:tr>
      <w:tr w:rsidR="008B729D" w14:paraId="216369A1" w14:textId="0455FDCC" w:rsidTr="006371E5">
        <w:trPr>
          <w:trHeight w:val="265"/>
        </w:trPr>
        <w:tc>
          <w:tcPr>
            <w:tcW w:w="2623" w:type="dxa"/>
            <w:tcBorders>
              <w:right w:val="single" w:sz="4" w:space="0" w:color="auto"/>
            </w:tcBorders>
          </w:tcPr>
          <w:p w14:paraId="793C2A7A" w14:textId="77777777" w:rsidR="008B729D" w:rsidRDefault="008B729D" w:rsidP="00AF4CAA">
            <w:pPr>
              <w:pStyle w:val="NoSpacing"/>
            </w:pPr>
            <w:r>
              <w:t>Vermont</w:t>
            </w:r>
          </w:p>
        </w:tc>
        <w:tc>
          <w:tcPr>
            <w:tcW w:w="1954" w:type="dxa"/>
            <w:tcBorders>
              <w:left w:val="single" w:sz="4" w:space="0" w:color="auto"/>
              <w:right w:val="single" w:sz="4" w:space="0" w:color="auto"/>
            </w:tcBorders>
          </w:tcPr>
          <w:p w14:paraId="143672B3" w14:textId="77777777" w:rsidR="008B729D" w:rsidRDefault="008B729D" w:rsidP="00AF4CAA">
            <w:pPr>
              <w:pStyle w:val="NoSpacing"/>
            </w:pPr>
            <w:r>
              <w:t>8</w:t>
            </w:r>
          </w:p>
        </w:tc>
        <w:tc>
          <w:tcPr>
            <w:tcW w:w="1264" w:type="dxa"/>
            <w:tcBorders>
              <w:left w:val="single" w:sz="4" w:space="0" w:color="auto"/>
            </w:tcBorders>
          </w:tcPr>
          <w:p w14:paraId="07DAF18E" w14:textId="64D7E35D" w:rsidR="008B729D" w:rsidRDefault="008B729D" w:rsidP="00AF4CAA">
            <w:pPr>
              <w:pStyle w:val="NoSpacing"/>
            </w:pPr>
            <w:r w:rsidRPr="00EA4C54">
              <w:t>4</w:t>
            </w:r>
          </w:p>
        </w:tc>
        <w:tc>
          <w:tcPr>
            <w:tcW w:w="1167" w:type="dxa"/>
          </w:tcPr>
          <w:p w14:paraId="757194B9" w14:textId="6048CCAF" w:rsidR="008B729D" w:rsidRDefault="008B729D" w:rsidP="00AF4CAA">
            <w:pPr>
              <w:pStyle w:val="NoSpacing"/>
            </w:pPr>
            <w:r w:rsidRPr="00EA4C54">
              <w:t>0</w:t>
            </w:r>
          </w:p>
        </w:tc>
        <w:tc>
          <w:tcPr>
            <w:tcW w:w="1607" w:type="dxa"/>
          </w:tcPr>
          <w:p w14:paraId="4DE7CBA8" w14:textId="542661AD" w:rsidR="008B729D" w:rsidRPr="00D75C77" w:rsidRDefault="008B729D" w:rsidP="00AF4CAA">
            <w:pPr>
              <w:pStyle w:val="NoSpacing"/>
            </w:pPr>
            <w:r w:rsidRPr="00EA4C54">
              <w:t>0</w:t>
            </w:r>
          </w:p>
        </w:tc>
        <w:tc>
          <w:tcPr>
            <w:tcW w:w="1459" w:type="dxa"/>
          </w:tcPr>
          <w:p w14:paraId="71F61D6C" w14:textId="7F6ED378" w:rsidR="008B729D" w:rsidRPr="00D75C77" w:rsidRDefault="008B729D" w:rsidP="00AF4CAA">
            <w:pPr>
              <w:pStyle w:val="NoSpacing"/>
            </w:pPr>
            <w:r w:rsidRPr="00EA4C54">
              <w:t>4</w:t>
            </w:r>
          </w:p>
        </w:tc>
      </w:tr>
      <w:tr w:rsidR="008B729D" w14:paraId="76A6D70F" w14:textId="09D3BFC9" w:rsidTr="006371E5">
        <w:trPr>
          <w:trHeight w:val="274"/>
        </w:trPr>
        <w:tc>
          <w:tcPr>
            <w:tcW w:w="2623" w:type="dxa"/>
            <w:tcBorders>
              <w:right w:val="single" w:sz="4" w:space="0" w:color="auto"/>
            </w:tcBorders>
          </w:tcPr>
          <w:p w14:paraId="7DD81908" w14:textId="77777777" w:rsidR="008B729D" w:rsidRDefault="008B729D" w:rsidP="00AF4CAA">
            <w:pPr>
              <w:pStyle w:val="NoSpacing"/>
            </w:pPr>
            <w:r>
              <w:t>Rhode Island</w:t>
            </w:r>
          </w:p>
        </w:tc>
        <w:tc>
          <w:tcPr>
            <w:tcW w:w="1954" w:type="dxa"/>
            <w:tcBorders>
              <w:left w:val="single" w:sz="4" w:space="0" w:color="auto"/>
              <w:right w:val="single" w:sz="4" w:space="0" w:color="auto"/>
            </w:tcBorders>
          </w:tcPr>
          <w:p w14:paraId="6645360D" w14:textId="77777777" w:rsidR="008B729D" w:rsidRDefault="008B729D" w:rsidP="00AF4CAA">
            <w:pPr>
              <w:pStyle w:val="NoSpacing"/>
            </w:pPr>
            <w:r>
              <w:t>4</w:t>
            </w:r>
          </w:p>
        </w:tc>
        <w:tc>
          <w:tcPr>
            <w:tcW w:w="1264" w:type="dxa"/>
            <w:tcBorders>
              <w:left w:val="single" w:sz="4" w:space="0" w:color="auto"/>
            </w:tcBorders>
          </w:tcPr>
          <w:p w14:paraId="08376B2A" w14:textId="5B8A7D14" w:rsidR="008B729D" w:rsidRDefault="008B729D" w:rsidP="00AF4CAA">
            <w:pPr>
              <w:pStyle w:val="NoSpacing"/>
            </w:pPr>
            <w:r w:rsidRPr="00EA4C54">
              <w:t>3</w:t>
            </w:r>
          </w:p>
        </w:tc>
        <w:tc>
          <w:tcPr>
            <w:tcW w:w="1167" w:type="dxa"/>
          </w:tcPr>
          <w:p w14:paraId="5116E6F3" w14:textId="2E1314B1" w:rsidR="008B729D" w:rsidRDefault="008B729D" w:rsidP="00AF4CAA">
            <w:pPr>
              <w:pStyle w:val="NoSpacing"/>
            </w:pPr>
            <w:r w:rsidRPr="00EA4C54">
              <w:t>1</w:t>
            </w:r>
          </w:p>
        </w:tc>
        <w:tc>
          <w:tcPr>
            <w:tcW w:w="1607" w:type="dxa"/>
          </w:tcPr>
          <w:p w14:paraId="6129A65E" w14:textId="7FE8C48A" w:rsidR="008B729D" w:rsidRPr="00D75C77" w:rsidRDefault="008B729D" w:rsidP="00AF4CAA">
            <w:pPr>
              <w:pStyle w:val="NoSpacing"/>
            </w:pPr>
            <w:r w:rsidRPr="00EA4C54">
              <w:t>0</w:t>
            </w:r>
          </w:p>
        </w:tc>
        <w:tc>
          <w:tcPr>
            <w:tcW w:w="1459" w:type="dxa"/>
          </w:tcPr>
          <w:p w14:paraId="1B7125C3" w14:textId="77A89A1C" w:rsidR="008B729D" w:rsidRPr="00D75C77" w:rsidRDefault="008B729D" w:rsidP="00AF4CAA">
            <w:pPr>
              <w:pStyle w:val="NoSpacing"/>
            </w:pPr>
            <w:r w:rsidRPr="00EA4C54">
              <w:t>0</w:t>
            </w:r>
          </w:p>
        </w:tc>
      </w:tr>
      <w:tr w:rsidR="008B729D" w14:paraId="3F250C71" w14:textId="5EC275F7" w:rsidTr="006371E5">
        <w:trPr>
          <w:trHeight w:val="265"/>
        </w:trPr>
        <w:tc>
          <w:tcPr>
            <w:tcW w:w="2623" w:type="dxa"/>
            <w:tcBorders>
              <w:right w:val="single" w:sz="4" w:space="0" w:color="auto"/>
            </w:tcBorders>
          </w:tcPr>
          <w:p w14:paraId="79955208" w14:textId="77777777" w:rsidR="008B729D" w:rsidRDefault="008B729D" w:rsidP="00AF4CAA">
            <w:pPr>
              <w:pStyle w:val="NoSpacing"/>
            </w:pPr>
            <w:r>
              <w:t>Connecticut</w:t>
            </w:r>
          </w:p>
        </w:tc>
        <w:tc>
          <w:tcPr>
            <w:tcW w:w="1954" w:type="dxa"/>
            <w:tcBorders>
              <w:left w:val="single" w:sz="4" w:space="0" w:color="auto"/>
              <w:right w:val="single" w:sz="4" w:space="0" w:color="auto"/>
            </w:tcBorders>
          </w:tcPr>
          <w:p w14:paraId="7078F936" w14:textId="77777777" w:rsidR="008B729D" w:rsidRDefault="008B729D" w:rsidP="00AF4CAA">
            <w:pPr>
              <w:pStyle w:val="NoSpacing"/>
            </w:pPr>
            <w:r>
              <w:t>10</w:t>
            </w:r>
          </w:p>
        </w:tc>
        <w:tc>
          <w:tcPr>
            <w:tcW w:w="1264" w:type="dxa"/>
            <w:tcBorders>
              <w:left w:val="single" w:sz="4" w:space="0" w:color="auto"/>
            </w:tcBorders>
          </w:tcPr>
          <w:p w14:paraId="6BFD73A4" w14:textId="4D724FBB" w:rsidR="008B729D" w:rsidRDefault="008B729D" w:rsidP="00AF4CAA">
            <w:pPr>
              <w:pStyle w:val="NoSpacing"/>
            </w:pPr>
            <w:r w:rsidRPr="00EA4C54">
              <w:t>6</w:t>
            </w:r>
          </w:p>
        </w:tc>
        <w:tc>
          <w:tcPr>
            <w:tcW w:w="1167" w:type="dxa"/>
          </w:tcPr>
          <w:p w14:paraId="754A517D" w14:textId="3147040A" w:rsidR="008B729D" w:rsidRDefault="008B729D" w:rsidP="00AF4CAA">
            <w:pPr>
              <w:pStyle w:val="NoSpacing"/>
            </w:pPr>
            <w:r w:rsidRPr="00EA4C54">
              <w:t>3</w:t>
            </w:r>
          </w:p>
        </w:tc>
        <w:tc>
          <w:tcPr>
            <w:tcW w:w="1607" w:type="dxa"/>
          </w:tcPr>
          <w:p w14:paraId="589F8E98" w14:textId="2813F13B" w:rsidR="008B729D" w:rsidRPr="00D75C77" w:rsidRDefault="008B729D" w:rsidP="00AF4CAA">
            <w:pPr>
              <w:pStyle w:val="NoSpacing"/>
            </w:pPr>
            <w:r w:rsidRPr="00EA4C54">
              <w:t>0</w:t>
            </w:r>
          </w:p>
        </w:tc>
        <w:tc>
          <w:tcPr>
            <w:tcW w:w="1459" w:type="dxa"/>
          </w:tcPr>
          <w:p w14:paraId="6534738C" w14:textId="26501D95" w:rsidR="008B729D" w:rsidRPr="00D75C77" w:rsidRDefault="008B729D" w:rsidP="00AF4CAA">
            <w:pPr>
              <w:pStyle w:val="NoSpacing"/>
            </w:pPr>
            <w:r w:rsidRPr="00EA4C54">
              <w:t>1</w:t>
            </w:r>
          </w:p>
        </w:tc>
      </w:tr>
      <w:tr w:rsidR="008B729D" w14:paraId="44BA6CE6" w14:textId="2841B480" w:rsidTr="006371E5">
        <w:trPr>
          <w:trHeight w:val="274"/>
        </w:trPr>
        <w:tc>
          <w:tcPr>
            <w:tcW w:w="2623" w:type="dxa"/>
            <w:tcBorders>
              <w:right w:val="single" w:sz="4" w:space="0" w:color="auto"/>
            </w:tcBorders>
          </w:tcPr>
          <w:p w14:paraId="0B5B1169" w14:textId="77777777" w:rsidR="008B729D" w:rsidRDefault="008B729D" w:rsidP="00AF4CAA">
            <w:pPr>
              <w:pStyle w:val="NoSpacing"/>
            </w:pPr>
            <w:r>
              <w:t>New York</w:t>
            </w:r>
          </w:p>
        </w:tc>
        <w:tc>
          <w:tcPr>
            <w:tcW w:w="1954" w:type="dxa"/>
            <w:tcBorders>
              <w:left w:val="single" w:sz="4" w:space="0" w:color="auto"/>
              <w:right w:val="single" w:sz="4" w:space="0" w:color="auto"/>
            </w:tcBorders>
          </w:tcPr>
          <w:p w14:paraId="3FB7B220" w14:textId="77777777" w:rsidR="008B729D" w:rsidRDefault="008B729D" w:rsidP="00AF4CAA">
            <w:pPr>
              <w:pStyle w:val="NoSpacing"/>
            </w:pPr>
            <w:r>
              <w:t>33</w:t>
            </w:r>
          </w:p>
        </w:tc>
        <w:tc>
          <w:tcPr>
            <w:tcW w:w="1264" w:type="dxa"/>
            <w:tcBorders>
              <w:left w:val="single" w:sz="4" w:space="0" w:color="auto"/>
            </w:tcBorders>
          </w:tcPr>
          <w:p w14:paraId="05394C52" w14:textId="0ABB1381" w:rsidR="008B729D" w:rsidRDefault="008B729D" w:rsidP="00AF4CAA">
            <w:pPr>
              <w:pStyle w:val="NoSpacing"/>
            </w:pPr>
            <w:r w:rsidRPr="00EA4C54">
              <w:t>27</w:t>
            </w:r>
          </w:p>
        </w:tc>
        <w:tc>
          <w:tcPr>
            <w:tcW w:w="1167" w:type="dxa"/>
          </w:tcPr>
          <w:p w14:paraId="02319F57" w14:textId="6FEF3617" w:rsidR="008B729D" w:rsidRDefault="008B729D" w:rsidP="00AF4CAA">
            <w:pPr>
              <w:pStyle w:val="NoSpacing"/>
            </w:pPr>
            <w:r w:rsidRPr="00EA4C54">
              <w:t>4</w:t>
            </w:r>
          </w:p>
        </w:tc>
        <w:tc>
          <w:tcPr>
            <w:tcW w:w="1607" w:type="dxa"/>
          </w:tcPr>
          <w:p w14:paraId="18305C04" w14:textId="28247638" w:rsidR="008B729D" w:rsidRPr="00D75C77" w:rsidRDefault="008B729D" w:rsidP="00AF4CAA">
            <w:pPr>
              <w:pStyle w:val="NoSpacing"/>
            </w:pPr>
            <w:r w:rsidRPr="00EA4C54">
              <w:t>0</w:t>
            </w:r>
          </w:p>
        </w:tc>
        <w:tc>
          <w:tcPr>
            <w:tcW w:w="1459" w:type="dxa"/>
          </w:tcPr>
          <w:p w14:paraId="7BB668E4" w14:textId="0FAD4C0E" w:rsidR="008B729D" w:rsidRPr="00D75C77" w:rsidRDefault="008B729D" w:rsidP="00AF4CAA">
            <w:pPr>
              <w:pStyle w:val="NoSpacing"/>
            </w:pPr>
            <w:r w:rsidRPr="00EA4C54">
              <w:t>2</w:t>
            </w:r>
          </w:p>
        </w:tc>
      </w:tr>
      <w:tr w:rsidR="008B729D" w14:paraId="659B3AA5" w14:textId="1FE2DD3B" w:rsidTr="006371E5">
        <w:trPr>
          <w:trHeight w:val="265"/>
        </w:trPr>
        <w:tc>
          <w:tcPr>
            <w:tcW w:w="2623" w:type="dxa"/>
            <w:tcBorders>
              <w:right w:val="single" w:sz="4" w:space="0" w:color="auto"/>
            </w:tcBorders>
          </w:tcPr>
          <w:p w14:paraId="3EF09869" w14:textId="77777777" w:rsidR="008B729D" w:rsidRDefault="008B729D" w:rsidP="00AF4CAA">
            <w:pPr>
              <w:pStyle w:val="NoSpacing"/>
            </w:pPr>
            <w:r>
              <w:t>Pennsylvania</w:t>
            </w:r>
          </w:p>
        </w:tc>
        <w:tc>
          <w:tcPr>
            <w:tcW w:w="1954" w:type="dxa"/>
            <w:tcBorders>
              <w:left w:val="single" w:sz="4" w:space="0" w:color="auto"/>
              <w:right w:val="single" w:sz="4" w:space="0" w:color="auto"/>
            </w:tcBorders>
          </w:tcPr>
          <w:p w14:paraId="2F13D15B" w14:textId="77777777" w:rsidR="008B729D" w:rsidRDefault="008B729D" w:rsidP="00AF4CAA">
            <w:pPr>
              <w:pStyle w:val="NoSpacing"/>
            </w:pPr>
            <w:r>
              <w:t>26</w:t>
            </w:r>
          </w:p>
        </w:tc>
        <w:tc>
          <w:tcPr>
            <w:tcW w:w="1264" w:type="dxa"/>
            <w:tcBorders>
              <w:left w:val="single" w:sz="4" w:space="0" w:color="auto"/>
            </w:tcBorders>
          </w:tcPr>
          <w:p w14:paraId="26536867" w14:textId="17C5F92A" w:rsidR="008B729D" w:rsidRDefault="008B729D" w:rsidP="00AF4CAA">
            <w:pPr>
              <w:pStyle w:val="NoSpacing"/>
            </w:pPr>
            <w:r w:rsidRPr="00EA4C54">
              <w:t>22</w:t>
            </w:r>
          </w:p>
        </w:tc>
        <w:tc>
          <w:tcPr>
            <w:tcW w:w="1167" w:type="dxa"/>
          </w:tcPr>
          <w:p w14:paraId="68D8F0D0" w14:textId="6105370E" w:rsidR="008B729D" w:rsidRDefault="008B729D" w:rsidP="00AF4CAA">
            <w:pPr>
              <w:pStyle w:val="NoSpacing"/>
            </w:pPr>
            <w:r w:rsidRPr="00EA4C54">
              <w:t>4</w:t>
            </w:r>
          </w:p>
        </w:tc>
        <w:tc>
          <w:tcPr>
            <w:tcW w:w="1607" w:type="dxa"/>
          </w:tcPr>
          <w:p w14:paraId="3E5F5210" w14:textId="3C259641" w:rsidR="008B729D" w:rsidRPr="00D75C77" w:rsidRDefault="008B729D" w:rsidP="00AF4CAA">
            <w:pPr>
              <w:pStyle w:val="NoSpacing"/>
            </w:pPr>
            <w:r w:rsidRPr="00EA4C54">
              <w:t>0</w:t>
            </w:r>
          </w:p>
        </w:tc>
        <w:tc>
          <w:tcPr>
            <w:tcW w:w="1459" w:type="dxa"/>
          </w:tcPr>
          <w:p w14:paraId="5D4DD136" w14:textId="303FF1D7" w:rsidR="008B729D" w:rsidRPr="00D75C77" w:rsidRDefault="008B729D" w:rsidP="00AF4CAA">
            <w:pPr>
              <w:pStyle w:val="NoSpacing"/>
            </w:pPr>
            <w:r w:rsidRPr="00EA4C54">
              <w:t>0</w:t>
            </w:r>
          </w:p>
        </w:tc>
      </w:tr>
      <w:tr w:rsidR="008B729D" w14:paraId="283C54D0" w14:textId="0D5FE7FA" w:rsidTr="006371E5">
        <w:trPr>
          <w:trHeight w:val="274"/>
        </w:trPr>
        <w:tc>
          <w:tcPr>
            <w:tcW w:w="2623" w:type="dxa"/>
            <w:tcBorders>
              <w:right w:val="single" w:sz="4" w:space="0" w:color="auto"/>
            </w:tcBorders>
          </w:tcPr>
          <w:p w14:paraId="0F25B90A" w14:textId="77777777" w:rsidR="008B729D" w:rsidRDefault="008B729D" w:rsidP="00AF4CAA">
            <w:pPr>
              <w:pStyle w:val="NoSpacing"/>
            </w:pPr>
            <w:r>
              <w:t>New Jersey</w:t>
            </w:r>
          </w:p>
        </w:tc>
        <w:tc>
          <w:tcPr>
            <w:tcW w:w="1954" w:type="dxa"/>
            <w:tcBorders>
              <w:left w:val="single" w:sz="4" w:space="0" w:color="auto"/>
              <w:right w:val="single" w:sz="4" w:space="0" w:color="auto"/>
            </w:tcBorders>
          </w:tcPr>
          <w:p w14:paraId="35387A18" w14:textId="77777777" w:rsidR="008B729D" w:rsidRDefault="008B729D" w:rsidP="00AF4CAA">
            <w:pPr>
              <w:pStyle w:val="NoSpacing"/>
            </w:pPr>
            <w:r>
              <w:t>8</w:t>
            </w:r>
          </w:p>
        </w:tc>
        <w:tc>
          <w:tcPr>
            <w:tcW w:w="1264" w:type="dxa"/>
            <w:tcBorders>
              <w:left w:val="single" w:sz="4" w:space="0" w:color="auto"/>
            </w:tcBorders>
          </w:tcPr>
          <w:p w14:paraId="52B0ACCE" w14:textId="0E717B88" w:rsidR="008B729D" w:rsidRDefault="008B729D" w:rsidP="00AF4CAA">
            <w:pPr>
              <w:pStyle w:val="NoSpacing"/>
            </w:pPr>
            <w:r w:rsidRPr="00EA4C54">
              <w:t>6</w:t>
            </w:r>
          </w:p>
        </w:tc>
        <w:tc>
          <w:tcPr>
            <w:tcW w:w="1167" w:type="dxa"/>
          </w:tcPr>
          <w:p w14:paraId="5EE23C9E" w14:textId="4613043E" w:rsidR="008B729D" w:rsidRDefault="008B729D" w:rsidP="00AF4CAA">
            <w:pPr>
              <w:pStyle w:val="NoSpacing"/>
            </w:pPr>
            <w:r w:rsidRPr="00EA4C54">
              <w:t>2</w:t>
            </w:r>
          </w:p>
        </w:tc>
        <w:tc>
          <w:tcPr>
            <w:tcW w:w="1607" w:type="dxa"/>
          </w:tcPr>
          <w:p w14:paraId="3AF7CB7E" w14:textId="48234527" w:rsidR="008B729D" w:rsidRPr="00D75C77" w:rsidRDefault="008B729D" w:rsidP="00AF4CAA">
            <w:pPr>
              <w:pStyle w:val="NoSpacing"/>
            </w:pPr>
            <w:r w:rsidRPr="00EA4C54">
              <w:t>0</w:t>
            </w:r>
          </w:p>
        </w:tc>
        <w:tc>
          <w:tcPr>
            <w:tcW w:w="1459" w:type="dxa"/>
          </w:tcPr>
          <w:p w14:paraId="33530FC1" w14:textId="609B0D40" w:rsidR="008B729D" w:rsidRPr="00D75C77" w:rsidRDefault="008B729D" w:rsidP="00AF4CAA">
            <w:pPr>
              <w:pStyle w:val="NoSpacing"/>
            </w:pPr>
            <w:r w:rsidRPr="00EA4C54">
              <w:t>0</w:t>
            </w:r>
          </w:p>
        </w:tc>
      </w:tr>
      <w:tr w:rsidR="008B729D" w14:paraId="6B2F4D83" w14:textId="14901FDB" w:rsidTr="006371E5">
        <w:trPr>
          <w:trHeight w:val="265"/>
        </w:trPr>
        <w:tc>
          <w:tcPr>
            <w:tcW w:w="2623" w:type="dxa"/>
            <w:tcBorders>
              <w:right w:val="single" w:sz="4" w:space="0" w:color="auto"/>
            </w:tcBorders>
          </w:tcPr>
          <w:p w14:paraId="2D8E7A1E" w14:textId="77777777" w:rsidR="008B729D" w:rsidRDefault="008B729D" w:rsidP="00AF4CAA">
            <w:pPr>
              <w:pStyle w:val="NoSpacing"/>
            </w:pPr>
            <w:r>
              <w:t>Delaware</w:t>
            </w:r>
          </w:p>
        </w:tc>
        <w:tc>
          <w:tcPr>
            <w:tcW w:w="1954" w:type="dxa"/>
            <w:tcBorders>
              <w:left w:val="single" w:sz="4" w:space="0" w:color="auto"/>
              <w:right w:val="single" w:sz="4" w:space="0" w:color="auto"/>
            </w:tcBorders>
          </w:tcPr>
          <w:p w14:paraId="4DEFA079" w14:textId="77777777" w:rsidR="008B729D" w:rsidRDefault="008B729D" w:rsidP="00AF4CAA">
            <w:pPr>
              <w:pStyle w:val="NoSpacing"/>
            </w:pPr>
            <w:r>
              <w:t>4</w:t>
            </w:r>
          </w:p>
        </w:tc>
        <w:tc>
          <w:tcPr>
            <w:tcW w:w="1264" w:type="dxa"/>
            <w:tcBorders>
              <w:left w:val="single" w:sz="4" w:space="0" w:color="auto"/>
            </w:tcBorders>
          </w:tcPr>
          <w:p w14:paraId="7CEC180C" w14:textId="4D98576A" w:rsidR="008B729D" w:rsidRDefault="008B729D" w:rsidP="00AF4CAA">
            <w:pPr>
              <w:pStyle w:val="NoSpacing"/>
            </w:pPr>
            <w:r w:rsidRPr="00EA4C54">
              <w:t>0</w:t>
            </w:r>
          </w:p>
        </w:tc>
        <w:tc>
          <w:tcPr>
            <w:tcW w:w="1167" w:type="dxa"/>
          </w:tcPr>
          <w:p w14:paraId="08637940" w14:textId="056C6CF7" w:rsidR="008B729D" w:rsidRDefault="008B729D" w:rsidP="00AF4CAA">
            <w:pPr>
              <w:pStyle w:val="NoSpacing"/>
            </w:pPr>
            <w:r w:rsidRPr="00EA4C54">
              <w:t>4</w:t>
            </w:r>
          </w:p>
        </w:tc>
        <w:tc>
          <w:tcPr>
            <w:tcW w:w="1607" w:type="dxa"/>
          </w:tcPr>
          <w:p w14:paraId="5ECC1FD8" w14:textId="40A958BA" w:rsidR="008B729D" w:rsidRPr="00D75C77" w:rsidRDefault="008B729D" w:rsidP="00AF4CAA">
            <w:pPr>
              <w:pStyle w:val="NoSpacing"/>
            </w:pPr>
            <w:r w:rsidRPr="00EA4C54">
              <w:t>0</w:t>
            </w:r>
          </w:p>
        </w:tc>
        <w:tc>
          <w:tcPr>
            <w:tcW w:w="1459" w:type="dxa"/>
          </w:tcPr>
          <w:p w14:paraId="7822C5A2" w14:textId="75940E9A" w:rsidR="008B729D" w:rsidRPr="00D75C77" w:rsidRDefault="008B729D" w:rsidP="00AF4CAA">
            <w:pPr>
              <w:pStyle w:val="NoSpacing"/>
            </w:pPr>
            <w:r w:rsidRPr="00EA4C54">
              <w:t>0</w:t>
            </w:r>
          </w:p>
        </w:tc>
      </w:tr>
      <w:tr w:rsidR="008B729D" w14:paraId="656B4377" w14:textId="6904D714" w:rsidTr="006371E5">
        <w:trPr>
          <w:trHeight w:val="265"/>
        </w:trPr>
        <w:tc>
          <w:tcPr>
            <w:tcW w:w="2623" w:type="dxa"/>
            <w:tcBorders>
              <w:right w:val="single" w:sz="4" w:space="0" w:color="auto"/>
            </w:tcBorders>
          </w:tcPr>
          <w:p w14:paraId="10BD7C73" w14:textId="77777777" w:rsidR="008B729D" w:rsidRDefault="008B729D" w:rsidP="00AF4CAA">
            <w:pPr>
              <w:pStyle w:val="NoSpacing"/>
            </w:pPr>
            <w:r>
              <w:t>Maryland</w:t>
            </w:r>
          </w:p>
        </w:tc>
        <w:tc>
          <w:tcPr>
            <w:tcW w:w="1954" w:type="dxa"/>
            <w:tcBorders>
              <w:left w:val="single" w:sz="4" w:space="0" w:color="auto"/>
              <w:right w:val="single" w:sz="4" w:space="0" w:color="auto"/>
            </w:tcBorders>
          </w:tcPr>
          <w:p w14:paraId="505C03F2" w14:textId="77777777" w:rsidR="008B729D" w:rsidRDefault="008B729D" w:rsidP="00AF4CAA">
            <w:pPr>
              <w:pStyle w:val="NoSpacing"/>
            </w:pPr>
            <w:r>
              <w:t>11</w:t>
            </w:r>
          </w:p>
        </w:tc>
        <w:tc>
          <w:tcPr>
            <w:tcW w:w="1264" w:type="dxa"/>
            <w:tcBorders>
              <w:left w:val="single" w:sz="4" w:space="0" w:color="auto"/>
            </w:tcBorders>
          </w:tcPr>
          <w:p w14:paraId="75102F48" w14:textId="606ACBA0" w:rsidR="008B729D" w:rsidRDefault="008B729D" w:rsidP="00AF4CAA">
            <w:pPr>
              <w:pStyle w:val="NoSpacing"/>
            </w:pPr>
            <w:r w:rsidRPr="00EA4C54">
              <w:t>7</w:t>
            </w:r>
          </w:p>
        </w:tc>
        <w:tc>
          <w:tcPr>
            <w:tcW w:w="1167" w:type="dxa"/>
          </w:tcPr>
          <w:p w14:paraId="08F2CB3B" w14:textId="73825286" w:rsidR="008B729D" w:rsidRDefault="008B729D" w:rsidP="00AF4CAA">
            <w:pPr>
              <w:pStyle w:val="NoSpacing"/>
            </w:pPr>
            <w:r w:rsidRPr="00EA4C54">
              <w:t>4</w:t>
            </w:r>
          </w:p>
        </w:tc>
        <w:tc>
          <w:tcPr>
            <w:tcW w:w="1607" w:type="dxa"/>
          </w:tcPr>
          <w:p w14:paraId="72C999B2" w14:textId="7363A8BA" w:rsidR="008B729D" w:rsidRPr="00D75C77" w:rsidRDefault="008B729D" w:rsidP="00AF4CAA">
            <w:pPr>
              <w:pStyle w:val="NoSpacing"/>
            </w:pPr>
            <w:r w:rsidRPr="00EA4C54">
              <w:t>0</w:t>
            </w:r>
          </w:p>
        </w:tc>
        <w:tc>
          <w:tcPr>
            <w:tcW w:w="1459" w:type="dxa"/>
          </w:tcPr>
          <w:p w14:paraId="79BC0496" w14:textId="0D8CD24E" w:rsidR="008B729D" w:rsidRPr="00D75C77" w:rsidRDefault="008B729D" w:rsidP="00AF4CAA">
            <w:pPr>
              <w:pStyle w:val="NoSpacing"/>
            </w:pPr>
            <w:r w:rsidRPr="00EA4C54">
              <w:t>0</w:t>
            </w:r>
          </w:p>
        </w:tc>
      </w:tr>
      <w:tr w:rsidR="008B729D" w14:paraId="1EFA03C3" w14:textId="3D08E507" w:rsidTr="006371E5">
        <w:trPr>
          <w:trHeight w:val="274"/>
        </w:trPr>
        <w:tc>
          <w:tcPr>
            <w:tcW w:w="2623" w:type="dxa"/>
            <w:tcBorders>
              <w:right w:val="single" w:sz="4" w:space="0" w:color="auto"/>
            </w:tcBorders>
          </w:tcPr>
          <w:p w14:paraId="5F080C70" w14:textId="77777777" w:rsidR="008B729D" w:rsidRDefault="008B729D" w:rsidP="00AF4CAA">
            <w:pPr>
              <w:pStyle w:val="NoSpacing"/>
            </w:pPr>
            <w:r>
              <w:t>Ohio</w:t>
            </w:r>
          </w:p>
        </w:tc>
        <w:tc>
          <w:tcPr>
            <w:tcW w:w="1954" w:type="dxa"/>
            <w:tcBorders>
              <w:left w:val="single" w:sz="4" w:space="0" w:color="auto"/>
              <w:right w:val="single" w:sz="4" w:space="0" w:color="auto"/>
            </w:tcBorders>
          </w:tcPr>
          <w:p w14:paraId="52D20738" w14:textId="77777777" w:rsidR="008B729D" w:rsidRDefault="008B729D" w:rsidP="00AF4CAA">
            <w:pPr>
              <w:pStyle w:val="NoSpacing"/>
            </w:pPr>
            <w:r>
              <w:t>8</w:t>
            </w:r>
          </w:p>
        </w:tc>
        <w:tc>
          <w:tcPr>
            <w:tcW w:w="1264" w:type="dxa"/>
            <w:tcBorders>
              <w:left w:val="single" w:sz="4" w:space="0" w:color="auto"/>
            </w:tcBorders>
          </w:tcPr>
          <w:p w14:paraId="5E6BC3B6" w14:textId="5DE248FD" w:rsidR="008B729D" w:rsidRDefault="000859C0" w:rsidP="00AF4CAA">
            <w:pPr>
              <w:pStyle w:val="NoSpacing"/>
            </w:pPr>
            <w:r>
              <w:t>6</w:t>
            </w:r>
          </w:p>
        </w:tc>
        <w:tc>
          <w:tcPr>
            <w:tcW w:w="1167" w:type="dxa"/>
          </w:tcPr>
          <w:p w14:paraId="67400B2F" w14:textId="0832FED1" w:rsidR="008B729D" w:rsidRDefault="000859C0" w:rsidP="00AF4CAA">
            <w:pPr>
              <w:pStyle w:val="NoSpacing"/>
            </w:pPr>
            <w:r>
              <w:t>2</w:t>
            </w:r>
          </w:p>
        </w:tc>
        <w:tc>
          <w:tcPr>
            <w:tcW w:w="1607" w:type="dxa"/>
          </w:tcPr>
          <w:p w14:paraId="78EAB891" w14:textId="5F79F19E" w:rsidR="008B729D" w:rsidRPr="00D75C77" w:rsidRDefault="008B729D" w:rsidP="00AF4CAA">
            <w:pPr>
              <w:pStyle w:val="NoSpacing"/>
            </w:pPr>
            <w:r w:rsidRPr="00EA4C54">
              <w:t>0</w:t>
            </w:r>
          </w:p>
        </w:tc>
        <w:tc>
          <w:tcPr>
            <w:tcW w:w="1459" w:type="dxa"/>
          </w:tcPr>
          <w:p w14:paraId="1947252C" w14:textId="314C6B9B" w:rsidR="008B729D" w:rsidRPr="00D75C77" w:rsidRDefault="008B729D" w:rsidP="00AF4CAA">
            <w:pPr>
              <w:pStyle w:val="NoSpacing"/>
            </w:pPr>
            <w:r w:rsidRPr="00EA4C54">
              <w:t>0</w:t>
            </w:r>
          </w:p>
        </w:tc>
      </w:tr>
      <w:tr w:rsidR="008B729D" w14:paraId="6F71B3CE" w14:textId="5969C47A" w:rsidTr="006371E5">
        <w:trPr>
          <w:trHeight w:val="274"/>
        </w:trPr>
        <w:tc>
          <w:tcPr>
            <w:tcW w:w="2623" w:type="dxa"/>
            <w:tcBorders>
              <w:right w:val="single" w:sz="4" w:space="0" w:color="auto"/>
            </w:tcBorders>
          </w:tcPr>
          <w:p w14:paraId="786F02B7" w14:textId="77777777" w:rsidR="008B729D" w:rsidRDefault="008B729D" w:rsidP="00AF4CAA">
            <w:pPr>
              <w:pStyle w:val="NoSpacing"/>
            </w:pPr>
            <w:r>
              <w:t>Indiana</w:t>
            </w:r>
          </w:p>
        </w:tc>
        <w:tc>
          <w:tcPr>
            <w:tcW w:w="1954" w:type="dxa"/>
            <w:tcBorders>
              <w:left w:val="single" w:sz="4" w:space="0" w:color="auto"/>
              <w:right w:val="single" w:sz="4" w:space="0" w:color="auto"/>
            </w:tcBorders>
          </w:tcPr>
          <w:p w14:paraId="55C80D22" w14:textId="77777777" w:rsidR="008B729D" w:rsidRDefault="008B729D" w:rsidP="00AF4CAA">
            <w:pPr>
              <w:pStyle w:val="NoSpacing"/>
            </w:pPr>
            <w:r>
              <w:t>3</w:t>
            </w:r>
          </w:p>
        </w:tc>
        <w:tc>
          <w:tcPr>
            <w:tcW w:w="1264" w:type="dxa"/>
            <w:tcBorders>
              <w:left w:val="single" w:sz="4" w:space="0" w:color="auto"/>
            </w:tcBorders>
          </w:tcPr>
          <w:p w14:paraId="76ACA57E" w14:textId="3F77B9A2" w:rsidR="008B729D" w:rsidRPr="00766E32" w:rsidRDefault="000859C0" w:rsidP="00AF4CAA">
            <w:pPr>
              <w:pStyle w:val="NoSpacing"/>
            </w:pPr>
            <w:r>
              <w:t>1</w:t>
            </w:r>
          </w:p>
        </w:tc>
        <w:tc>
          <w:tcPr>
            <w:tcW w:w="1167" w:type="dxa"/>
          </w:tcPr>
          <w:p w14:paraId="5855D24D" w14:textId="38610B56" w:rsidR="008B729D" w:rsidRPr="00766E32" w:rsidRDefault="000859C0" w:rsidP="00AF4CAA">
            <w:pPr>
              <w:pStyle w:val="NoSpacing"/>
            </w:pPr>
            <w:r>
              <w:t>2</w:t>
            </w:r>
          </w:p>
        </w:tc>
        <w:tc>
          <w:tcPr>
            <w:tcW w:w="1607" w:type="dxa"/>
          </w:tcPr>
          <w:p w14:paraId="1D79D6DE" w14:textId="35EFF707" w:rsidR="008B729D" w:rsidRPr="00D75C77" w:rsidRDefault="008B729D" w:rsidP="00AF4CAA">
            <w:pPr>
              <w:pStyle w:val="NoSpacing"/>
            </w:pPr>
            <w:r w:rsidRPr="00EA4C54">
              <w:t>0</w:t>
            </w:r>
          </w:p>
        </w:tc>
        <w:tc>
          <w:tcPr>
            <w:tcW w:w="1459" w:type="dxa"/>
          </w:tcPr>
          <w:p w14:paraId="49A35EB3" w14:textId="491EB4A6" w:rsidR="008B729D" w:rsidRPr="00D75C77" w:rsidRDefault="008B729D" w:rsidP="00AF4CAA">
            <w:pPr>
              <w:pStyle w:val="NoSpacing"/>
            </w:pPr>
            <w:r w:rsidRPr="00EA4C54">
              <w:t>0</w:t>
            </w:r>
          </w:p>
        </w:tc>
      </w:tr>
      <w:tr w:rsidR="008B729D" w14:paraId="0D757141" w14:textId="1B74E5D3" w:rsidTr="006371E5">
        <w:trPr>
          <w:trHeight w:val="265"/>
        </w:trPr>
        <w:tc>
          <w:tcPr>
            <w:tcW w:w="2623" w:type="dxa"/>
            <w:tcBorders>
              <w:right w:val="single" w:sz="4" w:space="0" w:color="auto"/>
            </w:tcBorders>
          </w:tcPr>
          <w:p w14:paraId="780BCBE3" w14:textId="77777777" w:rsidR="008B729D" w:rsidRDefault="008B729D" w:rsidP="00AF4CAA">
            <w:pPr>
              <w:pStyle w:val="NoSpacing"/>
            </w:pPr>
            <w:r>
              <w:t>Virginia</w:t>
            </w:r>
          </w:p>
        </w:tc>
        <w:tc>
          <w:tcPr>
            <w:tcW w:w="1954" w:type="dxa"/>
            <w:tcBorders>
              <w:left w:val="single" w:sz="4" w:space="0" w:color="auto"/>
              <w:right w:val="single" w:sz="4" w:space="0" w:color="auto"/>
            </w:tcBorders>
          </w:tcPr>
          <w:p w14:paraId="7799AC96" w14:textId="77777777" w:rsidR="008B729D" w:rsidRDefault="008B729D" w:rsidP="00AF4CAA">
            <w:pPr>
              <w:pStyle w:val="NoSpacing"/>
            </w:pPr>
            <w:r>
              <w:t>25</w:t>
            </w:r>
          </w:p>
        </w:tc>
        <w:tc>
          <w:tcPr>
            <w:tcW w:w="1264" w:type="dxa"/>
            <w:tcBorders>
              <w:left w:val="single" w:sz="4" w:space="0" w:color="auto"/>
            </w:tcBorders>
          </w:tcPr>
          <w:p w14:paraId="5D7EF0B3" w14:textId="6EECBF6F" w:rsidR="008B729D" w:rsidRDefault="008B729D" w:rsidP="00AF4CAA">
            <w:pPr>
              <w:pStyle w:val="NoSpacing"/>
            </w:pPr>
            <w:r w:rsidRPr="00EA4C54">
              <w:t>0</w:t>
            </w:r>
          </w:p>
        </w:tc>
        <w:tc>
          <w:tcPr>
            <w:tcW w:w="1167" w:type="dxa"/>
          </w:tcPr>
          <w:p w14:paraId="69E4E6C1" w14:textId="3A0A1E11" w:rsidR="008B729D" w:rsidRDefault="008B729D" w:rsidP="00AF4CAA">
            <w:pPr>
              <w:pStyle w:val="NoSpacing"/>
            </w:pPr>
            <w:r w:rsidRPr="00EA4C54">
              <w:t>10</w:t>
            </w:r>
          </w:p>
        </w:tc>
        <w:tc>
          <w:tcPr>
            <w:tcW w:w="1607" w:type="dxa"/>
          </w:tcPr>
          <w:p w14:paraId="13212E6C" w14:textId="2573A088" w:rsidR="008B729D" w:rsidRPr="00D75C77" w:rsidRDefault="008B729D" w:rsidP="00AF4CAA">
            <w:pPr>
              <w:pStyle w:val="NoSpacing"/>
            </w:pPr>
            <w:r w:rsidRPr="00EA4C54">
              <w:t>15</w:t>
            </w:r>
          </w:p>
        </w:tc>
        <w:tc>
          <w:tcPr>
            <w:tcW w:w="1459" w:type="dxa"/>
          </w:tcPr>
          <w:p w14:paraId="6EA19F99" w14:textId="0701D206" w:rsidR="008B729D" w:rsidRPr="00D75C77" w:rsidRDefault="008B729D" w:rsidP="00AF4CAA">
            <w:pPr>
              <w:pStyle w:val="NoSpacing"/>
            </w:pPr>
            <w:r w:rsidRPr="00EA4C54">
              <w:t>0</w:t>
            </w:r>
          </w:p>
        </w:tc>
      </w:tr>
      <w:tr w:rsidR="008B729D" w14:paraId="14AA0E77" w14:textId="4974A984" w:rsidTr="006371E5">
        <w:trPr>
          <w:trHeight w:val="274"/>
        </w:trPr>
        <w:tc>
          <w:tcPr>
            <w:tcW w:w="2623" w:type="dxa"/>
            <w:tcBorders>
              <w:right w:val="single" w:sz="4" w:space="0" w:color="auto"/>
            </w:tcBorders>
          </w:tcPr>
          <w:p w14:paraId="6D8676BE" w14:textId="77777777" w:rsidR="008B729D" w:rsidRDefault="008B729D" w:rsidP="00AF4CAA">
            <w:pPr>
              <w:pStyle w:val="NoSpacing"/>
            </w:pPr>
            <w:r>
              <w:t>Kentucky</w:t>
            </w:r>
          </w:p>
        </w:tc>
        <w:tc>
          <w:tcPr>
            <w:tcW w:w="1954" w:type="dxa"/>
            <w:tcBorders>
              <w:left w:val="single" w:sz="4" w:space="0" w:color="auto"/>
              <w:right w:val="single" w:sz="4" w:space="0" w:color="auto"/>
            </w:tcBorders>
          </w:tcPr>
          <w:p w14:paraId="5A8656B3" w14:textId="77777777" w:rsidR="008B729D" w:rsidRDefault="008B729D" w:rsidP="00AF4CAA">
            <w:pPr>
              <w:pStyle w:val="NoSpacing"/>
            </w:pPr>
            <w:r>
              <w:t>12</w:t>
            </w:r>
          </w:p>
        </w:tc>
        <w:tc>
          <w:tcPr>
            <w:tcW w:w="1264" w:type="dxa"/>
            <w:tcBorders>
              <w:left w:val="single" w:sz="4" w:space="0" w:color="auto"/>
            </w:tcBorders>
          </w:tcPr>
          <w:p w14:paraId="6EB8FEA5" w14:textId="79FC98EF" w:rsidR="008B729D" w:rsidRDefault="008B729D" w:rsidP="00AF4CAA">
            <w:pPr>
              <w:pStyle w:val="NoSpacing"/>
            </w:pPr>
            <w:r w:rsidRPr="00EA4C54">
              <w:t>8</w:t>
            </w:r>
          </w:p>
        </w:tc>
        <w:tc>
          <w:tcPr>
            <w:tcW w:w="1167" w:type="dxa"/>
          </w:tcPr>
          <w:p w14:paraId="4A0DF62E" w14:textId="647DF8C2" w:rsidR="008B729D" w:rsidRDefault="008B729D" w:rsidP="00AF4CAA">
            <w:pPr>
              <w:pStyle w:val="NoSpacing"/>
            </w:pPr>
            <w:r w:rsidRPr="00EA4C54">
              <w:t>4</w:t>
            </w:r>
          </w:p>
        </w:tc>
        <w:tc>
          <w:tcPr>
            <w:tcW w:w="1607" w:type="dxa"/>
          </w:tcPr>
          <w:p w14:paraId="184E8096" w14:textId="215E48F8" w:rsidR="008B729D" w:rsidRPr="00D75C77" w:rsidRDefault="008B729D" w:rsidP="00AF4CAA">
            <w:pPr>
              <w:pStyle w:val="NoSpacing"/>
            </w:pPr>
            <w:r w:rsidRPr="00EA4C54">
              <w:t>0</w:t>
            </w:r>
          </w:p>
        </w:tc>
        <w:tc>
          <w:tcPr>
            <w:tcW w:w="1459" w:type="dxa"/>
          </w:tcPr>
          <w:p w14:paraId="1B980D63" w14:textId="6E4CE962" w:rsidR="008B729D" w:rsidRPr="00D75C77" w:rsidRDefault="008B729D" w:rsidP="00AF4CAA">
            <w:pPr>
              <w:pStyle w:val="NoSpacing"/>
            </w:pPr>
            <w:r w:rsidRPr="00EA4C54">
              <w:t>0</w:t>
            </w:r>
          </w:p>
        </w:tc>
      </w:tr>
      <w:tr w:rsidR="008B729D" w14:paraId="758CCD20" w14:textId="3346600A" w:rsidTr="006371E5">
        <w:trPr>
          <w:trHeight w:val="265"/>
        </w:trPr>
        <w:tc>
          <w:tcPr>
            <w:tcW w:w="2623" w:type="dxa"/>
            <w:tcBorders>
              <w:right w:val="single" w:sz="4" w:space="0" w:color="auto"/>
            </w:tcBorders>
          </w:tcPr>
          <w:p w14:paraId="5AF9B735" w14:textId="77777777" w:rsidR="008B729D" w:rsidRDefault="008B729D" w:rsidP="00AF4CAA">
            <w:pPr>
              <w:pStyle w:val="NoSpacing"/>
            </w:pPr>
            <w:r>
              <w:t>Tennessee</w:t>
            </w:r>
          </w:p>
        </w:tc>
        <w:tc>
          <w:tcPr>
            <w:tcW w:w="1954" w:type="dxa"/>
            <w:tcBorders>
              <w:left w:val="single" w:sz="4" w:space="0" w:color="auto"/>
              <w:right w:val="single" w:sz="4" w:space="0" w:color="auto"/>
            </w:tcBorders>
          </w:tcPr>
          <w:p w14:paraId="38F64D23" w14:textId="77777777" w:rsidR="008B729D" w:rsidRDefault="008B729D" w:rsidP="00AF4CAA">
            <w:pPr>
              <w:pStyle w:val="NoSpacing"/>
            </w:pPr>
            <w:r>
              <w:t>7</w:t>
            </w:r>
          </w:p>
        </w:tc>
        <w:tc>
          <w:tcPr>
            <w:tcW w:w="1264" w:type="dxa"/>
            <w:tcBorders>
              <w:left w:val="single" w:sz="4" w:space="0" w:color="auto"/>
            </w:tcBorders>
          </w:tcPr>
          <w:p w14:paraId="5BFA0C3C" w14:textId="347E7C0B" w:rsidR="008B729D" w:rsidRDefault="0096038A" w:rsidP="00AF4CAA">
            <w:pPr>
              <w:pStyle w:val="NoSpacing"/>
            </w:pPr>
            <w:r>
              <w:t>2</w:t>
            </w:r>
          </w:p>
        </w:tc>
        <w:tc>
          <w:tcPr>
            <w:tcW w:w="1167" w:type="dxa"/>
          </w:tcPr>
          <w:p w14:paraId="22B42F71" w14:textId="343A5600" w:rsidR="008B729D" w:rsidRDefault="0096038A" w:rsidP="00AF4CAA">
            <w:pPr>
              <w:pStyle w:val="NoSpacing"/>
            </w:pPr>
            <w:r>
              <w:t>4</w:t>
            </w:r>
          </w:p>
        </w:tc>
        <w:tc>
          <w:tcPr>
            <w:tcW w:w="1607" w:type="dxa"/>
          </w:tcPr>
          <w:p w14:paraId="3E47A109" w14:textId="1281F9FD" w:rsidR="008B729D" w:rsidRPr="00D75C77" w:rsidRDefault="0096038A" w:rsidP="00AF4CAA">
            <w:pPr>
              <w:pStyle w:val="NoSpacing"/>
            </w:pPr>
            <w:r>
              <w:t>1</w:t>
            </w:r>
          </w:p>
        </w:tc>
        <w:tc>
          <w:tcPr>
            <w:tcW w:w="1459" w:type="dxa"/>
          </w:tcPr>
          <w:p w14:paraId="2DDF27A4" w14:textId="600BD752" w:rsidR="008B729D" w:rsidRPr="00D75C77" w:rsidRDefault="008B729D" w:rsidP="00AF4CAA">
            <w:pPr>
              <w:pStyle w:val="NoSpacing"/>
            </w:pPr>
            <w:r w:rsidRPr="00EA4C54">
              <w:t>0</w:t>
            </w:r>
          </w:p>
        </w:tc>
      </w:tr>
      <w:tr w:rsidR="008B729D" w14:paraId="47D1CAB7" w14:textId="65008768" w:rsidTr="006371E5">
        <w:trPr>
          <w:trHeight w:val="274"/>
        </w:trPr>
        <w:tc>
          <w:tcPr>
            <w:tcW w:w="2623" w:type="dxa"/>
            <w:tcBorders>
              <w:right w:val="single" w:sz="4" w:space="0" w:color="auto"/>
            </w:tcBorders>
          </w:tcPr>
          <w:p w14:paraId="35A644FA" w14:textId="77777777" w:rsidR="008B729D" w:rsidRDefault="008B729D" w:rsidP="00AF4CAA">
            <w:pPr>
              <w:pStyle w:val="NoSpacing"/>
            </w:pPr>
            <w:r>
              <w:t>North Carolina</w:t>
            </w:r>
          </w:p>
        </w:tc>
        <w:tc>
          <w:tcPr>
            <w:tcW w:w="1954" w:type="dxa"/>
            <w:tcBorders>
              <w:left w:val="single" w:sz="4" w:space="0" w:color="auto"/>
              <w:right w:val="single" w:sz="4" w:space="0" w:color="auto"/>
            </w:tcBorders>
          </w:tcPr>
          <w:p w14:paraId="46B10A81" w14:textId="77777777" w:rsidR="008B729D" w:rsidRDefault="008B729D" w:rsidP="00AF4CAA">
            <w:pPr>
              <w:pStyle w:val="NoSpacing"/>
            </w:pPr>
            <w:r>
              <w:t>15</w:t>
            </w:r>
          </w:p>
        </w:tc>
        <w:tc>
          <w:tcPr>
            <w:tcW w:w="1264" w:type="dxa"/>
            <w:tcBorders>
              <w:left w:val="single" w:sz="4" w:space="0" w:color="auto"/>
            </w:tcBorders>
          </w:tcPr>
          <w:p w14:paraId="10ECCEFB" w14:textId="3EE413A2" w:rsidR="008B729D" w:rsidRDefault="008B729D" w:rsidP="00AF4CAA">
            <w:pPr>
              <w:pStyle w:val="NoSpacing"/>
            </w:pPr>
            <w:r w:rsidRPr="00EA4C54">
              <w:t>0</w:t>
            </w:r>
          </w:p>
        </w:tc>
        <w:tc>
          <w:tcPr>
            <w:tcW w:w="1167" w:type="dxa"/>
          </w:tcPr>
          <w:p w14:paraId="67CD3E09" w14:textId="6BCE33D7" w:rsidR="008B729D" w:rsidRDefault="008B729D" w:rsidP="00AF4CAA">
            <w:pPr>
              <w:pStyle w:val="NoSpacing"/>
            </w:pPr>
            <w:r w:rsidRPr="00EA4C54">
              <w:t>9</w:t>
            </w:r>
          </w:p>
        </w:tc>
        <w:tc>
          <w:tcPr>
            <w:tcW w:w="1607" w:type="dxa"/>
          </w:tcPr>
          <w:p w14:paraId="7202B28C" w14:textId="1B0D51EF" w:rsidR="008B729D" w:rsidRPr="00D75C77" w:rsidRDefault="008B729D" w:rsidP="00AF4CAA">
            <w:pPr>
              <w:pStyle w:val="NoSpacing"/>
            </w:pPr>
            <w:r w:rsidRPr="00EA4C54">
              <w:t>6</w:t>
            </w:r>
          </w:p>
        </w:tc>
        <w:tc>
          <w:tcPr>
            <w:tcW w:w="1459" w:type="dxa"/>
          </w:tcPr>
          <w:p w14:paraId="60578FE6" w14:textId="320A77B4" w:rsidR="008B729D" w:rsidRPr="00D75C77" w:rsidRDefault="008B729D" w:rsidP="00AF4CAA">
            <w:pPr>
              <w:pStyle w:val="NoSpacing"/>
            </w:pPr>
            <w:r w:rsidRPr="00EA4C54">
              <w:t>0</w:t>
            </w:r>
          </w:p>
        </w:tc>
      </w:tr>
      <w:tr w:rsidR="008B729D" w14:paraId="415F2EE3" w14:textId="1A3852B5" w:rsidTr="006371E5">
        <w:trPr>
          <w:trHeight w:val="265"/>
        </w:trPr>
        <w:tc>
          <w:tcPr>
            <w:tcW w:w="2623" w:type="dxa"/>
            <w:tcBorders>
              <w:right w:val="single" w:sz="4" w:space="0" w:color="auto"/>
            </w:tcBorders>
          </w:tcPr>
          <w:p w14:paraId="565ABA73" w14:textId="77777777" w:rsidR="008B729D" w:rsidRDefault="008B729D" w:rsidP="00AF4CAA">
            <w:pPr>
              <w:pStyle w:val="NoSpacing"/>
            </w:pPr>
            <w:r>
              <w:t>South Carolina</w:t>
            </w:r>
          </w:p>
        </w:tc>
        <w:tc>
          <w:tcPr>
            <w:tcW w:w="1954" w:type="dxa"/>
            <w:tcBorders>
              <w:left w:val="single" w:sz="4" w:space="0" w:color="auto"/>
              <w:right w:val="single" w:sz="4" w:space="0" w:color="auto"/>
            </w:tcBorders>
          </w:tcPr>
          <w:p w14:paraId="71AFC429" w14:textId="77777777" w:rsidR="008B729D" w:rsidRDefault="008B729D" w:rsidP="00AF4CAA">
            <w:pPr>
              <w:pStyle w:val="NoSpacing"/>
            </w:pPr>
            <w:r>
              <w:t>11</w:t>
            </w:r>
          </w:p>
        </w:tc>
        <w:tc>
          <w:tcPr>
            <w:tcW w:w="1264" w:type="dxa"/>
            <w:tcBorders>
              <w:left w:val="single" w:sz="4" w:space="0" w:color="auto"/>
            </w:tcBorders>
          </w:tcPr>
          <w:p w14:paraId="7F0558CB" w14:textId="2E7624AB" w:rsidR="008B729D" w:rsidRDefault="008B729D" w:rsidP="00AF4CAA">
            <w:pPr>
              <w:pStyle w:val="NoSpacing"/>
            </w:pPr>
            <w:r w:rsidRPr="00EA4C54">
              <w:t>0</w:t>
            </w:r>
          </w:p>
        </w:tc>
        <w:tc>
          <w:tcPr>
            <w:tcW w:w="1167" w:type="dxa"/>
          </w:tcPr>
          <w:p w14:paraId="0B2C665A" w14:textId="3B362209" w:rsidR="008B729D" w:rsidRDefault="008B729D" w:rsidP="00AF4CAA">
            <w:pPr>
              <w:pStyle w:val="NoSpacing"/>
            </w:pPr>
            <w:r w:rsidRPr="00EA4C54">
              <w:t>0</w:t>
            </w:r>
          </w:p>
        </w:tc>
        <w:tc>
          <w:tcPr>
            <w:tcW w:w="1607" w:type="dxa"/>
          </w:tcPr>
          <w:p w14:paraId="50B2AE40" w14:textId="5AFC38A6" w:rsidR="008B729D" w:rsidRPr="00D75C77" w:rsidRDefault="008B729D" w:rsidP="00AF4CAA">
            <w:pPr>
              <w:pStyle w:val="NoSpacing"/>
            </w:pPr>
            <w:r w:rsidRPr="00EA4C54">
              <w:t>11</w:t>
            </w:r>
          </w:p>
        </w:tc>
        <w:tc>
          <w:tcPr>
            <w:tcW w:w="1459" w:type="dxa"/>
          </w:tcPr>
          <w:p w14:paraId="7DC9AFA9" w14:textId="7F3E818C" w:rsidR="008B729D" w:rsidRPr="00D75C77" w:rsidRDefault="008B729D" w:rsidP="00AF4CAA">
            <w:pPr>
              <w:pStyle w:val="NoSpacing"/>
            </w:pPr>
            <w:r w:rsidRPr="00EA4C54">
              <w:t>0</w:t>
            </w:r>
          </w:p>
        </w:tc>
      </w:tr>
      <w:tr w:rsidR="008B729D" w14:paraId="7EE1ECB6" w14:textId="3D64D24B" w:rsidTr="006371E5">
        <w:trPr>
          <w:trHeight w:val="265"/>
        </w:trPr>
        <w:tc>
          <w:tcPr>
            <w:tcW w:w="2623" w:type="dxa"/>
            <w:tcBorders>
              <w:right w:val="single" w:sz="4" w:space="0" w:color="auto"/>
            </w:tcBorders>
          </w:tcPr>
          <w:p w14:paraId="7B968A09" w14:textId="77777777" w:rsidR="008B729D" w:rsidRDefault="008B729D" w:rsidP="00AF4CAA">
            <w:pPr>
              <w:pStyle w:val="NoSpacing"/>
            </w:pPr>
            <w:r>
              <w:t>Georgia</w:t>
            </w:r>
          </w:p>
        </w:tc>
        <w:tc>
          <w:tcPr>
            <w:tcW w:w="1954" w:type="dxa"/>
            <w:tcBorders>
              <w:left w:val="single" w:sz="4" w:space="0" w:color="auto"/>
              <w:right w:val="single" w:sz="4" w:space="0" w:color="auto"/>
            </w:tcBorders>
          </w:tcPr>
          <w:p w14:paraId="593A77B9" w14:textId="77777777" w:rsidR="008B729D" w:rsidRDefault="008B729D" w:rsidP="00AF4CAA">
            <w:pPr>
              <w:pStyle w:val="NoSpacing"/>
            </w:pPr>
            <w:r>
              <w:t>8</w:t>
            </w:r>
          </w:p>
        </w:tc>
        <w:tc>
          <w:tcPr>
            <w:tcW w:w="1264" w:type="dxa"/>
            <w:tcBorders>
              <w:left w:val="single" w:sz="4" w:space="0" w:color="auto"/>
            </w:tcBorders>
          </w:tcPr>
          <w:p w14:paraId="330FE92C" w14:textId="5018F70B" w:rsidR="008B729D" w:rsidRDefault="008B729D" w:rsidP="00AF4CAA">
            <w:pPr>
              <w:pStyle w:val="NoSpacing"/>
            </w:pPr>
            <w:r w:rsidRPr="00EA4C54">
              <w:t>0</w:t>
            </w:r>
          </w:p>
        </w:tc>
        <w:tc>
          <w:tcPr>
            <w:tcW w:w="1167" w:type="dxa"/>
          </w:tcPr>
          <w:p w14:paraId="04710538" w14:textId="2F712A3D" w:rsidR="008B729D" w:rsidRDefault="008B729D" w:rsidP="00AF4CAA">
            <w:pPr>
              <w:pStyle w:val="NoSpacing"/>
            </w:pPr>
            <w:r w:rsidRPr="00EA4C54">
              <w:t>5</w:t>
            </w:r>
          </w:p>
        </w:tc>
        <w:tc>
          <w:tcPr>
            <w:tcW w:w="1607" w:type="dxa"/>
          </w:tcPr>
          <w:p w14:paraId="5F2875C0" w14:textId="537B2122" w:rsidR="008B729D" w:rsidRPr="00D75C77" w:rsidRDefault="008B729D" w:rsidP="00AF4CAA">
            <w:pPr>
              <w:pStyle w:val="NoSpacing"/>
            </w:pPr>
            <w:r w:rsidRPr="00EA4C54">
              <w:t>3</w:t>
            </w:r>
          </w:p>
        </w:tc>
        <w:tc>
          <w:tcPr>
            <w:tcW w:w="1459" w:type="dxa"/>
          </w:tcPr>
          <w:p w14:paraId="5FE4504D" w14:textId="2EED8130" w:rsidR="008B729D" w:rsidRPr="00D75C77" w:rsidRDefault="008B729D" w:rsidP="00AF4CAA">
            <w:pPr>
              <w:pStyle w:val="NoSpacing"/>
            </w:pPr>
            <w:r w:rsidRPr="00EA4C54">
              <w:t>0</w:t>
            </w:r>
          </w:p>
        </w:tc>
      </w:tr>
      <w:tr w:rsidR="008B729D" w14:paraId="079AAEB4" w14:textId="54E977A2" w:rsidTr="006371E5">
        <w:trPr>
          <w:trHeight w:val="265"/>
        </w:trPr>
        <w:tc>
          <w:tcPr>
            <w:tcW w:w="2623" w:type="dxa"/>
            <w:tcBorders>
              <w:bottom w:val="single" w:sz="4" w:space="0" w:color="auto"/>
              <w:right w:val="single" w:sz="4" w:space="0" w:color="auto"/>
            </w:tcBorders>
          </w:tcPr>
          <w:p w14:paraId="3C430B3D" w14:textId="35A575B4" w:rsidR="008B729D" w:rsidRDefault="008B729D" w:rsidP="00AF4CAA">
            <w:pPr>
              <w:pStyle w:val="NoSpacing"/>
            </w:pPr>
            <w:r>
              <w:t>Yazoo</w:t>
            </w:r>
          </w:p>
        </w:tc>
        <w:tc>
          <w:tcPr>
            <w:tcW w:w="1954" w:type="dxa"/>
            <w:tcBorders>
              <w:left w:val="single" w:sz="4" w:space="0" w:color="auto"/>
              <w:bottom w:val="single" w:sz="4" w:space="0" w:color="auto"/>
              <w:right w:val="single" w:sz="4" w:space="0" w:color="auto"/>
            </w:tcBorders>
          </w:tcPr>
          <w:p w14:paraId="7312E638" w14:textId="77777777" w:rsidR="008B729D" w:rsidRDefault="008B729D" w:rsidP="00AF4CAA">
            <w:pPr>
              <w:pStyle w:val="NoSpacing"/>
            </w:pPr>
            <w:r>
              <w:t>3</w:t>
            </w:r>
          </w:p>
        </w:tc>
        <w:tc>
          <w:tcPr>
            <w:tcW w:w="1264" w:type="dxa"/>
            <w:tcBorders>
              <w:left w:val="single" w:sz="4" w:space="0" w:color="auto"/>
              <w:bottom w:val="single" w:sz="4" w:space="0" w:color="auto"/>
            </w:tcBorders>
          </w:tcPr>
          <w:p w14:paraId="3716E1FD" w14:textId="56D34A57" w:rsidR="008B729D" w:rsidRDefault="008B729D" w:rsidP="00AF4CAA">
            <w:pPr>
              <w:pStyle w:val="NoSpacing"/>
            </w:pPr>
            <w:r w:rsidRPr="00EA4C54">
              <w:t>0</w:t>
            </w:r>
          </w:p>
        </w:tc>
        <w:tc>
          <w:tcPr>
            <w:tcW w:w="1167" w:type="dxa"/>
            <w:tcBorders>
              <w:bottom w:val="single" w:sz="4" w:space="0" w:color="auto"/>
            </w:tcBorders>
          </w:tcPr>
          <w:p w14:paraId="03E87344" w14:textId="2C4286A1" w:rsidR="008B729D" w:rsidRPr="00766E32" w:rsidRDefault="008B729D" w:rsidP="00AF4CAA">
            <w:pPr>
              <w:pStyle w:val="NoSpacing"/>
            </w:pPr>
            <w:r w:rsidRPr="00EA4C54">
              <w:t>3</w:t>
            </w:r>
          </w:p>
        </w:tc>
        <w:tc>
          <w:tcPr>
            <w:tcW w:w="1607" w:type="dxa"/>
            <w:tcBorders>
              <w:bottom w:val="single" w:sz="4" w:space="0" w:color="auto"/>
            </w:tcBorders>
          </w:tcPr>
          <w:p w14:paraId="0A53EC40" w14:textId="48D98934" w:rsidR="008B729D" w:rsidRPr="00D75C77" w:rsidRDefault="008B729D" w:rsidP="00AF4CAA">
            <w:pPr>
              <w:pStyle w:val="NoSpacing"/>
            </w:pPr>
            <w:r w:rsidRPr="00EA4C54">
              <w:t>0</w:t>
            </w:r>
          </w:p>
        </w:tc>
        <w:tc>
          <w:tcPr>
            <w:tcW w:w="1459" w:type="dxa"/>
            <w:tcBorders>
              <w:bottom w:val="single" w:sz="4" w:space="0" w:color="auto"/>
            </w:tcBorders>
          </w:tcPr>
          <w:p w14:paraId="1B9F5DA4" w14:textId="05F7BC5A" w:rsidR="008B729D" w:rsidRPr="00D75C77" w:rsidRDefault="008B729D" w:rsidP="00AF4CAA">
            <w:pPr>
              <w:pStyle w:val="NoSpacing"/>
            </w:pPr>
            <w:r w:rsidRPr="00EA4C54">
              <w:t>0</w:t>
            </w:r>
          </w:p>
        </w:tc>
      </w:tr>
      <w:tr w:rsidR="008B729D" w:rsidRPr="00EC1927" w14:paraId="4F4C7F31" w14:textId="4BD8239C" w:rsidTr="006371E5">
        <w:trPr>
          <w:trHeight w:val="265"/>
        </w:trPr>
        <w:tc>
          <w:tcPr>
            <w:tcW w:w="2623" w:type="dxa"/>
            <w:tcBorders>
              <w:top w:val="single" w:sz="4" w:space="0" w:color="auto"/>
              <w:right w:val="single" w:sz="4" w:space="0" w:color="auto"/>
            </w:tcBorders>
          </w:tcPr>
          <w:p w14:paraId="542CEF4E" w14:textId="77777777" w:rsidR="008B729D" w:rsidRPr="00EC1927" w:rsidRDefault="008B729D" w:rsidP="00AF4CAA">
            <w:pPr>
              <w:pStyle w:val="NoSpacing"/>
              <w:rPr>
                <w:b/>
                <w:bCs/>
              </w:rPr>
            </w:pPr>
            <w:r w:rsidRPr="00EC1927">
              <w:rPr>
                <w:b/>
                <w:bCs/>
              </w:rPr>
              <w:t>Total</w:t>
            </w:r>
          </w:p>
        </w:tc>
        <w:tc>
          <w:tcPr>
            <w:tcW w:w="1954" w:type="dxa"/>
            <w:tcBorders>
              <w:top w:val="single" w:sz="4" w:space="0" w:color="auto"/>
              <w:left w:val="single" w:sz="4" w:space="0" w:color="auto"/>
              <w:right w:val="single" w:sz="4" w:space="0" w:color="auto"/>
            </w:tcBorders>
          </w:tcPr>
          <w:p w14:paraId="5AE55ADA" w14:textId="77777777" w:rsidR="008B729D" w:rsidRPr="00EC1927" w:rsidRDefault="008B729D" w:rsidP="00AF4CAA">
            <w:pPr>
              <w:pStyle w:val="NoSpacing"/>
              <w:rPr>
                <w:b/>
                <w:bCs/>
              </w:rPr>
            </w:pPr>
            <w:r w:rsidRPr="00EC1927">
              <w:rPr>
                <w:b/>
                <w:bCs/>
              </w:rPr>
              <w:t>226</w:t>
            </w:r>
          </w:p>
        </w:tc>
        <w:tc>
          <w:tcPr>
            <w:tcW w:w="1264" w:type="dxa"/>
            <w:tcBorders>
              <w:top w:val="single" w:sz="4" w:space="0" w:color="auto"/>
              <w:left w:val="single" w:sz="4" w:space="0" w:color="auto"/>
            </w:tcBorders>
          </w:tcPr>
          <w:p w14:paraId="2BDB3D08" w14:textId="4729498C" w:rsidR="008B729D" w:rsidRPr="00EC1927" w:rsidRDefault="008B729D" w:rsidP="00AF4CAA">
            <w:pPr>
              <w:pStyle w:val="NoSpacing"/>
              <w:rPr>
                <w:b/>
                <w:bCs/>
                <w:u w:val="single"/>
              </w:rPr>
            </w:pPr>
            <w:r w:rsidRPr="00EC1927">
              <w:rPr>
                <w:b/>
                <w:bCs/>
                <w:u w:val="single"/>
              </w:rPr>
              <w:t>11</w:t>
            </w:r>
            <w:r w:rsidR="0096038A" w:rsidRPr="00EC1927">
              <w:rPr>
                <w:b/>
                <w:bCs/>
                <w:u w:val="single"/>
              </w:rPr>
              <w:t>0</w:t>
            </w:r>
          </w:p>
        </w:tc>
        <w:tc>
          <w:tcPr>
            <w:tcW w:w="1167" w:type="dxa"/>
            <w:tcBorders>
              <w:top w:val="single" w:sz="4" w:space="0" w:color="auto"/>
            </w:tcBorders>
          </w:tcPr>
          <w:p w14:paraId="14C11B99" w14:textId="4B6D0E64" w:rsidR="008B729D" w:rsidRPr="00EC1927" w:rsidRDefault="000859C0" w:rsidP="00AF4CAA">
            <w:pPr>
              <w:pStyle w:val="NoSpacing"/>
              <w:rPr>
                <w:b/>
                <w:bCs/>
                <w:u w:val="single"/>
              </w:rPr>
            </w:pPr>
            <w:r w:rsidRPr="00EC1927">
              <w:rPr>
                <w:b/>
                <w:bCs/>
                <w:u w:val="single"/>
              </w:rPr>
              <w:t>6</w:t>
            </w:r>
            <w:r w:rsidR="0096038A" w:rsidRPr="00EC1927">
              <w:rPr>
                <w:b/>
                <w:bCs/>
                <w:u w:val="single"/>
              </w:rPr>
              <w:t>0</w:t>
            </w:r>
          </w:p>
        </w:tc>
        <w:tc>
          <w:tcPr>
            <w:tcW w:w="1607" w:type="dxa"/>
            <w:tcBorders>
              <w:top w:val="single" w:sz="4" w:space="0" w:color="auto"/>
            </w:tcBorders>
          </w:tcPr>
          <w:p w14:paraId="67779291" w14:textId="44ECB3A7" w:rsidR="008B729D" w:rsidRPr="00EC1927" w:rsidRDefault="008B729D" w:rsidP="00AF4CAA">
            <w:pPr>
              <w:pStyle w:val="NoSpacing"/>
              <w:rPr>
                <w:b/>
                <w:bCs/>
              </w:rPr>
            </w:pPr>
            <w:r w:rsidRPr="00EC1927">
              <w:rPr>
                <w:b/>
                <w:bCs/>
              </w:rPr>
              <w:t>3</w:t>
            </w:r>
            <w:r w:rsidR="0096038A" w:rsidRPr="00EC1927">
              <w:rPr>
                <w:b/>
                <w:bCs/>
              </w:rPr>
              <w:t>6</w:t>
            </w:r>
          </w:p>
        </w:tc>
        <w:tc>
          <w:tcPr>
            <w:tcW w:w="1459" w:type="dxa"/>
            <w:tcBorders>
              <w:top w:val="single" w:sz="4" w:space="0" w:color="auto"/>
            </w:tcBorders>
          </w:tcPr>
          <w:p w14:paraId="3DDAF901" w14:textId="6A4695EF" w:rsidR="008B729D" w:rsidRPr="00EC1927" w:rsidRDefault="008B729D" w:rsidP="00AF4CAA">
            <w:pPr>
              <w:pStyle w:val="NoSpacing"/>
              <w:rPr>
                <w:b/>
                <w:bCs/>
              </w:rPr>
            </w:pPr>
            <w:r w:rsidRPr="00EC1927">
              <w:rPr>
                <w:b/>
                <w:bCs/>
              </w:rPr>
              <w:t>18</w:t>
            </w:r>
          </w:p>
        </w:tc>
      </w:tr>
    </w:tbl>
    <w:p w14:paraId="7B88C8A7" w14:textId="77777777" w:rsidR="007C2058" w:rsidRDefault="007C2058" w:rsidP="009E577D"/>
    <w:p w14:paraId="3DE8BBA6" w14:textId="5999921B" w:rsidR="00B4402B" w:rsidRDefault="00B4402B" w:rsidP="009E577D">
      <w:r>
        <w:t xml:space="preserve">That this election ended with a hung electoral college demonstrated the extent </w:t>
      </w:r>
      <w:r w:rsidR="0003509A">
        <w:t>to</w:t>
      </w:r>
      <w:r>
        <w:t xml:space="preserve"> which</w:t>
      </w:r>
      <w:r w:rsidR="0003509A">
        <w:t xml:space="preserve"> the nation was divided. </w:t>
      </w:r>
      <w:r w:rsidR="005D74CC">
        <w:t>Had Burr won a mere four more votes, he would have won the presidency, and it is very possible that</w:t>
      </w:r>
      <w:r w:rsidR="00F8734D">
        <w:t xml:space="preserve"> the result would have been a Liberty and Union War half a century ahead of schedule. It was yet another election which would have gone the other way without the three-fifths compromise. But ultimately, the divides within the North were </w:t>
      </w:r>
      <w:r w:rsidR="001D1F7E">
        <w:t>too great</w:t>
      </w:r>
      <w:r w:rsidR="00F8734D">
        <w:t xml:space="preserve"> for</w:t>
      </w:r>
      <w:r w:rsidR="00173EE1">
        <w:t xml:space="preserve"> a consolidated </w:t>
      </w:r>
      <w:r w:rsidR="00173EE1">
        <w:lastRenderedPageBreak/>
        <w:t>Northern ticket to prevail in the election</w:t>
      </w:r>
      <w:r w:rsidR="00412B69">
        <w:t xml:space="preserve">; indeed, some of this may be laid at the grounds of the division of states into presidential districts, which allowed for divides within the states to </w:t>
      </w:r>
      <w:r w:rsidR="002474FB">
        <w:t>show their presence at the presidential level</w:t>
      </w:r>
      <w:r w:rsidR="00173EE1">
        <w:t xml:space="preserve">. </w:t>
      </w:r>
      <w:r w:rsidR="00C23321">
        <w:t xml:space="preserve">In second place, with considerably fewer votes, was </w:t>
      </w:r>
      <w:r w:rsidR="002B7E8B">
        <w:t>James Madison</w:t>
      </w:r>
      <w:r w:rsidR="008D3911">
        <w:t>, whose votes came from a mix of</w:t>
      </w:r>
      <w:r w:rsidR="00EA421F">
        <w:t xml:space="preserve"> the Lower North and the </w:t>
      </w:r>
      <w:r w:rsidR="009C03EE">
        <w:t>Border South; below that wa</w:t>
      </w:r>
      <w:r w:rsidR="008F0CCC">
        <w:t xml:space="preserve">s two sectional candidates. </w:t>
      </w:r>
      <w:r w:rsidR="00FA5247">
        <w:t>With no candidate winning a majority, this meant that the election would instead go to Congress, in a contingent election</w:t>
      </w:r>
      <w:r w:rsidR="00D612DE">
        <w:t>, and the only two candidates eligible for election were Burr and Madison</w:t>
      </w:r>
      <w:r w:rsidR="00FA5247">
        <w:t xml:space="preserve">. </w:t>
      </w:r>
    </w:p>
    <w:p w14:paraId="1D3F66FA" w14:textId="15486C0B" w:rsidR="00D612DE" w:rsidRDefault="00D612DE" w:rsidP="009E577D">
      <w:r>
        <w:t xml:space="preserve">The ensuing contingent election </w:t>
      </w:r>
      <w:r w:rsidR="007E6736">
        <w:t xml:space="preserve">saw many shades of 1812, but sectionalism was far greater than it was previously. With the reforms to the electoral system, however, it was a different process. </w:t>
      </w:r>
      <w:r w:rsidR="00275571">
        <w:t>The election would be held under a joint session of Congress, and each congressman had one vote. Of the two top candidates, Burr and Madison, the candidate winning a majority of votes cast would be president. Though given the majority votes for Illinois’ admission with restriction in both Senate and House, one would be forgiven for assuming this to be an easy vote for Burr, as with 1812 Burr made his fair share of enemies who hated him on a personal level, most notably Alexander Hamilton. Writing several open letters calling Burr a Catiline</w:t>
      </w:r>
      <w:r w:rsidR="00190EEF">
        <w:t>, a demagogue,</w:t>
      </w:r>
      <w:r w:rsidR="00275571">
        <w:t xml:space="preserve"> and a vote-beggar, </w:t>
      </w:r>
      <w:r w:rsidR="00190EEF">
        <w:t xml:space="preserve">he called for Northerners to instead vote for Madison, or if they couldn’t countenance that, abstain. The result was that the 1821 contingent election saw Madison win a majority of votes, by 104-96. </w:t>
      </w:r>
      <w:r w:rsidR="00FC441D">
        <w:t>It was a clear result. Burr’s second attempt to win a third term was defeated, and Madison would be president for the next four years.</w:t>
      </w:r>
      <w:r w:rsidR="002351ED">
        <w:t xml:space="preserve"> However, there was a bone thrown to the North and the Democrats</w:t>
      </w:r>
      <w:r w:rsidR="00866B49">
        <w:t xml:space="preserve">, as William Henry Harrison won the </w:t>
      </w:r>
      <w:proofErr w:type="gramStart"/>
      <w:r w:rsidR="00866B49">
        <w:t>vice presidential</w:t>
      </w:r>
      <w:proofErr w:type="gramEnd"/>
      <w:r w:rsidR="004125D1">
        <w:t xml:space="preserve"> contingent election</w:t>
      </w:r>
      <w:r w:rsidR="002351ED">
        <w:t>.</w:t>
      </w:r>
      <w:r w:rsidR="00FC441D">
        <w:t xml:space="preserve"> </w:t>
      </w:r>
      <w:r w:rsidR="004125D1">
        <w:t>Despite this, w</w:t>
      </w:r>
      <w:r w:rsidR="00C56692">
        <w:t xml:space="preserve">ith sectional tensions as high as they were, several congressmen, most notoriously Timothy Pickering, called for the North’s secession from the nation; but such sentiment was little more than loose talk. </w:t>
      </w:r>
      <w:r w:rsidR="0084742B">
        <w:t xml:space="preserve">Burr, quite angered at Hamilton’s conduct at this point, </w:t>
      </w:r>
      <w:r w:rsidR="00C612D7">
        <w:t xml:space="preserve">went so far as to challenge him to a duel; Hamilton accepted. The ensuing duel ended up with neither party harmed in the slightest, </w:t>
      </w:r>
      <w:r w:rsidR="00C612D7">
        <w:lastRenderedPageBreak/>
        <w:t xml:space="preserve">and honor was satisfied. But as Burr went back to the governor’s mansion in New York, he continued to seethe. </w:t>
      </w:r>
    </w:p>
    <w:p w14:paraId="09AACC5F" w14:textId="31958DF6" w:rsidR="0016765D" w:rsidRDefault="0016765D" w:rsidP="009E577D">
      <w:r>
        <w:t xml:space="preserve">Madison now having been granted a second term as president, he now found it easier than ever to resolve the Illinois Crisis. </w:t>
      </w:r>
      <w:r w:rsidR="00D230A7">
        <w:t xml:space="preserve">With Congress in its lame-duck session, he used the presidency’s powers of patronage to assure outgoing congressmen of jobs, and with it he successfully corralled </w:t>
      </w:r>
      <w:proofErr w:type="gramStart"/>
      <w:r w:rsidR="00D230A7">
        <w:t>a majority of</w:t>
      </w:r>
      <w:proofErr w:type="gramEnd"/>
      <w:r w:rsidR="00D230A7">
        <w:t xml:space="preserve"> Congress towards a grand compromise bill. This bill, the Illinois Compromise, was anything but; it permitted Illinois to join the union with no restrictions on slavery, and in the remainder of the </w:t>
      </w:r>
      <w:r w:rsidR="00061BBC">
        <w:t xml:space="preserve">Northwest Territory it established that further slaves could not be </w:t>
      </w:r>
      <w:r w:rsidR="000244C2">
        <w:t>introduced,</w:t>
      </w:r>
      <w:r w:rsidR="00061BBC">
        <w:t xml:space="preserve"> and existing slaves would be freed. Additionally, it established </w:t>
      </w:r>
      <w:r w:rsidR="000244C2">
        <w:t xml:space="preserve">that Illinois was to be a landlocked state, despite </w:t>
      </w:r>
      <w:proofErr w:type="spellStart"/>
      <w:r w:rsidR="000244C2">
        <w:t>Illinoians</w:t>
      </w:r>
      <w:proofErr w:type="spellEnd"/>
      <w:r w:rsidR="000244C2">
        <w:t xml:space="preserve">’ desire to get a small patch of Lake Michigan’s coastline; the portage stop of Chicago would instead be a part of whatever states would be created from the Northwest Territory. Within both North and South this was met with a furor, the North regarding it as a submission to the forces of </w:t>
      </w:r>
      <w:r w:rsidR="00A730C0">
        <w:t>the Planter Ascendancy</w:t>
      </w:r>
      <w:r w:rsidR="000244C2">
        <w:t xml:space="preserve">, and the South concerned that Congress’ power now touched the institution of slavery. </w:t>
      </w:r>
      <w:r w:rsidR="00A730C0">
        <w:t xml:space="preserve">But a majority of voters in both sections reluctantly abided by the Illinois Compromise, and in future decades it would be upheld as a final settlement on the issue, now put under threat under the politicking of the era. </w:t>
      </w:r>
    </w:p>
    <w:p w14:paraId="3A8F3A68" w14:textId="7EB86D9F" w:rsidR="00F37C2F" w:rsidRDefault="00F37C2F" w:rsidP="009E577D">
      <w:r>
        <w:t>The territory of Illinois, under the leadership of Ninian Edwards, had already begun the task of writing a constitution for itself, and with it complete it formally constituted a delegation to send to Congress</w:t>
      </w:r>
      <w:r w:rsidR="005514CF">
        <w:t xml:space="preserve">, </w:t>
      </w:r>
      <w:proofErr w:type="gramStart"/>
      <w:r w:rsidR="005514CF">
        <w:t>in order to</w:t>
      </w:r>
      <w:proofErr w:type="gramEnd"/>
      <w:r w:rsidR="005514CF">
        <w:t xml:space="preserve"> present slavery as a fait accompli to Congress whatever it may decide</w:t>
      </w:r>
      <w:r>
        <w:t xml:space="preserve">. </w:t>
      </w:r>
      <w:r w:rsidR="00531098">
        <w:t xml:space="preserve">This, too, was met with controversy when its constitution barred the settlement of free Coloreds from the state, which the North regarded as contravening the privileges and immunities clause of the constitution, and Illinois’ congressional delegation fell in to a sort of constitutional limbo where Congress debated accepting it; it did, in the end, after Henry Clay successfully passed some vague </w:t>
      </w:r>
      <w:r w:rsidR="00531098">
        <w:lastRenderedPageBreak/>
        <w:t xml:space="preserve">language which stated it would have to respect the rights of citizens of the several states. This was the so-called “Second Illinois Compromise”, and though it otherwise passed without much incident, it presaged controversies over Colored citizenship – and that the South did not believe this a concept. </w:t>
      </w:r>
    </w:p>
    <w:p w14:paraId="32856E98" w14:textId="77777777" w:rsidR="00266B72" w:rsidRDefault="00266B72" w:rsidP="00266B72">
      <w:r>
        <w:br w:type="page"/>
      </w:r>
    </w:p>
    <w:p w14:paraId="43F083BA" w14:textId="77777777" w:rsidR="00266B72" w:rsidRDefault="00266B72" w:rsidP="00266B72"/>
    <w:p w14:paraId="7CFA4D7C" w14:textId="77777777" w:rsidR="00266B72" w:rsidRDefault="00266B72" w:rsidP="00266B72">
      <w:pPr>
        <w:sectPr w:rsidR="00266B72" w:rsidSect="00266B72">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97B82DD" w14:textId="77777777" w:rsidR="00266B72" w:rsidRPr="00E7172B" w:rsidRDefault="00266B72" w:rsidP="00266B72">
      <w:r>
        <w:br w:type="page"/>
      </w:r>
    </w:p>
    <w:p w14:paraId="6808BE9D" w14:textId="4995FE86" w:rsidR="00266B72" w:rsidRDefault="00266B72" w:rsidP="00266B72">
      <w:pPr>
        <w:pStyle w:val="Heading1"/>
      </w:pPr>
      <w:bookmarkStart w:id="14" w:name="_Toc202006209"/>
      <w:r>
        <w:lastRenderedPageBreak/>
        <w:t xml:space="preserve">10. The </w:t>
      </w:r>
      <w:r w:rsidR="00D35CD8">
        <w:t>Twilight of the Age</w:t>
      </w:r>
      <w:bookmarkEnd w:id="14"/>
    </w:p>
    <w:p w14:paraId="0CB26806" w14:textId="48BBCA9D" w:rsidR="00284189" w:rsidRDefault="00284189" w:rsidP="009E577D">
      <w:r>
        <w:t>With the closure of the Illinois Compromise</w:t>
      </w:r>
      <w:r w:rsidR="004F7F9E">
        <w:t xml:space="preserve">, the issue of slavery fell into a slumber </w:t>
      </w:r>
      <w:r w:rsidR="00B70380">
        <w:t>at the national level</w:t>
      </w:r>
      <w:r w:rsidR="004F7F9E">
        <w:t xml:space="preserve">. </w:t>
      </w:r>
      <w:r w:rsidR="002F4658">
        <w:t>Discussion of the issue continued, however, out of doors, and in the following years many talked about a national plan to finally free the US of the curse of slavery without igniting a civil war</w:t>
      </w:r>
      <w:r w:rsidR="00B62444">
        <w:t>,</w:t>
      </w:r>
      <w:r w:rsidR="002F4658">
        <w:t xml:space="preserve"> or</w:t>
      </w:r>
      <w:r w:rsidR="00B62444">
        <w:t xml:space="preserve"> else</w:t>
      </w:r>
      <w:r w:rsidR="002F4658">
        <w:t xml:space="preserve"> creating a population of</w:t>
      </w:r>
      <w:r w:rsidR="00B62444">
        <w:t xml:space="preserve"> Coloreds which, most assumed, would be treated as second-class citizens. </w:t>
      </w:r>
      <w:r w:rsidR="00C36B1A">
        <w:t xml:space="preserve">Within Congress, however, the South cohered as a single bloc against this; even Border Southerners opposed further congressional interference </w:t>
      </w:r>
      <w:proofErr w:type="gramStart"/>
      <w:r w:rsidR="00C36B1A">
        <w:t>on the subject of slavery</w:t>
      </w:r>
      <w:proofErr w:type="gramEnd"/>
      <w:r w:rsidR="00C36B1A">
        <w:t>, out of the fear of this</w:t>
      </w:r>
      <w:r w:rsidR="00E47E92">
        <w:t xml:space="preserve"> i</w:t>
      </w:r>
      <w:r w:rsidR="00CD0BDE">
        <w:t xml:space="preserve">nciting a slave revolt. </w:t>
      </w:r>
    </w:p>
    <w:p w14:paraId="58ECC673" w14:textId="38ED6204" w:rsidR="004F7F9E" w:rsidRDefault="00B70380" w:rsidP="009E577D">
      <w:r>
        <w:t>Instead, Congress looked to the issue of the economy</w:t>
      </w:r>
      <w:r w:rsidR="006475FD">
        <w:t xml:space="preserve">, which had in fact continued to </w:t>
      </w:r>
      <w:r w:rsidR="00D765F1">
        <w:t>be in</w:t>
      </w:r>
      <w:r w:rsidR="006475FD">
        <w:t xml:space="preserve"> freefall</w:t>
      </w:r>
      <w:r>
        <w:t xml:space="preserve">. </w:t>
      </w:r>
      <w:r w:rsidR="00E505A1">
        <w:t>Banks continued to collapse, and the deflation this caused</w:t>
      </w:r>
      <w:r w:rsidR="004A3C54">
        <w:t>, as banknotes suddenly ceased to contain value,</w:t>
      </w:r>
      <w:r w:rsidR="00E505A1">
        <w:t xml:space="preserve"> continued to </w:t>
      </w:r>
      <w:r w:rsidR="00A329AA">
        <w:t>wreak havoc on</w:t>
      </w:r>
      <w:r w:rsidR="00E505A1">
        <w:t xml:space="preserve"> the economy. </w:t>
      </w:r>
      <w:r w:rsidR="00A329AA">
        <w:t xml:space="preserve">Large swathes of the west were, by sheer necessity, forced to resort to either using playing cards as currency or instead doing barter – although in any case, the flight of bankrupt merchants eastwards made it much harder to find people to trade with. </w:t>
      </w:r>
      <w:r w:rsidR="0017134A">
        <w:t>With this economic chaos having already been laid at the feet of free trade with the British, Congress easily passed a tariff, and despite some calling it unconstitutional – and some planters calling it a disguised attack on slavery – Madison signed it into law. The Tariff of 1821, most historians agree, was quite important when it came to protecting infant industry from the more mature and cheaper products coming from British hands. Additionally, with the financial chaos of the Panic years having convinced many that stable banking was necessary for the nation, Congress passed a bill establishing a Second Bank of the United States, along the same lines that Burr attempted to pass through Congress. However, Madison vetoed it, regarding a national bank as unconstitutional, and the numbers were not there to override his veto</w:t>
      </w:r>
      <w:r w:rsidR="000424A8">
        <w:t>, and when Madison</w:t>
      </w:r>
      <w:r w:rsidR="00825FC7">
        <w:t>, always a “New School Republican”</w:t>
      </w:r>
      <w:r w:rsidR="000424A8">
        <w:t xml:space="preserve"> came back with a list of conditions he believed a national bank </w:t>
      </w:r>
      <w:r w:rsidR="000424A8">
        <w:lastRenderedPageBreak/>
        <w:t>had to meet to be constitutional, a strange coalition of Democrats and ultra Republicans made sure it didn’t even get out of committee</w:t>
      </w:r>
      <w:r w:rsidR="0017134A">
        <w:t xml:space="preserve">. </w:t>
      </w:r>
      <w:r w:rsidR="002B707E">
        <w:t>Thus, an unstable economy continued to wreak havoc on the nation until his presidency came to an end – and the only reason it did not collapse further was because the only banks still standing were</w:t>
      </w:r>
      <w:r w:rsidR="00564B77">
        <w:t xml:space="preserve"> extraordinarily</w:t>
      </w:r>
      <w:r w:rsidR="002B707E">
        <w:t xml:space="preserve"> timid when it came to credit</w:t>
      </w:r>
      <w:r w:rsidR="00C4663B">
        <w:t>, and so they weren’t doing anything to fix the economy</w:t>
      </w:r>
      <w:r w:rsidR="002B707E">
        <w:t xml:space="preserve">. </w:t>
      </w:r>
    </w:p>
    <w:p w14:paraId="09AD1764" w14:textId="50671837" w:rsidR="0012593A" w:rsidRDefault="00722AAD" w:rsidP="0012593A">
      <w:r>
        <w:t>1821 saw, with the British intercepting Roussin’s fleet, a return to war in Europe.</w:t>
      </w:r>
      <w:r w:rsidR="0013742A">
        <w:t xml:space="preserve"> At home, this meant the collapse of British credit in America</w:t>
      </w:r>
      <w:r w:rsidR="008F7080">
        <w:t>; given the collapse of the American financial system, British banks had been the only reliable source of credit in the nation</w:t>
      </w:r>
      <w:r w:rsidR="0013742A">
        <w:t xml:space="preserve">, </w:t>
      </w:r>
      <w:r w:rsidR="008F7080">
        <w:t>and its collapse</w:t>
      </w:r>
      <w:r w:rsidR="0013742A">
        <w:t xml:space="preserve"> only worsened the state of the economy further</w:t>
      </w:r>
      <w:r w:rsidR="009A5FF6">
        <w:t>.</w:t>
      </w:r>
      <w:r w:rsidR="0013742A">
        <w:t xml:space="preserve"> </w:t>
      </w:r>
      <w:r w:rsidR="009A5FF6">
        <w:t>Despite it,</w:t>
      </w:r>
      <w:r w:rsidR="0013742A">
        <w:t xml:space="preserve"> this was overshadowed by one consequence of t</w:t>
      </w:r>
      <w:r w:rsidR="00021C90">
        <w:t>his war.</w:t>
      </w:r>
      <w:r>
        <w:t xml:space="preserve"> The collapse of Toussaint’s order in Saint-Domingue, and the flight of what little remained of its white population </w:t>
      </w:r>
      <w:r w:rsidR="001E52E4">
        <w:t>after</w:t>
      </w:r>
      <w:r>
        <w:t xml:space="preserve"> Dessalines declared the </w:t>
      </w:r>
      <w:r w:rsidR="00D55732">
        <w:t xml:space="preserve">independence of the </w:t>
      </w:r>
      <w:r>
        <w:t xml:space="preserve">Haitian Republic, </w:t>
      </w:r>
      <w:r w:rsidR="001E52E4">
        <w:t xml:space="preserve">inspired rabid panic in the South, as planters feared their slaves overthrowing them. </w:t>
      </w:r>
      <w:r w:rsidR="00AB6232">
        <w:t xml:space="preserve">This also inspired Southern closeness with the British; British banks being important sources of credit for the South </w:t>
      </w:r>
      <w:r w:rsidR="002346F8">
        <w:t xml:space="preserve">had already inspired such </w:t>
      </w:r>
      <w:r w:rsidR="00FA25CE">
        <w:t>closeness,</w:t>
      </w:r>
      <w:r w:rsidR="002346F8">
        <w:t xml:space="preserve"> but this only got further aggravated by its fighting the much-feared specter of French abolitionism. </w:t>
      </w:r>
      <w:r w:rsidR="008E1F20">
        <w:t xml:space="preserve">Thus, even as the British increasingly engaged in </w:t>
      </w:r>
      <w:r w:rsidR="00FA25CE">
        <w:t>increasingly aggressive impressment of American sailors</w:t>
      </w:r>
      <w:r w:rsidR="004C70AA">
        <w:t>, up to and including firing upon several American vessels</w:t>
      </w:r>
      <w:r w:rsidR="00FA25CE">
        <w:t>, inspiring several war scares in the act, the US did not, for a second, contemplate war with the British. Cries of opposition from the US</w:t>
      </w:r>
      <w:r w:rsidR="00C76DAD">
        <w:t xml:space="preserve"> came from the Democratic Party and their quite powerful Irish wing</w:t>
      </w:r>
      <w:r w:rsidR="00AF3635">
        <w:t xml:space="preserve"> – not from the government itself</w:t>
      </w:r>
      <w:r w:rsidR="00C76DAD">
        <w:t xml:space="preserve">. </w:t>
      </w:r>
      <w:r w:rsidR="00AF3635">
        <w:t>And though even the Republicans feared that, with the British at war with Spain, it would take New Orleans, Madison preferred to avoid this by negotiation rather than</w:t>
      </w:r>
      <w:r w:rsidR="004C70AA">
        <w:t xml:space="preserve"> brinkmanship, and this stance</w:t>
      </w:r>
      <w:r w:rsidR="008C0096">
        <w:t xml:space="preserve"> was one</w:t>
      </w:r>
      <w:r w:rsidR="004C70AA">
        <w:t xml:space="preserve"> the Republicans firmly supported. </w:t>
      </w:r>
    </w:p>
    <w:p w14:paraId="43F33BEC" w14:textId="05A4AC3D" w:rsidR="003819AB" w:rsidRDefault="003819AB" w:rsidP="009F3D15">
      <w:r>
        <w:br w:type="page"/>
      </w:r>
    </w:p>
    <w:p w14:paraId="3AE47E46" w14:textId="570D2612" w:rsidR="003819AB" w:rsidRDefault="003819AB" w:rsidP="003819AB">
      <w:pPr>
        <w:pStyle w:val="Caption"/>
      </w:pPr>
      <w:bookmarkStart w:id="15" w:name="_Toc202006262"/>
      <w:r>
        <w:lastRenderedPageBreak/>
        <w:t xml:space="preserve">Figure </w:t>
      </w:r>
      <w:fldSimple w:instr=" SEQ Figure \* ARABIC ">
        <w:r w:rsidR="00567D66">
          <w:rPr>
            <w:noProof/>
          </w:rPr>
          <w:t>6</w:t>
        </w:r>
      </w:fldSimple>
      <w:r>
        <w:t>: The US Navy, 1817-1825</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819AB" w:rsidRPr="000E727C" w14:paraId="7348367B" w14:textId="77777777" w:rsidTr="003819AB">
        <w:tc>
          <w:tcPr>
            <w:tcW w:w="3116" w:type="dxa"/>
            <w:tcBorders>
              <w:bottom w:val="single" w:sz="4" w:space="0" w:color="auto"/>
            </w:tcBorders>
          </w:tcPr>
          <w:p w14:paraId="34DCCB9A" w14:textId="24B07759" w:rsidR="003819AB" w:rsidRPr="000E727C" w:rsidRDefault="003819AB" w:rsidP="003776FF">
            <w:pPr>
              <w:pStyle w:val="TOCnormal"/>
              <w:rPr>
                <w:b/>
                <w:bCs/>
              </w:rPr>
            </w:pPr>
            <w:r w:rsidRPr="000E727C">
              <w:rPr>
                <w:b/>
                <w:bCs/>
              </w:rPr>
              <w:t>Year</w:t>
            </w:r>
          </w:p>
        </w:tc>
        <w:tc>
          <w:tcPr>
            <w:tcW w:w="3117" w:type="dxa"/>
            <w:tcBorders>
              <w:bottom w:val="single" w:sz="4" w:space="0" w:color="auto"/>
            </w:tcBorders>
          </w:tcPr>
          <w:p w14:paraId="157BA405" w14:textId="07070415" w:rsidR="003819AB" w:rsidRPr="000E727C" w:rsidRDefault="003819AB" w:rsidP="003776FF">
            <w:pPr>
              <w:pStyle w:val="TOCnormal"/>
              <w:rPr>
                <w:b/>
                <w:bCs/>
              </w:rPr>
            </w:pPr>
            <w:r w:rsidRPr="000E727C">
              <w:rPr>
                <w:b/>
                <w:bCs/>
              </w:rPr>
              <w:t>Officers</w:t>
            </w:r>
          </w:p>
        </w:tc>
        <w:tc>
          <w:tcPr>
            <w:tcW w:w="3117" w:type="dxa"/>
            <w:tcBorders>
              <w:bottom w:val="single" w:sz="4" w:space="0" w:color="auto"/>
            </w:tcBorders>
          </w:tcPr>
          <w:p w14:paraId="43501BD3" w14:textId="0616C8A2" w:rsidR="003819AB" w:rsidRPr="000E727C" w:rsidRDefault="003819AB" w:rsidP="003776FF">
            <w:pPr>
              <w:pStyle w:val="TOCnormal"/>
              <w:rPr>
                <w:b/>
                <w:bCs/>
              </w:rPr>
            </w:pPr>
            <w:r w:rsidRPr="000E727C">
              <w:rPr>
                <w:b/>
                <w:bCs/>
              </w:rPr>
              <w:t>Ship force</w:t>
            </w:r>
          </w:p>
        </w:tc>
      </w:tr>
      <w:tr w:rsidR="003819AB" w14:paraId="5F81CFB1" w14:textId="77777777" w:rsidTr="003819AB">
        <w:tc>
          <w:tcPr>
            <w:tcW w:w="3116" w:type="dxa"/>
            <w:tcBorders>
              <w:top w:val="single" w:sz="4" w:space="0" w:color="auto"/>
            </w:tcBorders>
          </w:tcPr>
          <w:p w14:paraId="345EFBCE" w14:textId="27B75083" w:rsidR="003819AB" w:rsidRDefault="003819AB" w:rsidP="003776FF">
            <w:pPr>
              <w:pStyle w:val="TOCnormal"/>
            </w:pPr>
            <w:r>
              <w:t>1817</w:t>
            </w:r>
          </w:p>
        </w:tc>
        <w:tc>
          <w:tcPr>
            <w:tcW w:w="3117" w:type="dxa"/>
            <w:tcBorders>
              <w:top w:val="single" w:sz="4" w:space="0" w:color="auto"/>
            </w:tcBorders>
          </w:tcPr>
          <w:p w14:paraId="3AEECFB3" w14:textId="79588DC2" w:rsidR="003819AB" w:rsidRDefault="003819AB" w:rsidP="003776FF">
            <w:pPr>
              <w:pStyle w:val="TOCnormal"/>
            </w:pPr>
            <w:r>
              <w:t>204</w:t>
            </w:r>
          </w:p>
        </w:tc>
        <w:tc>
          <w:tcPr>
            <w:tcW w:w="3117" w:type="dxa"/>
            <w:tcBorders>
              <w:top w:val="single" w:sz="4" w:space="0" w:color="auto"/>
            </w:tcBorders>
          </w:tcPr>
          <w:p w14:paraId="76A2D2E7" w14:textId="17BE8516" w:rsidR="003819AB" w:rsidRDefault="003819AB" w:rsidP="003776FF">
            <w:pPr>
              <w:pStyle w:val="TOCnormal"/>
            </w:pPr>
            <w:r>
              <w:t>14</w:t>
            </w:r>
          </w:p>
        </w:tc>
      </w:tr>
      <w:tr w:rsidR="003819AB" w14:paraId="51471416" w14:textId="77777777" w:rsidTr="003819AB">
        <w:tc>
          <w:tcPr>
            <w:tcW w:w="3116" w:type="dxa"/>
          </w:tcPr>
          <w:p w14:paraId="73D81660" w14:textId="750384E6" w:rsidR="003819AB" w:rsidRDefault="003819AB" w:rsidP="003776FF">
            <w:pPr>
              <w:pStyle w:val="TOCnormal"/>
            </w:pPr>
            <w:r>
              <w:t>1818</w:t>
            </w:r>
          </w:p>
        </w:tc>
        <w:tc>
          <w:tcPr>
            <w:tcW w:w="3117" w:type="dxa"/>
          </w:tcPr>
          <w:p w14:paraId="43DF55C3" w14:textId="4C17EC7F" w:rsidR="003819AB" w:rsidRDefault="003819AB" w:rsidP="003776FF">
            <w:pPr>
              <w:pStyle w:val="TOCnormal"/>
            </w:pPr>
            <w:r>
              <w:t>245</w:t>
            </w:r>
          </w:p>
        </w:tc>
        <w:tc>
          <w:tcPr>
            <w:tcW w:w="3117" w:type="dxa"/>
          </w:tcPr>
          <w:p w14:paraId="69EA0177" w14:textId="5B8C4F5B" w:rsidR="003819AB" w:rsidRDefault="003819AB" w:rsidP="003776FF">
            <w:pPr>
              <w:pStyle w:val="TOCnormal"/>
            </w:pPr>
            <w:r>
              <w:t>16</w:t>
            </w:r>
          </w:p>
        </w:tc>
      </w:tr>
      <w:tr w:rsidR="003819AB" w14:paraId="7E996410" w14:textId="77777777" w:rsidTr="003819AB">
        <w:tc>
          <w:tcPr>
            <w:tcW w:w="3116" w:type="dxa"/>
          </w:tcPr>
          <w:p w14:paraId="06C9AADC" w14:textId="78F8F245" w:rsidR="003819AB" w:rsidRDefault="003819AB" w:rsidP="003776FF">
            <w:pPr>
              <w:pStyle w:val="TOCnormal"/>
            </w:pPr>
            <w:r>
              <w:t>1819</w:t>
            </w:r>
          </w:p>
        </w:tc>
        <w:tc>
          <w:tcPr>
            <w:tcW w:w="3117" w:type="dxa"/>
          </w:tcPr>
          <w:p w14:paraId="01AC63BC" w14:textId="6B5453B8" w:rsidR="003819AB" w:rsidRDefault="003819AB" w:rsidP="003776FF">
            <w:pPr>
              <w:pStyle w:val="TOCnormal"/>
            </w:pPr>
            <w:r>
              <w:t>287</w:t>
            </w:r>
          </w:p>
        </w:tc>
        <w:tc>
          <w:tcPr>
            <w:tcW w:w="3117" w:type="dxa"/>
          </w:tcPr>
          <w:p w14:paraId="4D7AE469" w14:textId="49DBDCEE" w:rsidR="003819AB" w:rsidRDefault="003819AB" w:rsidP="003776FF">
            <w:pPr>
              <w:pStyle w:val="TOCnormal"/>
            </w:pPr>
            <w:r>
              <w:t>17</w:t>
            </w:r>
          </w:p>
        </w:tc>
      </w:tr>
      <w:tr w:rsidR="003819AB" w14:paraId="75ABDBC9" w14:textId="77777777" w:rsidTr="003819AB">
        <w:tc>
          <w:tcPr>
            <w:tcW w:w="3116" w:type="dxa"/>
          </w:tcPr>
          <w:p w14:paraId="5826C576" w14:textId="0A0CBF21" w:rsidR="003819AB" w:rsidRDefault="003819AB" w:rsidP="003776FF">
            <w:pPr>
              <w:pStyle w:val="TOCnormal"/>
            </w:pPr>
            <w:r>
              <w:t>1820</w:t>
            </w:r>
          </w:p>
        </w:tc>
        <w:tc>
          <w:tcPr>
            <w:tcW w:w="3117" w:type="dxa"/>
          </w:tcPr>
          <w:p w14:paraId="6272241F" w14:textId="258F9A09" w:rsidR="003819AB" w:rsidRDefault="003819AB" w:rsidP="003776FF">
            <w:pPr>
              <w:pStyle w:val="TOCnormal"/>
            </w:pPr>
            <w:r>
              <w:t>321</w:t>
            </w:r>
          </w:p>
        </w:tc>
        <w:tc>
          <w:tcPr>
            <w:tcW w:w="3117" w:type="dxa"/>
          </w:tcPr>
          <w:p w14:paraId="4FE09473" w14:textId="21425852" w:rsidR="003819AB" w:rsidRDefault="003819AB" w:rsidP="003776FF">
            <w:pPr>
              <w:pStyle w:val="TOCnormal"/>
            </w:pPr>
            <w:r>
              <w:t>18</w:t>
            </w:r>
          </w:p>
        </w:tc>
      </w:tr>
      <w:tr w:rsidR="003819AB" w14:paraId="6F5DA30A" w14:textId="77777777" w:rsidTr="003819AB">
        <w:tc>
          <w:tcPr>
            <w:tcW w:w="3116" w:type="dxa"/>
          </w:tcPr>
          <w:p w14:paraId="576E5A48" w14:textId="184399E9" w:rsidR="003819AB" w:rsidRDefault="003819AB" w:rsidP="003776FF">
            <w:pPr>
              <w:pStyle w:val="TOCnormal"/>
            </w:pPr>
            <w:r>
              <w:t>1821</w:t>
            </w:r>
          </w:p>
        </w:tc>
        <w:tc>
          <w:tcPr>
            <w:tcW w:w="3117" w:type="dxa"/>
          </w:tcPr>
          <w:p w14:paraId="3F8A58C5" w14:textId="21358827" w:rsidR="003819AB" w:rsidRDefault="003819AB" w:rsidP="003776FF">
            <w:pPr>
              <w:pStyle w:val="TOCnormal"/>
            </w:pPr>
            <w:r>
              <w:t>353</w:t>
            </w:r>
          </w:p>
        </w:tc>
        <w:tc>
          <w:tcPr>
            <w:tcW w:w="3117" w:type="dxa"/>
          </w:tcPr>
          <w:p w14:paraId="397C4486" w14:textId="6BBEE13B" w:rsidR="003819AB" w:rsidRDefault="003819AB" w:rsidP="003776FF">
            <w:pPr>
              <w:pStyle w:val="TOCnormal"/>
            </w:pPr>
            <w:r>
              <w:t>18</w:t>
            </w:r>
          </w:p>
        </w:tc>
      </w:tr>
      <w:tr w:rsidR="003819AB" w14:paraId="4DBA620D" w14:textId="77777777" w:rsidTr="003819AB">
        <w:tc>
          <w:tcPr>
            <w:tcW w:w="3116" w:type="dxa"/>
          </w:tcPr>
          <w:p w14:paraId="5FF8AD9F" w14:textId="46302FB4" w:rsidR="003819AB" w:rsidRDefault="003819AB" w:rsidP="003776FF">
            <w:pPr>
              <w:pStyle w:val="TOCnormal"/>
            </w:pPr>
            <w:r>
              <w:t>1822</w:t>
            </w:r>
          </w:p>
        </w:tc>
        <w:tc>
          <w:tcPr>
            <w:tcW w:w="3117" w:type="dxa"/>
          </w:tcPr>
          <w:p w14:paraId="6229A492" w14:textId="7AA343A2" w:rsidR="003819AB" w:rsidRDefault="003819AB" w:rsidP="003776FF">
            <w:pPr>
              <w:pStyle w:val="TOCnormal"/>
            </w:pPr>
            <w:r>
              <w:t>458</w:t>
            </w:r>
          </w:p>
        </w:tc>
        <w:tc>
          <w:tcPr>
            <w:tcW w:w="3117" w:type="dxa"/>
          </w:tcPr>
          <w:p w14:paraId="729B5FE2" w14:textId="11D7DB89" w:rsidR="003819AB" w:rsidRDefault="003819AB" w:rsidP="003776FF">
            <w:pPr>
              <w:pStyle w:val="TOCnormal"/>
            </w:pPr>
            <w:r>
              <w:t>21</w:t>
            </w:r>
          </w:p>
        </w:tc>
      </w:tr>
      <w:tr w:rsidR="003819AB" w14:paraId="3C0AFFA8" w14:textId="77777777" w:rsidTr="003819AB">
        <w:tc>
          <w:tcPr>
            <w:tcW w:w="3116" w:type="dxa"/>
          </w:tcPr>
          <w:p w14:paraId="11AA6BE1" w14:textId="2990A6FE" w:rsidR="003819AB" w:rsidRDefault="003819AB" w:rsidP="003776FF">
            <w:pPr>
              <w:pStyle w:val="TOCnormal"/>
            </w:pPr>
            <w:r>
              <w:t>1823</w:t>
            </w:r>
          </w:p>
        </w:tc>
        <w:tc>
          <w:tcPr>
            <w:tcW w:w="3117" w:type="dxa"/>
          </w:tcPr>
          <w:p w14:paraId="51F950A8" w14:textId="35B6296B" w:rsidR="003819AB" w:rsidRDefault="003819AB" w:rsidP="003776FF">
            <w:pPr>
              <w:pStyle w:val="TOCnormal"/>
            </w:pPr>
            <w:r>
              <w:t>521</w:t>
            </w:r>
          </w:p>
        </w:tc>
        <w:tc>
          <w:tcPr>
            <w:tcW w:w="3117" w:type="dxa"/>
          </w:tcPr>
          <w:p w14:paraId="64982687" w14:textId="2C6A5E26" w:rsidR="003819AB" w:rsidRDefault="003819AB" w:rsidP="003776FF">
            <w:pPr>
              <w:pStyle w:val="TOCnormal"/>
            </w:pPr>
            <w:r>
              <w:t>24</w:t>
            </w:r>
          </w:p>
        </w:tc>
      </w:tr>
      <w:tr w:rsidR="003819AB" w14:paraId="67638FAD" w14:textId="77777777" w:rsidTr="003819AB">
        <w:tc>
          <w:tcPr>
            <w:tcW w:w="3116" w:type="dxa"/>
          </w:tcPr>
          <w:p w14:paraId="104C17B5" w14:textId="566A0F77" w:rsidR="003819AB" w:rsidRDefault="003819AB" w:rsidP="003776FF">
            <w:pPr>
              <w:pStyle w:val="TOCnormal"/>
            </w:pPr>
            <w:r>
              <w:t>1824</w:t>
            </w:r>
          </w:p>
        </w:tc>
        <w:tc>
          <w:tcPr>
            <w:tcW w:w="3117" w:type="dxa"/>
          </w:tcPr>
          <w:p w14:paraId="52364741" w14:textId="5D66F9FE" w:rsidR="003819AB" w:rsidRDefault="003819AB" w:rsidP="003776FF">
            <w:pPr>
              <w:pStyle w:val="TOCnormal"/>
            </w:pPr>
            <w:r>
              <w:t>607</w:t>
            </w:r>
          </w:p>
        </w:tc>
        <w:tc>
          <w:tcPr>
            <w:tcW w:w="3117" w:type="dxa"/>
          </w:tcPr>
          <w:p w14:paraId="075873EA" w14:textId="3AE9730E" w:rsidR="003819AB" w:rsidRDefault="003819AB" w:rsidP="003776FF">
            <w:pPr>
              <w:pStyle w:val="TOCnormal"/>
            </w:pPr>
            <w:r>
              <w:t>29</w:t>
            </w:r>
          </w:p>
        </w:tc>
      </w:tr>
      <w:tr w:rsidR="003819AB" w14:paraId="688D1FD6" w14:textId="77777777" w:rsidTr="003819AB">
        <w:tc>
          <w:tcPr>
            <w:tcW w:w="3116" w:type="dxa"/>
          </w:tcPr>
          <w:p w14:paraId="102AA4FF" w14:textId="1D2103A6" w:rsidR="003819AB" w:rsidRDefault="003819AB" w:rsidP="003776FF">
            <w:pPr>
              <w:pStyle w:val="TOCnormal"/>
            </w:pPr>
            <w:r>
              <w:t>1825</w:t>
            </w:r>
          </w:p>
        </w:tc>
        <w:tc>
          <w:tcPr>
            <w:tcW w:w="3117" w:type="dxa"/>
          </w:tcPr>
          <w:p w14:paraId="4F088B00" w14:textId="2521EC71" w:rsidR="003819AB" w:rsidRDefault="003819AB" w:rsidP="003776FF">
            <w:pPr>
              <w:pStyle w:val="TOCnormal"/>
            </w:pPr>
            <w:r>
              <w:t>688</w:t>
            </w:r>
          </w:p>
        </w:tc>
        <w:tc>
          <w:tcPr>
            <w:tcW w:w="3117" w:type="dxa"/>
          </w:tcPr>
          <w:p w14:paraId="15C959F7" w14:textId="07F21F30" w:rsidR="003819AB" w:rsidRDefault="003819AB" w:rsidP="003776FF">
            <w:pPr>
              <w:pStyle w:val="TOCnormal"/>
            </w:pPr>
            <w:r>
              <w:t>3</w:t>
            </w:r>
            <w:r w:rsidR="005D442B">
              <w:t>3</w:t>
            </w:r>
          </w:p>
        </w:tc>
      </w:tr>
    </w:tbl>
    <w:p w14:paraId="08F0AC15" w14:textId="77777777" w:rsidR="003819AB" w:rsidRDefault="003819AB" w:rsidP="009E577D"/>
    <w:p w14:paraId="77F44BA4" w14:textId="7724AC43" w:rsidR="00D70353" w:rsidRDefault="0013742A" w:rsidP="00D70353">
      <w:r>
        <w:t xml:space="preserve">But nevertheless, fears of France inciting slave revolts in the Caribbean or even in the United States itself did lead to a substantial naval buildup in this era. Many Northern </w:t>
      </w:r>
      <w:r w:rsidR="00EE6FAB">
        <w:t>congressmen</w:t>
      </w:r>
      <w:r>
        <w:t xml:space="preserve"> found themselves frankly bewildered to see </w:t>
      </w:r>
      <w:proofErr w:type="gramStart"/>
      <w:r>
        <w:t>ultra Republicans</w:t>
      </w:r>
      <w:proofErr w:type="gramEnd"/>
      <w:r>
        <w:t xml:space="preserve"> deny the power of Congress to build or even support internal improvements, </w:t>
      </w:r>
      <w:proofErr w:type="gramStart"/>
      <w:r>
        <w:t>but yet</w:t>
      </w:r>
      <w:proofErr w:type="gramEnd"/>
      <w:r>
        <w:t xml:space="preserve"> wholeheartedly call for a navy rivalling the British in sheer scope; this, th</w:t>
      </w:r>
      <w:r w:rsidR="00EE6FAB">
        <w:t>ose ultras</w:t>
      </w:r>
      <w:r>
        <w:t xml:space="preserve"> justified </w:t>
      </w:r>
      <w:proofErr w:type="gramStart"/>
      <w:r>
        <w:t>on the basis of</w:t>
      </w:r>
      <w:proofErr w:type="gramEnd"/>
      <w:r>
        <w:t xml:space="preserve"> </w:t>
      </w:r>
      <w:r w:rsidR="00EE6FAB">
        <w:t xml:space="preserve">the navy being an external expenditure. </w:t>
      </w:r>
      <w:r w:rsidR="00FB5B2C">
        <w:t xml:space="preserve">This did, at last, help to </w:t>
      </w:r>
      <w:r w:rsidR="00586C96">
        <w:t xml:space="preserve">improve the economy – however, it was a </w:t>
      </w:r>
      <w:r w:rsidR="00741B65">
        <w:t xml:space="preserve">recovery that was very lopsided. Shipyards along the Eastern Seaboard saw a dramatic increase in business, but </w:t>
      </w:r>
      <w:r w:rsidR="00A34615">
        <w:t xml:space="preserve">frontier settlement continued to be nonexistent. To the extent that there was settlement along the west, it was through wholesale speculation, where investors successfully lay claim to land on the bank liquidation table and </w:t>
      </w:r>
      <w:r w:rsidR="00ED072A">
        <w:t>this entirely crowded o</w:t>
      </w:r>
      <w:r w:rsidR="00882D6C">
        <w:t xml:space="preserve">ut development by </w:t>
      </w:r>
      <w:r w:rsidR="0072781B">
        <w:t xml:space="preserve">individual settlers. </w:t>
      </w:r>
      <w:r w:rsidR="005339BD">
        <w:t>When planned towns or settlements ended up failing, this resulted</w:t>
      </w:r>
      <w:r w:rsidR="00D05C5B">
        <w:t xml:space="preserve"> in settlement collapsing and the land going back to some sort of investor or to a faraway bank</w:t>
      </w:r>
      <w:r w:rsidR="00D63AC2">
        <w:t>, for this process to begin again</w:t>
      </w:r>
      <w:r w:rsidR="00D05C5B">
        <w:t>.</w:t>
      </w:r>
      <w:r w:rsidR="00E271E0">
        <w:t xml:space="preserve"> Land relief acts only defrayed this a little. This was all such that</w:t>
      </w:r>
      <w:r w:rsidR="00D05C5B">
        <w:t xml:space="preserve"> </w:t>
      </w:r>
      <w:r w:rsidR="00E271E0">
        <w:t>t</w:t>
      </w:r>
      <w:r w:rsidR="00D63AC2">
        <w:t xml:space="preserve">he West was less a singular range of settlement bound by frontier, and more a patchwork of different frontiers, with new wilderness growing between them. </w:t>
      </w:r>
      <w:r w:rsidR="001272E1">
        <w:t xml:space="preserve">Not only did a large, powerful portion of the Republican Party oppose </w:t>
      </w:r>
      <w:r w:rsidR="00B544B1">
        <w:t xml:space="preserve">moves to improve the </w:t>
      </w:r>
      <w:r w:rsidR="00B544B1">
        <w:lastRenderedPageBreak/>
        <w:t>western economy, but</w:t>
      </w:r>
      <w:r w:rsidR="001E3726">
        <w:t xml:space="preserve"> Madison regarded most plans, not in the least a</w:t>
      </w:r>
      <w:r w:rsidR="00504A1A">
        <w:t xml:space="preserve"> national bank, unconstitutional. </w:t>
      </w:r>
    </w:p>
    <w:p w14:paraId="5204F8FF" w14:textId="658916B2" w:rsidR="00003534" w:rsidRDefault="00E271E0" w:rsidP="00997D21">
      <w:r>
        <w:t xml:space="preserve">Thus, as it was, coming into the 1824 election, </w:t>
      </w:r>
      <w:r w:rsidR="005E709F">
        <w:t>it seemed the time was coming</w:t>
      </w:r>
      <w:r w:rsidR="008C15E8">
        <w:t xml:space="preserve"> </w:t>
      </w:r>
      <w:r w:rsidR="005E709F">
        <w:t xml:space="preserve">for a Republican defeat. Though Burr had, as part of his (successful) gubernatorial run of the same year, pledged he would not run for the presidency again, </w:t>
      </w:r>
      <w:r w:rsidR="00947F63">
        <w:t>he had moderated his antislavery politics</w:t>
      </w:r>
      <w:r w:rsidR="00AD1DF5">
        <w:t xml:space="preserve"> and declared the Illinois Compromise a final resolution of the issue of slavery</w:t>
      </w:r>
      <w:r w:rsidR="00947F63">
        <w:t xml:space="preserve">, and </w:t>
      </w:r>
      <w:r w:rsidR="005E709F">
        <w:t xml:space="preserve">when it came time for the Democratic Party Convention of the same year, </w:t>
      </w:r>
      <w:r w:rsidR="00997D21">
        <w:t xml:space="preserve">he did </w:t>
      </w:r>
      <w:r w:rsidR="00A93BB1">
        <w:t>organize for</w:t>
      </w:r>
      <w:r w:rsidR="00997D21">
        <w:t xml:space="preserve"> support behind the scenes</w:t>
      </w:r>
      <w:r w:rsidR="009C3A4B">
        <w:rPr>
          <w:rStyle w:val="EndnoteReference"/>
        </w:rPr>
        <w:endnoteReference w:id="55"/>
      </w:r>
      <w:r w:rsidR="007E57A2">
        <w:t xml:space="preserve"> and he would ultimately cite popular support</w:t>
      </w:r>
      <w:r w:rsidR="00947F63">
        <w:t xml:space="preserve"> as a reason</w:t>
      </w:r>
      <w:r w:rsidR="007E57A2">
        <w:t xml:space="preserve"> to go back on his pledge</w:t>
      </w:r>
      <w:r w:rsidR="00997D21">
        <w:t>. However, much of the party was unwilling to support Burr’s attempt to run for a third term a third time, and</w:t>
      </w:r>
      <w:r w:rsidR="004B49F3">
        <w:t xml:space="preserve"> it would take several ballots to decide on a candidate with the support of </w:t>
      </w:r>
      <w:proofErr w:type="gramStart"/>
      <w:r w:rsidR="004B49F3">
        <w:t>a majority of</w:t>
      </w:r>
      <w:proofErr w:type="gramEnd"/>
      <w:r w:rsidR="004B49F3">
        <w:t xml:space="preserve"> party delegates; against Burr </w:t>
      </w:r>
      <w:r w:rsidR="0073369A">
        <w:t>s</w:t>
      </w:r>
      <w:r w:rsidR="004B49F3">
        <w:t>tood</w:t>
      </w:r>
      <w:r w:rsidR="0073369A">
        <w:t xml:space="preserve"> none other than the incumbent vice president, Willi</w:t>
      </w:r>
      <w:r w:rsidR="00701BE1">
        <w:t>a</w:t>
      </w:r>
      <w:r w:rsidR="0073369A">
        <w:t>m Henry Harrison</w:t>
      </w:r>
      <w:r w:rsidR="00EE6F6C">
        <w:t xml:space="preserve">. Having not made anywhere near as many enemies as Burr, and </w:t>
      </w:r>
      <w:r w:rsidR="00B675D9">
        <w:t xml:space="preserve">being </w:t>
      </w:r>
      <w:r w:rsidR="00EE6F6C">
        <w:t xml:space="preserve">a devoted supporter of the Illinois Compromise, </w:t>
      </w:r>
      <w:r w:rsidR="00D703ED">
        <w:t>to the party</w:t>
      </w:r>
      <w:r w:rsidR="008F65B5">
        <w:t xml:space="preserve"> </w:t>
      </w:r>
      <w:r w:rsidR="00D703ED">
        <w:t>he could command</w:t>
      </w:r>
      <w:r w:rsidR="008F65B5">
        <w:t xml:space="preserve"> support out of </w:t>
      </w:r>
      <w:r w:rsidR="005615DD">
        <w:t>the Lower North</w:t>
      </w:r>
      <w:r w:rsidR="006D2675">
        <w:t xml:space="preserve"> and</w:t>
      </w:r>
      <w:r w:rsidR="005615DD">
        <w:t xml:space="preserve"> the West</w:t>
      </w:r>
      <w:r w:rsidR="00615173">
        <w:t xml:space="preserve"> – including the Southwest</w:t>
      </w:r>
      <w:r w:rsidR="00D703ED">
        <w:t xml:space="preserve">. </w:t>
      </w:r>
      <w:r w:rsidR="002F5629">
        <w:t>Nevertheless</w:t>
      </w:r>
      <w:r w:rsidR="00D703ED">
        <w:t xml:space="preserve">, the ensuing struggle over the </w:t>
      </w:r>
      <w:r w:rsidR="00712EE1">
        <w:t xml:space="preserve">nomination saw Burr prevail – and in a gesture of goodwill, he </w:t>
      </w:r>
      <w:r w:rsidR="00EC4615">
        <w:t>secured</w:t>
      </w:r>
      <w:r w:rsidR="00712EE1">
        <w:t xml:space="preserve"> Harrison as his </w:t>
      </w:r>
      <w:r w:rsidR="00EC4615">
        <w:t>running mate and, in a private letter, assigned</w:t>
      </w:r>
      <w:r w:rsidR="0058706F">
        <w:t xml:space="preserve"> him as his</w:t>
      </w:r>
      <w:r w:rsidR="00EC4615">
        <w:t xml:space="preserve"> successor</w:t>
      </w:r>
      <w:r w:rsidR="00615173">
        <w:t xml:space="preserve">. </w:t>
      </w:r>
      <w:r w:rsidR="00512065">
        <w:t xml:space="preserve">In contrast, with large elements of the </w:t>
      </w:r>
      <w:r w:rsidR="00834141">
        <w:t>Republican Party</w:t>
      </w:r>
      <w:r w:rsidR="00512065">
        <w:t xml:space="preserve"> dissenting with</w:t>
      </w:r>
      <w:r w:rsidR="00834141">
        <w:t xml:space="preserve"> Virginia’s domination of the party’s nomination, </w:t>
      </w:r>
      <w:r w:rsidR="002F0217">
        <w:t xml:space="preserve">its convention culminated with the </w:t>
      </w:r>
      <w:r w:rsidR="008C37B7">
        <w:t>nomination of Georgian William Crawford</w:t>
      </w:r>
      <w:r w:rsidR="00375152">
        <w:t>, with the approval of both the ultra and Madisonian wings of the party which believed he was their man</w:t>
      </w:r>
      <w:r w:rsidR="00352E6D">
        <w:t xml:space="preserve"> – but it seems he represented a strange midpoint between the two</w:t>
      </w:r>
      <w:r w:rsidR="008C37B7">
        <w:t xml:space="preserve">. </w:t>
      </w:r>
    </w:p>
    <w:p w14:paraId="55F226D9" w14:textId="53FDFDF8" w:rsidR="00794FFE" w:rsidRDefault="00F53895" w:rsidP="00997D21">
      <w:r>
        <w:t xml:space="preserve">Despite the slavery issue having been thrown to the sidelines of congressional debate by the Illinois Compromise, both parties attempted to portray their candidates as, in the North, antislavery, and in the South, proslavery; but at the same time, as national figures aspiring towards </w:t>
      </w:r>
      <w:r>
        <w:lastRenderedPageBreak/>
        <w:t xml:space="preserve">national unity. </w:t>
      </w:r>
      <w:r w:rsidR="00820720">
        <w:t xml:space="preserve">But in the end, the issue that won the day was </w:t>
      </w:r>
      <w:r w:rsidR="00BA5140">
        <w:t xml:space="preserve">the quite poor state of the economy. </w:t>
      </w:r>
      <w:r w:rsidR="004D021A">
        <w:t>Burr’s</w:t>
      </w:r>
      <w:r w:rsidR="00830DE4">
        <w:t xml:space="preserve"> support of a national bank oriented towards the people won the support of many, both North and South, who blamed the lack of it for the unstable banking scene that wreaked havoc on</w:t>
      </w:r>
      <w:r w:rsidR="000750D2">
        <w:t xml:space="preserve"> </w:t>
      </w:r>
      <w:r w:rsidR="00A14BF6">
        <w:t xml:space="preserve">the </w:t>
      </w:r>
      <w:r w:rsidR="000750D2">
        <w:t>nation,</w:t>
      </w:r>
      <w:r w:rsidR="00830DE4">
        <w:t xml:space="preserve"> the </w:t>
      </w:r>
      <w:r w:rsidR="00A14BF6">
        <w:t>W</w:t>
      </w:r>
      <w:r w:rsidR="00830DE4">
        <w:t>est</w:t>
      </w:r>
      <w:r w:rsidR="000750D2">
        <w:t xml:space="preserve"> in particular</w:t>
      </w:r>
      <w:r w:rsidR="00BE6245">
        <w:t xml:space="preserve">. Another factor was that during the election campaign came news of the Glorious Reform in France, which replaced the pure oligarchy of the </w:t>
      </w:r>
      <w:proofErr w:type="spellStart"/>
      <w:r w:rsidR="00BE6245">
        <w:t>Sieyesian</w:t>
      </w:r>
      <w:proofErr w:type="spellEnd"/>
      <w:r w:rsidR="00BE6245">
        <w:t xml:space="preserve"> system with a more popular government with the great Lafayette serving as its figurehead Grand Elector; Lafayette being, then and now, an American national hero, meant this inspired</w:t>
      </w:r>
      <w:r w:rsidR="00B977A7">
        <w:t xml:space="preserve"> a wave of Francophilia, and given the Democrats had since their formation been </w:t>
      </w:r>
      <w:r w:rsidR="00AC1BEC">
        <w:t xml:space="preserve">the party of </w:t>
      </w:r>
      <w:r w:rsidR="00015011">
        <w:t>Francophilia, this only strengthened the momentum that was already behind them</w:t>
      </w:r>
      <w:r w:rsidR="000750D2">
        <w:t xml:space="preserve">. </w:t>
      </w:r>
    </w:p>
    <w:p w14:paraId="76529954" w14:textId="4999A96D" w:rsidR="00997D21" w:rsidRDefault="00A14BF6" w:rsidP="00997D21">
      <w:r>
        <w:t xml:space="preserve">The result was a sweeping landslide for </w:t>
      </w:r>
      <w:r w:rsidR="002F24A2">
        <w:t>Burr</w:t>
      </w:r>
      <w:r>
        <w:t xml:space="preserve">, and he </w:t>
      </w:r>
      <w:r w:rsidR="002F24A2">
        <w:t>made his return</w:t>
      </w:r>
      <w:r>
        <w:t xml:space="preserve"> to the presidency</w:t>
      </w:r>
      <w:r w:rsidR="00AF30C7">
        <w:t>. As wits had it, his third run for a third term proved the charm</w:t>
      </w:r>
      <w:r w:rsidR="00794FFE">
        <w:t>. Though there were</w:t>
      </w:r>
      <w:r w:rsidR="00965A2F">
        <w:t xml:space="preserve"> </w:t>
      </w:r>
      <w:r w:rsidR="00424EDB">
        <w:t>calls for southern secession</w:t>
      </w:r>
      <w:r w:rsidR="00794FFE">
        <w:t>, they</w:t>
      </w:r>
      <w:r w:rsidR="00424EDB">
        <w:t xml:space="preserve"> </w:t>
      </w:r>
      <w:r w:rsidR="00794FFE">
        <w:t>had</w:t>
      </w:r>
      <w:r w:rsidR="00424EDB">
        <w:t xml:space="preserve"> cooled since the Illinois Compromise</w:t>
      </w:r>
      <w:r w:rsidR="00670271">
        <w:t xml:space="preserve"> which he declared he would uphold</w:t>
      </w:r>
      <w:r w:rsidR="00794FFE">
        <w:t>, and even Jefferson believed it was better for Virginia to stay in the union if only to corral opposition against him</w:t>
      </w:r>
      <w:r w:rsidR="00FA4FC2">
        <w:t>. The period between his election and his inauguration</w:t>
      </w:r>
      <w:r w:rsidR="005F4FBE">
        <w:t xml:space="preserve"> saw a mad rush of letters consume the nation; but if anyone had been looking at them, they would have seen that, for the most part</w:t>
      </w:r>
      <w:r w:rsidR="003D2447">
        <w:t>, Southerners were cautioning one another against brash action like secession</w:t>
      </w:r>
      <w:r w:rsidR="00794FFE">
        <w:t>.</w:t>
      </w:r>
      <w:r w:rsidR="003D2447">
        <w:t xml:space="preserve"> Thus, Burr got to his inauguration</w:t>
      </w:r>
      <w:r w:rsidR="00807B29">
        <w:t>, with nothing but some grumbling from some quarters</w:t>
      </w:r>
      <w:r w:rsidR="003D2447">
        <w:t>;</w:t>
      </w:r>
      <w:r w:rsidR="007B10E4">
        <w:t xml:space="preserve"> </w:t>
      </w:r>
      <w:r w:rsidR="003D2447">
        <w:t>his</w:t>
      </w:r>
      <w:r w:rsidR="007B10E4">
        <w:t xml:space="preserve"> long</w:t>
      </w:r>
      <w:r w:rsidR="00B64B0C">
        <w:t>, but well</w:t>
      </w:r>
      <w:r w:rsidR="00CF0E6E">
        <w:t>-</w:t>
      </w:r>
      <w:r w:rsidR="00B64B0C">
        <w:t>given</w:t>
      </w:r>
      <w:r w:rsidR="006F3EB7">
        <w:t xml:space="preserve"> and well-written</w:t>
      </w:r>
      <w:r w:rsidR="00B64B0C">
        <w:t xml:space="preserve"> </w:t>
      </w:r>
      <w:r w:rsidR="007B10E4">
        <w:t xml:space="preserve">inauguration speech set the agenda for the </w:t>
      </w:r>
      <w:r w:rsidR="00D63148">
        <w:t xml:space="preserve">far-reaching </w:t>
      </w:r>
      <w:r w:rsidR="007B10E4">
        <w:t xml:space="preserve">reforms he wished to </w:t>
      </w:r>
      <w:proofErr w:type="gramStart"/>
      <w:r w:rsidR="007B10E4">
        <w:t>enact</w:t>
      </w:r>
      <w:r w:rsidR="008876A5">
        <w:t>, and</w:t>
      </w:r>
      <w:proofErr w:type="gramEnd"/>
      <w:r w:rsidR="008876A5">
        <w:t xml:space="preserve"> given the failure of Madison to deal with them, he had a strong mandate to do so</w:t>
      </w:r>
      <w:r>
        <w:t xml:space="preserve">. </w:t>
      </w:r>
    </w:p>
    <w:p w14:paraId="2B6EA4D8" w14:textId="64C07E75" w:rsidR="007B10E4" w:rsidRDefault="007B10E4" w:rsidP="00997D21">
      <w:r>
        <w:t xml:space="preserve">Calling an early session of Congress, </w:t>
      </w:r>
      <w:r w:rsidR="002A085C">
        <w:t>Burr</w:t>
      </w:r>
      <w:r>
        <w:t xml:space="preserve"> immediately </w:t>
      </w:r>
      <w:r w:rsidR="00C204C1">
        <w:t xml:space="preserve">got to work. 1825 saw the establishment of the Second Bank of the United States. Rather than replacing the Fiscal Bank of Washington, it supplemented it; headquartered in Washington, it was clearly modelled on the </w:t>
      </w:r>
      <w:r w:rsidR="00C204C1">
        <w:lastRenderedPageBreak/>
        <w:t>Manhattan Company</w:t>
      </w:r>
      <w:r w:rsidR="009B7410">
        <w:t>, rather than the</w:t>
      </w:r>
      <w:r w:rsidR="006D2213">
        <w:t xml:space="preserve"> more elitist</w:t>
      </w:r>
      <w:r w:rsidR="009B7410">
        <w:t xml:space="preserve"> First Bank</w:t>
      </w:r>
      <w:r w:rsidR="00C204C1">
        <w:t>. With a capitalization of five million dollars, it was</w:t>
      </w:r>
      <w:r w:rsidR="000612CF">
        <w:t xml:space="preserve"> a value</w:t>
      </w:r>
      <w:r w:rsidR="00C204C1">
        <w:t xml:space="preserve"> far higher than the First Bank</w:t>
      </w:r>
      <w:r w:rsidR="00D21B4A">
        <w:t>, to help raise money for the government</w:t>
      </w:r>
      <w:r w:rsidR="00C204C1">
        <w:t>; additionally, shares were to be sold at an initial price of fifty cents, to make it accessible to the masses. Furthermore, only US residents could buy shares, and the number of shares a single person could own was capped. Almost immediately, this capping was something the wealthy sought to make their way around – but it st</w:t>
      </w:r>
      <w:r w:rsidR="00101C7A">
        <w:t>ill had an impact. But nevertheless, new branches of the Second Bank were opened, and they made their way across the West. This allowed for the reestablishment of</w:t>
      </w:r>
      <w:r w:rsidR="00A11DEB">
        <w:t xml:space="preserve"> a national currency. Additionally came legislation providing for the federal buyup of </w:t>
      </w:r>
      <w:r w:rsidR="007B3199">
        <w:t xml:space="preserve">surplus </w:t>
      </w:r>
      <w:r w:rsidR="00A11DEB">
        <w:t>western land, which cut down on paper speculation</w:t>
      </w:r>
      <w:r w:rsidR="009A6547">
        <w:t xml:space="preserve">, and a new tariff allowed for further protection of national industry </w:t>
      </w:r>
      <w:proofErr w:type="gramStart"/>
      <w:r w:rsidR="009A6547">
        <w:t>and also</w:t>
      </w:r>
      <w:proofErr w:type="gramEnd"/>
      <w:r w:rsidR="009A6547">
        <w:t xml:space="preserve"> gave the government new revenue. </w:t>
      </w:r>
      <w:r w:rsidR="00367F91">
        <w:t>This came with new deposits of federal money towards internal improvements</w:t>
      </w:r>
      <w:r w:rsidR="006E1B03">
        <w:t>, and canal and road projects which had been essentially abandoned</w:t>
      </w:r>
      <w:r w:rsidR="00D51F40">
        <w:t xml:space="preserve"> in the Panic years had begun to open again. </w:t>
      </w:r>
    </w:p>
    <w:p w14:paraId="086008E6" w14:textId="6531799E" w:rsidR="00C37DE6" w:rsidRDefault="00744E56" w:rsidP="00C37DE6">
      <w:r>
        <w:t xml:space="preserve">But more impactful would be the </w:t>
      </w:r>
      <w:r w:rsidR="00C63029">
        <w:t>Burr</w:t>
      </w:r>
      <w:r>
        <w:t xml:space="preserve"> administration’s actions abroad. </w:t>
      </w:r>
      <w:r w:rsidR="003C22EF">
        <w:t xml:space="preserve">With British ships </w:t>
      </w:r>
      <w:r w:rsidR="005F00FC">
        <w:t>impressing</w:t>
      </w:r>
      <w:r w:rsidR="003C22EF">
        <w:t xml:space="preserve"> American sailors</w:t>
      </w:r>
      <w:r w:rsidR="005F00FC">
        <w:t xml:space="preserve"> on the flimsy basis of their British birth</w:t>
      </w:r>
      <w:r w:rsidR="003C22EF">
        <w:t xml:space="preserve">, he began to ready troops for the national defence, if a war ever came. </w:t>
      </w:r>
      <w:r w:rsidR="000E301D">
        <w:t xml:space="preserve">He began to </w:t>
      </w:r>
      <w:r w:rsidR="002023D8">
        <w:t xml:space="preserve">make plans for war with the British. But </w:t>
      </w:r>
      <w:r w:rsidR="002E6184">
        <w:t>instead</w:t>
      </w:r>
      <w:r w:rsidR="002023D8">
        <w:t xml:space="preserve">, he decided to go to war with the </w:t>
      </w:r>
      <w:r w:rsidR="006E6AFB">
        <w:t xml:space="preserve">Spanish. This was because, first, they were </w:t>
      </w:r>
      <w:r w:rsidR="00A52ABE">
        <w:t xml:space="preserve">a </w:t>
      </w:r>
      <w:r w:rsidR="006E6AFB">
        <w:t>much weaker</w:t>
      </w:r>
      <w:r w:rsidR="00A52ABE">
        <w:t xml:space="preserve"> nation</w:t>
      </w:r>
      <w:r w:rsidR="00E27066">
        <w:t>.</w:t>
      </w:r>
      <w:r w:rsidR="006E6AFB">
        <w:t xml:space="preserve"> </w:t>
      </w:r>
      <w:r w:rsidR="00E27066">
        <w:t>S</w:t>
      </w:r>
      <w:r w:rsidR="006E6AFB">
        <w:t>econd</w:t>
      </w:r>
      <w:r w:rsidR="00E27066">
        <w:t xml:space="preserve"> and more importantly</w:t>
      </w:r>
      <w:r w:rsidR="006E6AFB">
        <w:t>, the British threatened to take New Orleans and with it</w:t>
      </w:r>
      <w:r w:rsidR="00A04B0B">
        <w:t xml:space="preserve"> American access to the Mississippi</w:t>
      </w:r>
      <w:r w:rsidR="000B0780">
        <w:t xml:space="preserve">; their invasion of Venezuela, by then having successfully established a </w:t>
      </w:r>
      <w:r w:rsidR="000E7FDA">
        <w:t xml:space="preserve">beachhead of a </w:t>
      </w:r>
      <w:r w:rsidR="000B0780">
        <w:t>client state under the moderate revolutionary Francisco de Miranda, seemed little more than the first</w:t>
      </w:r>
      <w:r w:rsidR="000E7FDA">
        <w:t xml:space="preserve"> step in a plot</w:t>
      </w:r>
      <w:r w:rsidR="00DF6E91">
        <w:t xml:space="preserve"> to dominate the entire </w:t>
      </w:r>
      <w:r w:rsidR="00B74076">
        <w:t>Caribbean, bringing them to America’s southern doorstep</w:t>
      </w:r>
      <w:r w:rsidR="0066386C">
        <w:t xml:space="preserve"> and enveloping them</w:t>
      </w:r>
      <w:r w:rsidR="00A04B0B">
        <w:t xml:space="preserve">. </w:t>
      </w:r>
      <w:r w:rsidR="006A6BAE">
        <w:t>Burr</w:t>
      </w:r>
      <w:r w:rsidR="00A04B0B">
        <w:t xml:space="preserve"> wanted to beat them to the punch</w:t>
      </w:r>
      <w:r w:rsidR="00C37DE6">
        <w:t>, and a war with the British, he thought, might enable them to take it first</w:t>
      </w:r>
      <w:r w:rsidR="009F4F02">
        <w:t xml:space="preserve"> through sheer naval power</w:t>
      </w:r>
      <w:r w:rsidR="00670271">
        <w:t xml:space="preserve">. Perhaps most decisive was when he revealed that James Wilkinson, an army officer who had formerly served as the leading officer in the American army, was a Spanish informant who sold out </w:t>
      </w:r>
      <w:r w:rsidR="00670271">
        <w:lastRenderedPageBreak/>
        <w:t>his own country for money; this had long since been suspected, but President Burr had in his hand</w:t>
      </w:r>
      <w:r w:rsidR="00392D8D">
        <w:t xml:space="preserve"> decisive proof of his dealings with authorities in New Orleans, and this caused a massive national stir</w:t>
      </w:r>
      <w:r w:rsidR="00A04B0B">
        <w:t xml:space="preserve">. </w:t>
      </w:r>
      <w:r w:rsidR="00AF18A8">
        <w:t xml:space="preserve">Thus, </w:t>
      </w:r>
      <w:r w:rsidR="006A6BAE">
        <w:t>he</w:t>
      </w:r>
      <w:r w:rsidR="00AF18A8">
        <w:t xml:space="preserve"> </w:t>
      </w:r>
      <w:r w:rsidR="005A1849">
        <w:t>asked</w:t>
      </w:r>
      <w:r w:rsidR="00AF18A8">
        <w:t xml:space="preserve"> Congress to declare war on the Spanish in the name of protecting trade along the Mississippi, and he got it</w:t>
      </w:r>
      <w:r w:rsidR="00674EDD">
        <w:t xml:space="preserve"> with a wide majority; only </w:t>
      </w:r>
      <w:proofErr w:type="gramStart"/>
      <w:r w:rsidR="00674EDD">
        <w:t>ultra Republicans</w:t>
      </w:r>
      <w:proofErr w:type="gramEnd"/>
      <w:r w:rsidR="00674EDD">
        <w:t xml:space="preserve"> and the Federalist remnant disagreed</w:t>
      </w:r>
      <w:r w:rsidR="00AF18A8">
        <w:t xml:space="preserve">. </w:t>
      </w:r>
      <w:r w:rsidR="00BD3F77">
        <w:t xml:space="preserve">With that, peace had ended. The Luisiana War had begun. </w:t>
      </w:r>
    </w:p>
    <w:p w14:paraId="2944633F" w14:textId="1618A509" w:rsidR="0042799C" w:rsidRDefault="0042799C" w:rsidP="009E577D">
      <w:r>
        <w:br w:type="page"/>
      </w:r>
    </w:p>
    <w:p w14:paraId="6C95A8D2" w14:textId="77777777" w:rsidR="00E7172B" w:rsidRDefault="00E7172B" w:rsidP="00E7172B"/>
    <w:p w14:paraId="37D9CC40" w14:textId="77777777" w:rsidR="00E7172B" w:rsidRDefault="00E7172B" w:rsidP="00E7172B">
      <w:pPr>
        <w:sectPr w:rsidR="00E7172B" w:rsidSect="00E7172B">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34573E3" w14:textId="6460B269" w:rsidR="00E7172B" w:rsidRDefault="00E7172B" w:rsidP="00E7172B">
      <w:r>
        <w:br w:type="page"/>
      </w:r>
    </w:p>
    <w:p w14:paraId="729EB1D7" w14:textId="26867D5E" w:rsidR="0060331B" w:rsidRDefault="0060331B" w:rsidP="0060331B">
      <w:pPr>
        <w:pStyle w:val="Heading1"/>
      </w:pPr>
      <w:bookmarkStart w:id="16" w:name="_Toc202006210"/>
      <w:r>
        <w:lastRenderedPageBreak/>
        <w:t xml:space="preserve">11. March of the </w:t>
      </w:r>
      <w:r w:rsidR="0067504C">
        <w:t>Racc</w:t>
      </w:r>
      <w:r>
        <w:t>oon</w:t>
      </w:r>
      <w:r w:rsidR="0067504C">
        <w:t xml:space="preserve"> </w:t>
      </w:r>
      <w:r w:rsidR="00FE1D1B">
        <w:t>S</w:t>
      </w:r>
      <w:r>
        <w:t>kin Parade</w:t>
      </w:r>
      <w:bookmarkEnd w:id="16"/>
    </w:p>
    <w:p w14:paraId="3E3BECF1" w14:textId="77777777" w:rsidR="00D12942" w:rsidRDefault="00E82F53" w:rsidP="0060331B">
      <w:r>
        <w:t xml:space="preserve">In truth, the Luisiana War was a long time coming. </w:t>
      </w:r>
      <w:r w:rsidR="00934006">
        <w:t xml:space="preserve">The West had long since sought secure access to the Mississippi River, and though the Treaty of San Lorenzo (1795) had granted Americans access </w:t>
      </w:r>
      <w:r w:rsidR="00C20629">
        <w:t xml:space="preserve">to it, along with </w:t>
      </w:r>
      <w:r w:rsidR="004452F0">
        <w:t xml:space="preserve">the right to deposit goods in </w:t>
      </w:r>
      <w:r w:rsidR="00E829E6">
        <w:t>New Orleans</w:t>
      </w:r>
      <w:r w:rsidR="00EB79A7">
        <w:t xml:space="preserve">, it was something which established a great divide in the American nation. </w:t>
      </w:r>
      <w:r w:rsidR="00D32577">
        <w:t>For New Orleans</w:t>
      </w:r>
      <w:r w:rsidR="00CC790B">
        <w:t>, and indeed the mouth of the Mississippi River,</w:t>
      </w:r>
      <w:r w:rsidR="00D32577">
        <w:t xml:space="preserve"> was under Spanish rule, and this meant that the West, especially the Southwest, had stronger commercial links to Spanish territory than it did to</w:t>
      </w:r>
      <w:r w:rsidR="00101625">
        <w:t xml:space="preserve"> the rest of the United States. </w:t>
      </w:r>
      <w:r w:rsidR="00936449">
        <w:t>The construction of canals and roads during the Burr years somewhat weakened this geographic fact, as the Ohio River became an important commercial artery for the American nation</w:t>
      </w:r>
      <w:r w:rsidR="00DA4E9A">
        <w:t>, and the several canals carved through Ohio</w:t>
      </w:r>
      <w:r w:rsidR="000C5816">
        <w:t xml:space="preserve"> and the Erie Canal</w:t>
      </w:r>
      <w:r w:rsidR="00DA4E9A">
        <w:t xml:space="preserve"> allowed for goods to be shipped through New York</w:t>
      </w:r>
      <w:r w:rsidR="00936449">
        <w:t>, but it could not erase the great geographic fact that</w:t>
      </w:r>
      <w:r w:rsidR="00DF5EDD">
        <w:t xml:space="preserve"> it was much easier to trade with the world through Spanish territory than it was through the rest of the United States; the new internal improvement</w:t>
      </w:r>
      <w:r w:rsidR="002D79AA">
        <w:t xml:space="preserve"> programme</w:t>
      </w:r>
      <w:r w:rsidR="00DF5EDD">
        <w:t xml:space="preserve"> only slightly alleviate</w:t>
      </w:r>
      <w:r w:rsidR="008D5136">
        <w:t>d</w:t>
      </w:r>
      <w:r w:rsidR="00DF5EDD">
        <w:t xml:space="preserve"> </w:t>
      </w:r>
      <w:r w:rsidR="00B61954">
        <w:t>this fact</w:t>
      </w:r>
      <w:r w:rsidR="00DF5EDD">
        <w:t xml:space="preserve">. </w:t>
      </w:r>
    </w:p>
    <w:p w14:paraId="32466C43" w14:textId="129157D7" w:rsidR="001D0979" w:rsidRDefault="00163857" w:rsidP="005F3CDC">
      <w:r>
        <w:t>Indeed, access to New Orleans had been the source of several war scares</w:t>
      </w:r>
      <w:r w:rsidR="00201033">
        <w:t xml:space="preserve">; most notably, in 1803, the Spanish intendant in New Orleans revoked American right to deposit, which resulted in a war scare consuming the United States and several state governments preparing their militias, and this </w:t>
      </w:r>
      <w:r w:rsidR="003515FD">
        <w:t>only came to an end when the</w:t>
      </w:r>
      <w:r w:rsidR="00201033">
        <w:t xml:space="preserve"> </w:t>
      </w:r>
      <w:r w:rsidR="003515FD">
        <w:t xml:space="preserve">Jefferson administration renegotiated right to deposit in New Orleans. </w:t>
      </w:r>
      <w:r w:rsidR="00DE6239">
        <w:t xml:space="preserve">This meant that when the </w:t>
      </w:r>
      <w:r w:rsidR="00BF71DD">
        <w:t>Burr</w:t>
      </w:r>
      <w:r w:rsidR="00DE6239">
        <w:t xml:space="preserve"> administration declared war on the Spanish, almost immediately the several state governments organized</w:t>
      </w:r>
      <w:r w:rsidR="00D12942">
        <w:t xml:space="preserve"> militias and </w:t>
      </w:r>
      <w:r w:rsidR="004E4980">
        <w:t xml:space="preserve">armies pointed westwards. </w:t>
      </w:r>
      <w:proofErr w:type="gramStart"/>
      <w:r w:rsidR="00EA5786">
        <w:t>In particular, Kentucky</w:t>
      </w:r>
      <w:proofErr w:type="gramEnd"/>
      <w:r w:rsidR="00EA5786">
        <w:t xml:space="preserve"> and Tennessee organized</w:t>
      </w:r>
      <w:r w:rsidR="005F3CDC">
        <w:t xml:space="preserve"> </w:t>
      </w:r>
      <w:r w:rsidR="00894FAE">
        <w:t xml:space="preserve">their state militias; the iconic image of the Luisiana War fighter, of </w:t>
      </w:r>
      <w:r w:rsidR="0085017A">
        <w:t xml:space="preserve">the </w:t>
      </w:r>
      <w:r w:rsidR="00423619">
        <w:t>citizen-</w:t>
      </w:r>
      <w:r w:rsidR="0085017A">
        <w:t xml:space="preserve">soldier clad in </w:t>
      </w:r>
      <w:r w:rsidR="00423619">
        <w:t>buckskin robes</w:t>
      </w:r>
      <w:r w:rsidR="0085017A">
        <w:t xml:space="preserve">, a raccoon skin cap, and a hunting rifle, is descended directly from </w:t>
      </w:r>
      <w:r w:rsidR="00423619">
        <w:t>these militias</w:t>
      </w:r>
      <w:r w:rsidR="0085017A">
        <w:t xml:space="preserve">. </w:t>
      </w:r>
      <w:r w:rsidR="00123CC7">
        <w:t xml:space="preserve">Deployed almost immediately upon receiving the order by </w:t>
      </w:r>
      <w:r w:rsidR="00BA02F8">
        <w:t>telegraph</w:t>
      </w:r>
      <w:r w:rsidR="00123CC7">
        <w:t xml:space="preserve">, </w:t>
      </w:r>
      <w:r w:rsidR="0027458E">
        <w:t xml:space="preserve">they invaded westwards. </w:t>
      </w:r>
    </w:p>
    <w:p w14:paraId="6A22961E" w14:textId="420E1345" w:rsidR="005F3CDC" w:rsidRDefault="0027458E" w:rsidP="005F3CDC">
      <w:r>
        <w:lastRenderedPageBreak/>
        <w:t xml:space="preserve">Crossing over the </w:t>
      </w:r>
      <w:r w:rsidR="0018491A">
        <w:t>Mississippi River, this was something Spanish forces were not prepared for, due to the suddenness of it all, and several Spanish border forts fell</w:t>
      </w:r>
      <w:r w:rsidR="001A77E9">
        <w:t>; th</w:t>
      </w:r>
      <w:r w:rsidR="00E509A6">
        <w:t>is demonstrated the sheer weakness of Spanish fortifications over much of the border</w:t>
      </w:r>
      <w:r w:rsidR="0018491A">
        <w:t xml:space="preserve">. </w:t>
      </w:r>
      <w:r w:rsidR="00486173">
        <w:t xml:space="preserve">Where </w:t>
      </w:r>
      <w:r w:rsidR="00E509A6">
        <w:t>American</w:t>
      </w:r>
      <w:r w:rsidR="00486173">
        <w:t xml:space="preserve"> efforts failed were in </w:t>
      </w:r>
      <w:r w:rsidR="00ED378D">
        <w:t xml:space="preserve">Lower Luisiana </w:t>
      </w:r>
      <w:r w:rsidR="00486173">
        <w:t xml:space="preserve">and near St. Louis; in </w:t>
      </w:r>
      <w:r w:rsidR="00ED378D">
        <w:t>Lower Luisiana</w:t>
      </w:r>
      <w:r w:rsidR="00486173">
        <w:t>, this was because of the scale of Spanish</w:t>
      </w:r>
      <w:r w:rsidR="00ED378D">
        <w:t xml:space="preserve"> buildup</w:t>
      </w:r>
      <w:r w:rsidR="009069F3">
        <w:t xml:space="preserve"> and army</w:t>
      </w:r>
      <w:r w:rsidR="00ED378D">
        <w:t>, as well as its</w:t>
      </w:r>
      <w:r w:rsidR="00581650">
        <w:t xml:space="preserve"> ample</w:t>
      </w:r>
      <w:r w:rsidR="00ED378D">
        <w:t xml:space="preserve"> settlement of the </w:t>
      </w:r>
      <w:r w:rsidR="00386E23">
        <w:t>area</w:t>
      </w:r>
      <w:r w:rsidR="00220088">
        <w:t>;</w:t>
      </w:r>
      <w:r w:rsidR="00C57DE4">
        <w:t xml:space="preserve"> and near St. Louis it was because </w:t>
      </w:r>
      <w:r w:rsidR="00ED1773">
        <w:t xml:space="preserve">Illinois’ small population meant it didn’t have many people to send </w:t>
      </w:r>
      <w:r w:rsidR="00BC6927">
        <w:t>enough of an army to capture the well-fortified city</w:t>
      </w:r>
      <w:r w:rsidR="00EF2F3E">
        <w:t>, and the defeat ended up an abject failure</w:t>
      </w:r>
      <w:r w:rsidR="00ED378D">
        <w:t xml:space="preserve">. </w:t>
      </w:r>
      <w:r w:rsidR="00BC6927">
        <w:t>Indeed, from Lower Luisiana the Spanish launched a counter</w:t>
      </w:r>
      <w:r w:rsidR="00440544">
        <w:t>attack</w:t>
      </w:r>
      <w:r w:rsidR="00BC6927">
        <w:t>, capturing</w:t>
      </w:r>
      <w:r w:rsidR="00E03FB0">
        <w:t xml:space="preserve"> Natchez from the United States</w:t>
      </w:r>
      <w:r w:rsidR="00440544">
        <w:t xml:space="preserve"> – and even upriver, the Spanish successfully took </w:t>
      </w:r>
      <w:proofErr w:type="spellStart"/>
      <w:r w:rsidR="00440544">
        <w:t>Illinoistown</w:t>
      </w:r>
      <w:proofErr w:type="spellEnd"/>
      <w:r w:rsidR="00440544">
        <w:t>, just across the river from St. Louis</w:t>
      </w:r>
      <w:r w:rsidR="000D2C47">
        <w:t>, though a further approach up</w:t>
      </w:r>
      <w:r w:rsidR="00596185">
        <w:t xml:space="preserve"> Illinois was defeated</w:t>
      </w:r>
      <w:r w:rsidR="00975946">
        <w:t xml:space="preserve">. </w:t>
      </w:r>
    </w:p>
    <w:p w14:paraId="7063306D" w14:textId="4A319476" w:rsidR="00C01CCB" w:rsidRDefault="00C01CCB" w:rsidP="005F3CDC">
      <w:r>
        <w:t xml:space="preserve">Still, it did buy time for the </w:t>
      </w:r>
      <w:r w:rsidR="00756789">
        <w:t>Burr</w:t>
      </w:r>
      <w:r>
        <w:t xml:space="preserve"> administration to send regiments from the east westwards</w:t>
      </w:r>
      <w:r w:rsidR="003C7FA4">
        <w:t>, typically through canal and river barges</w:t>
      </w:r>
      <w:r>
        <w:t xml:space="preserve">, and these regiments spanned across the </w:t>
      </w:r>
      <w:r w:rsidR="006C4433">
        <w:t>Mississippi</w:t>
      </w:r>
      <w:r w:rsidR="00B330FD">
        <w:t xml:space="preserve">, and along the border with the </w:t>
      </w:r>
      <w:proofErr w:type="spellStart"/>
      <w:r w:rsidR="00B330FD">
        <w:t>Floridas</w:t>
      </w:r>
      <w:proofErr w:type="spellEnd"/>
      <w:r w:rsidR="006C4433">
        <w:t xml:space="preserve">. </w:t>
      </w:r>
      <w:r w:rsidR="001266A5">
        <w:t>Here, they were faced with a strike northwards; the Red Stick faction of the Creek attempted to make their way back to their homeland</w:t>
      </w:r>
      <w:r w:rsidR="00361F33">
        <w:t xml:space="preserve"> in </w:t>
      </w:r>
      <w:r w:rsidR="00CD777D">
        <w:t>Yazoo, but American regiments successfully destroyed them</w:t>
      </w:r>
      <w:r w:rsidR="00E4557F">
        <w:t xml:space="preserve"> at the Battle of Fort Claiborne, forcing them into a retreat</w:t>
      </w:r>
      <w:r w:rsidR="00CB19D2">
        <w:t xml:space="preserve">; </w:t>
      </w:r>
      <w:r w:rsidR="009A5687">
        <w:t xml:space="preserve">American troops successfully followed them into </w:t>
      </w:r>
      <w:r w:rsidR="00A32472">
        <w:t>East</w:t>
      </w:r>
      <w:r w:rsidR="009A5687">
        <w:t xml:space="preserve"> Florida, but the ensuing Battle of Pensacola ended in a resounding American defeat, and given the lack of American supply lines, it was a quite decisive one</w:t>
      </w:r>
      <w:r w:rsidR="00BA0440">
        <w:t>. Furthermore, an attempted strike at St. Augustine resulted in a short siege which was swiftly broken from the sea</w:t>
      </w:r>
      <w:r w:rsidR="008E1E0F">
        <w:t xml:space="preserve">. </w:t>
      </w:r>
      <w:r w:rsidR="009B0C64">
        <w:t xml:space="preserve">Additionally, with enthusiasm for the war, volunteer societies of virtually every </w:t>
      </w:r>
      <w:proofErr w:type="gramStart"/>
      <w:r w:rsidR="009B0C64">
        <w:t>sort</w:t>
      </w:r>
      <w:proofErr w:type="gramEnd"/>
      <w:r w:rsidR="009B0C64">
        <w:t xml:space="preserve"> organized regiments – indeed, in this war, all one needed to become a colonel, or a captain, or a brigadier-general, was a big enough force to offer to the government –, and this resulted in new regiments to send to the border. However, the US Army was a disorganized mess, having been allowed during the Madison years to be shrunk to a few thousand, and planners in the </w:t>
      </w:r>
      <w:r w:rsidR="009B0C64">
        <w:lastRenderedPageBreak/>
        <w:t xml:space="preserve">government and the army figured the real point of these volunteer regiments was to </w:t>
      </w:r>
      <w:r w:rsidR="003949E3">
        <w:t xml:space="preserve">buy time for a few months to </w:t>
      </w:r>
      <w:r w:rsidR="009B0C64">
        <w:t>train a force</w:t>
      </w:r>
      <w:r w:rsidR="003949E3">
        <w:t xml:space="preserve">. </w:t>
      </w:r>
    </w:p>
    <w:p w14:paraId="624CE1A7" w14:textId="6BFBE5DC" w:rsidR="0079059F" w:rsidRDefault="0079059F" w:rsidP="005F3CDC">
      <w:r>
        <w:t xml:space="preserve">It was also here that Spanish forces engaged in its most notorious actions of the entire war. Seeking to force the US out of the war before it would be able to build common ground with the British, it established a blockade around </w:t>
      </w:r>
      <w:r w:rsidR="005B5280">
        <w:t xml:space="preserve">America’s </w:t>
      </w:r>
      <w:r>
        <w:t xml:space="preserve">seaboard. </w:t>
      </w:r>
      <w:r w:rsidR="0015680F">
        <w:t>This was a very leaky blockade, both because the Spanish didn’t have enough ships to spare for a tighter one and because</w:t>
      </w:r>
      <w:r w:rsidR="00D03C08">
        <w:t xml:space="preserve"> Britain being at war, the British navy attacked these Spanish efforts. And even that aside, it was easy enough to </w:t>
      </w:r>
      <w:r w:rsidR="00F434F2">
        <w:t xml:space="preserve">simply skirt this blockade from trading through the St. Lawrence River, </w:t>
      </w:r>
      <w:r w:rsidR="00755900">
        <w:t>in</w:t>
      </w:r>
      <w:r w:rsidR="00F434F2">
        <w:t xml:space="preserve"> British North America</w:t>
      </w:r>
      <w:r w:rsidR="00755900">
        <w:t>. Indeed, Montreal and Toronto (then York</w:t>
      </w:r>
      <w:r w:rsidR="00B71799">
        <w:rPr>
          <w:rStyle w:val="EndnoteReference"/>
        </w:rPr>
        <w:endnoteReference w:id="56"/>
      </w:r>
      <w:r w:rsidR="00755900">
        <w:t>) boomed in the Luisiana War years</w:t>
      </w:r>
      <w:r w:rsidR="00D6192E">
        <w:t>, as they served as emporia for this trade</w:t>
      </w:r>
      <w:r w:rsidR="007A20CC">
        <w:t xml:space="preserve">. </w:t>
      </w:r>
      <w:r w:rsidR="00D6192E">
        <w:t>Additionally, this block on trade helped to kick off a boom</w:t>
      </w:r>
      <w:r w:rsidR="005054AC">
        <w:t xml:space="preserve"> in industry, to create the goods now that importation was a much harder effort. </w:t>
      </w:r>
      <w:r w:rsidR="006B4F53">
        <w:t xml:space="preserve">It would also be here that the Spanish engaged in several raids on American territory. </w:t>
      </w:r>
      <w:r w:rsidR="008673FE">
        <w:t>Natchez already under Spanish control, several raids went up the Mississippi; the Sack of Memphis was a particularly humiliating event, even if it ended with</w:t>
      </w:r>
      <w:r w:rsidR="00CC3FEF">
        <w:t xml:space="preserve"> the Spanish chased off</w:t>
      </w:r>
      <w:r w:rsidR="00646D06">
        <w:t xml:space="preserve"> by a peculiar alliance of settler and Chickasaw</w:t>
      </w:r>
      <w:r w:rsidR="00A54EF5">
        <w:t xml:space="preserve"> regiments</w:t>
      </w:r>
      <w:r w:rsidR="00CC3FEF">
        <w:t xml:space="preserve">. </w:t>
      </w:r>
    </w:p>
    <w:p w14:paraId="0BC7240C" w14:textId="596A5A81" w:rsidR="00FA1813" w:rsidRDefault="005B428D" w:rsidP="00FA1813">
      <w:r>
        <w:t xml:space="preserve">But what is indisputably the most infamous event of the Luisiana War happened in the February of 1826. A Spanish force, operating from the sea, headed towards Charleston; though one of the largest ports of the United States, the far weaker US Navy </w:t>
      </w:r>
      <w:r w:rsidR="00C17A3B">
        <w:t xml:space="preserve">found itself badly defeated – </w:t>
      </w:r>
      <w:r w:rsidR="00F14224">
        <w:t>despite several ships being in its harbor, the Spanish</w:t>
      </w:r>
      <w:r w:rsidR="00C17A3B">
        <w:t xml:space="preserve"> </w:t>
      </w:r>
      <w:r w:rsidR="00F14224">
        <w:t xml:space="preserve">easily destroyed them. This </w:t>
      </w:r>
      <w:r w:rsidR="00D253CE">
        <w:t xml:space="preserve">gave the Spanish free rein to do what it desired to the city; Charleston ended up sacked, with most of its slave population captured and taken to Cuba. </w:t>
      </w:r>
      <w:r w:rsidR="00AF1F99">
        <w:t xml:space="preserve">The Sack of Charleston left the city burning rubble, and it traumatized South Carolina and helped shape the state’s peculiar inferiority complex in the decades to come. </w:t>
      </w:r>
      <w:r w:rsidR="00FA1813">
        <w:t xml:space="preserve">This came with several other naval strikes; a raid on Savannah was less than </w:t>
      </w:r>
      <w:proofErr w:type="gramStart"/>
      <w:r w:rsidR="00FA1813">
        <w:lastRenderedPageBreak/>
        <w:t>successful, and</w:t>
      </w:r>
      <w:proofErr w:type="gramEnd"/>
      <w:r w:rsidR="00FA1813">
        <w:t xml:space="preserve"> </w:t>
      </w:r>
      <w:r w:rsidR="00207F8D">
        <w:t>strikes</w:t>
      </w:r>
      <w:r w:rsidR="00FA1813">
        <w:t xml:space="preserve"> pointed towards New England</w:t>
      </w:r>
      <w:r w:rsidR="003C670C">
        <w:t xml:space="preserve"> and Washington</w:t>
      </w:r>
      <w:r w:rsidR="00FA1813">
        <w:t xml:space="preserve"> ended up miserable failures. </w:t>
      </w:r>
    </w:p>
    <w:p w14:paraId="5ED8EEB6" w14:textId="5A0032B7" w:rsidR="003C670C" w:rsidRDefault="003C670C" w:rsidP="00FA1813">
      <w:r>
        <w:t xml:space="preserve">However, this did not chill prowar sentiments in the United States; instead, </w:t>
      </w:r>
      <w:r w:rsidR="00A516EE">
        <w:t xml:space="preserve">the so-called “Rape of Charleston” became a rallying cry for the entire war. New, trained regiments were sent to the fronts of the war, and they put St. Augustine to a siege, although the navy entirely failed to </w:t>
      </w:r>
      <w:r w:rsidR="00E96A22">
        <w:t xml:space="preserve">stop the Spanish from continuing to refuel </w:t>
      </w:r>
      <w:r w:rsidR="00750E98">
        <w:t xml:space="preserve">the </w:t>
      </w:r>
      <w:r w:rsidR="00D20951">
        <w:t xml:space="preserve">town. </w:t>
      </w:r>
      <w:r w:rsidR="001B0102">
        <w:t>Additionally, American troops successfully</w:t>
      </w:r>
      <w:r w:rsidR="00F26BE9">
        <w:t xml:space="preserve"> swept through the Spanish beachhead on Illinois and</w:t>
      </w:r>
      <w:r w:rsidR="001B0102">
        <w:t xml:space="preserve"> captured St. Louis, which saw in quick succession the fall of the entire Missouri River. </w:t>
      </w:r>
      <w:r w:rsidR="00DC3268">
        <w:t xml:space="preserve">It would not take long for hunters from Kentucky to </w:t>
      </w:r>
      <w:r w:rsidR="001B7226">
        <w:t xml:space="preserve">travel to the grave of Daniel Boone, the much-famed founder of their state, in something which has since been put to </w:t>
      </w:r>
      <w:r w:rsidR="00AE6A80">
        <w:t xml:space="preserve">painting. </w:t>
      </w:r>
      <w:r w:rsidR="00B174EE">
        <w:t xml:space="preserve">However, when </w:t>
      </w:r>
      <w:r w:rsidR="00577EE9">
        <w:t>American troops tried to take the advantage down the Mississippi, it ended up defeated; a simultaneous advance on land and sea saw the sea advance swept by the Spanish fleet, and</w:t>
      </w:r>
      <w:r w:rsidR="00EC3E93">
        <w:t xml:space="preserve"> though</w:t>
      </w:r>
      <w:r w:rsidR="00577EE9">
        <w:t xml:space="preserve"> the army reaching the Mississippi</w:t>
      </w:r>
      <w:r w:rsidR="00EC3E93">
        <w:t>, th</w:t>
      </w:r>
      <w:r w:rsidR="00A12AF2">
        <w:t>at</w:t>
      </w:r>
      <w:r w:rsidR="00EC3E93">
        <w:t xml:space="preserve"> same Spanish </w:t>
      </w:r>
      <w:r w:rsidR="00A12AF2">
        <w:t>fleet</w:t>
      </w:r>
      <w:r w:rsidR="00577EE9">
        <w:t xml:space="preserve"> swept</w:t>
      </w:r>
      <w:r w:rsidR="00EC3E93">
        <w:t xml:space="preserve"> them</w:t>
      </w:r>
      <w:r w:rsidR="00577EE9">
        <w:t xml:space="preserve"> from it. </w:t>
      </w:r>
    </w:p>
    <w:p w14:paraId="1B7B989D" w14:textId="1CAC8205" w:rsidR="001A253B" w:rsidRDefault="001A253B" w:rsidP="001A253B">
      <w:r>
        <w:t xml:space="preserve">Thus, the war had reached a puzzling stalemate. American superiority over land met Spanish superiority over the sea, and neither could truly make a decisive blow at this point. The Spanish were certainly able to establish a blockade and even launch raids on several cities, but they could not launch the blow necessary to truly collapse the American war effort; similarly, the Americans were certainly able to send troops across the little-defended Upper Mississippi, beyond the zone of navigability, but they could not capture </w:t>
      </w:r>
      <w:r w:rsidR="00265D90">
        <w:t>Lower Luisiana, where Spanish naval superiority was decisive</w:t>
      </w:r>
      <w:r>
        <w:t xml:space="preserve">. </w:t>
      </w:r>
      <w:r w:rsidR="00491E8A">
        <w:t xml:space="preserve">Additionally, the United States was heavily encumbered by its low state capacity, it </w:t>
      </w:r>
      <w:proofErr w:type="gramStart"/>
      <w:r w:rsidR="00491E8A">
        <w:t>resembling</w:t>
      </w:r>
      <w:proofErr w:type="gramEnd"/>
      <w:r w:rsidR="00491E8A">
        <w:t xml:space="preserve"> in this era less a country and more a confederation of sovereign states, and this made it quite tough to even finance the war effort in the first place. In contrast, the Spanish had a long experience governing an intercontinental empire; however miserable its competence in doing so, it </w:t>
      </w:r>
      <w:r w:rsidR="00491E8A">
        <w:lastRenderedPageBreak/>
        <w:t xml:space="preserve">at least had some idea of what it was doing. </w:t>
      </w:r>
      <w:r w:rsidR="00786D22">
        <w:t xml:space="preserve">But still, these disadvantages did not erase that the United States was a </w:t>
      </w:r>
      <w:r w:rsidR="00FE51DD">
        <w:t xml:space="preserve">far </w:t>
      </w:r>
      <w:r w:rsidR="00786D22">
        <w:t xml:space="preserve">more cohesive unit with a far larger population than that of the adjacent Spanish territories, and </w:t>
      </w:r>
      <w:r w:rsidR="00FE51DD">
        <w:t xml:space="preserve">long-term the war pointed its way. </w:t>
      </w:r>
    </w:p>
    <w:p w14:paraId="3640EBF5" w14:textId="77777777" w:rsidR="00B35166" w:rsidRDefault="00B35166" w:rsidP="00B35166">
      <w:r>
        <w:br w:type="page"/>
      </w:r>
    </w:p>
    <w:p w14:paraId="5700015B" w14:textId="77777777" w:rsidR="00B35166" w:rsidRDefault="00B35166" w:rsidP="005F3CDC"/>
    <w:p w14:paraId="4D197A85" w14:textId="77777777" w:rsidR="0060331B" w:rsidRDefault="0060331B" w:rsidP="0060331B">
      <w:pPr>
        <w:sectPr w:rsidR="0060331B" w:rsidSect="0060331B">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57E0C11" w14:textId="77777777" w:rsidR="0060331B" w:rsidRDefault="0060331B" w:rsidP="0060331B">
      <w:r>
        <w:br w:type="page"/>
      </w:r>
    </w:p>
    <w:p w14:paraId="3A4901A2" w14:textId="1B381ECE" w:rsidR="00BD08C5" w:rsidRDefault="00BD08C5" w:rsidP="00BD08C5">
      <w:pPr>
        <w:pStyle w:val="Heading1"/>
      </w:pPr>
      <w:bookmarkStart w:id="17" w:name="_Toc202006211"/>
      <w:r>
        <w:lastRenderedPageBreak/>
        <w:t>12. The Financiers</w:t>
      </w:r>
      <w:bookmarkEnd w:id="17"/>
    </w:p>
    <w:p w14:paraId="2094E953" w14:textId="587E0D47" w:rsidR="00BD08C5" w:rsidRDefault="00BD08C5" w:rsidP="00BD08C5">
      <w:r>
        <w:t xml:space="preserve">The establishment of the Second Bank of the United States in 1825 was something which ended up crucial to the financing of the war effort. With its president, Joshua Forman, </w:t>
      </w:r>
      <w:r w:rsidR="00113A0F">
        <w:t>using the expertise he had developed running the Erie Canal to vigorously</w:t>
      </w:r>
      <w:r w:rsidR="00B96F6A">
        <w:t xml:space="preserve"> establish bank branches all over the United States, including the West, the banknotes it printed became currency across the nation</w:t>
      </w:r>
      <w:r w:rsidR="00FB594F">
        <w:t>.</w:t>
      </w:r>
      <w:r w:rsidR="002341AF">
        <w:t xml:space="preserve"> </w:t>
      </w:r>
      <w:r w:rsidR="00FB594F">
        <w:t>This put an end to</w:t>
      </w:r>
      <w:r w:rsidR="002341AF">
        <w:t xml:space="preserve"> the makeshift currency arrangements that </w:t>
      </w:r>
      <w:r w:rsidR="00156B84">
        <w:t>the post-Panic of 1819 scarcity of currency had established</w:t>
      </w:r>
      <w:r w:rsidR="00A8475D">
        <w:t xml:space="preserve">, and indeed the government went as far as to wait </w:t>
      </w:r>
      <w:r w:rsidR="00343D5B">
        <w:t xml:space="preserve">some months to establish a solid financial system </w:t>
      </w:r>
      <w:r w:rsidR="00A8475D">
        <w:t>before declaring war on the Spanish.</w:t>
      </w:r>
      <w:r w:rsidR="00647F1C">
        <w:t xml:space="preserve"> </w:t>
      </w:r>
      <w:r w:rsidR="00A8475D">
        <w:t>T</w:t>
      </w:r>
      <w:r w:rsidR="00B96F6A">
        <w:t xml:space="preserve">o send money across the United States to pay </w:t>
      </w:r>
      <w:r w:rsidR="002341AF">
        <w:t xml:space="preserve">the </w:t>
      </w:r>
      <w:r w:rsidR="00B96F6A">
        <w:t>army, the government could simply transmit money across bank branches</w:t>
      </w:r>
      <w:r w:rsidR="00A55AF9">
        <w:t xml:space="preserve">, rather than the potentially disastrous process of having to transmit and convert notes between different state </w:t>
      </w:r>
      <w:r w:rsidR="00565C21">
        <w:t>banks it would have otherwise been forced into</w:t>
      </w:r>
      <w:r w:rsidR="00C77EC8">
        <w:t xml:space="preserve">; </w:t>
      </w:r>
      <w:r w:rsidR="00E903F8">
        <w:t>cheques could be made between branches, and additionally,</w:t>
      </w:r>
      <w:r w:rsidR="000756E4">
        <w:t xml:space="preserve"> in the most urgent case,</w:t>
      </w:r>
      <w:r w:rsidR="00E903F8">
        <w:t xml:space="preserve"> the semaphoric telegraph network</w:t>
      </w:r>
      <w:r w:rsidR="001B19B9">
        <w:t xml:space="preserve"> that the government had built up to this point,</w:t>
      </w:r>
      <w:r w:rsidR="00E903F8">
        <w:t xml:space="preserve"> could be used in </w:t>
      </w:r>
      <w:r w:rsidR="007628D7">
        <w:t xml:space="preserve">sending and </w:t>
      </w:r>
      <w:r w:rsidR="00E903F8">
        <w:t>verifying large transactions</w:t>
      </w:r>
      <w:r w:rsidR="00B96F6A">
        <w:t xml:space="preserve">. </w:t>
      </w:r>
      <w:r w:rsidR="00F441EA">
        <w:t xml:space="preserve">If the United States did not have a national bank, it would have been much harder for </w:t>
      </w:r>
      <w:r w:rsidR="009A5780">
        <w:t>it</w:t>
      </w:r>
      <w:r w:rsidR="00F441EA">
        <w:t xml:space="preserve"> to finance the war at all</w:t>
      </w:r>
      <w:r w:rsidR="002E0897">
        <w:t>, and despite initial grievances against its establishment this gave it a newfound popularity</w:t>
      </w:r>
      <w:r w:rsidR="00CF3945">
        <w:t xml:space="preserve">; in any case, the European banks that the US could have otherwise received loans from, </w:t>
      </w:r>
      <w:r w:rsidR="000B02BB">
        <w:t>had no credit to</w:t>
      </w:r>
      <w:r w:rsidR="00CF3945">
        <w:t xml:space="preserve"> </w:t>
      </w:r>
      <w:r w:rsidR="000B02BB">
        <w:t xml:space="preserve">offer because </w:t>
      </w:r>
      <w:r w:rsidR="00610673">
        <w:t>they were consumed in financing</w:t>
      </w:r>
      <w:r w:rsidR="00933692">
        <w:t xml:space="preserve"> </w:t>
      </w:r>
      <w:r w:rsidR="00E1145D">
        <w:t>war in Europe</w:t>
      </w:r>
      <w:r w:rsidR="00F441EA">
        <w:t xml:space="preserve">. </w:t>
      </w:r>
      <w:r w:rsidR="009A5780">
        <w:t xml:space="preserve">But it did, and the Luisiana War was a strong justification for a national bank in the years and decades that followed. </w:t>
      </w:r>
    </w:p>
    <w:p w14:paraId="145658D6" w14:textId="77777777" w:rsidR="00011814" w:rsidRDefault="000C664C" w:rsidP="00BD08C5">
      <w:r>
        <w:t>To raise money for the war effort, the government additionally issued a series of securities for this purpose</w:t>
      </w:r>
      <w:r w:rsidR="006459AE">
        <w:t>;</w:t>
      </w:r>
      <w:r>
        <w:t xml:space="preserve"> </w:t>
      </w:r>
      <w:r w:rsidR="001873B0">
        <w:t>it</w:t>
      </w:r>
      <w:r w:rsidR="006459AE">
        <w:t xml:space="preserve"> did not consider printing its way through the war even for a second, as the experience of the Continental dollar inflating into worthlessness during the Revolution was still in living memory</w:t>
      </w:r>
      <w:r w:rsidR="00231EEC">
        <w:t>, and it was frankly traumatic</w:t>
      </w:r>
      <w:r>
        <w:t>. Th</w:t>
      </w:r>
      <w:r w:rsidR="001E5B70">
        <w:t>ese</w:t>
      </w:r>
      <w:r>
        <w:t xml:space="preserve"> came in the form of Treasury Note</w:t>
      </w:r>
      <w:r w:rsidR="00482793">
        <w:t xml:space="preserve">s sold by the </w:t>
      </w:r>
      <w:r w:rsidR="00482793">
        <w:lastRenderedPageBreak/>
        <w:t>government</w:t>
      </w:r>
      <w:r>
        <w:t xml:space="preserve"> – better understood as a bond than a note, </w:t>
      </w:r>
      <w:r w:rsidR="00482793">
        <w:t>as</w:t>
      </w:r>
      <w:r>
        <w:t xml:space="preserve"> </w:t>
      </w:r>
      <w:r w:rsidR="00482793">
        <w:t>their</w:t>
      </w:r>
      <w:r>
        <w:t xml:space="preserve"> high denomination</w:t>
      </w:r>
      <w:r w:rsidR="00482793">
        <w:t>s</w:t>
      </w:r>
      <w:r>
        <w:t xml:space="preserve"> </w:t>
      </w:r>
      <w:r w:rsidR="005D022D">
        <w:t>– the lowest-value Treasury Notes came at</w:t>
      </w:r>
      <w:r>
        <w:t xml:space="preserve"> $100</w:t>
      </w:r>
      <w:r w:rsidR="005D022D">
        <w:t xml:space="preserve"> –</w:t>
      </w:r>
      <w:r w:rsidR="00482793">
        <w:t xml:space="preserve"> prevented circulation and they came with the interest rate of 5.4%, which would mature in one year</w:t>
      </w:r>
      <w:r w:rsidR="009C6244">
        <w:t>.</w:t>
      </w:r>
      <w:r w:rsidR="00024CD8">
        <w:t xml:space="preserve"> </w:t>
      </w:r>
      <w:r w:rsidR="009C6244">
        <w:t>I</w:t>
      </w:r>
      <w:r w:rsidR="00024CD8">
        <w:t>n other words, they were a commodity</w:t>
      </w:r>
      <w:r w:rsidR="00943AB4">
        <w:t>,</w:t>
      </w:r>
      <w:r w:rsidR="00024CD8">
        <w:t xml:space="preserve"> and an investment</w:t>
      </w:r>
      <w:r w:rsidR="008B4E8F">
        <w:t xml:space="preserve">. </w:t>
      </w:r>
      <w:r w:rsidR="002311C8">
        <w:t xml:space="preserve">They </w:t>
      </w:r>
      <w:r w:rsidR="00EC5D95">
        <w:t>had</w:t>
      </w:r>
      <w:r w:rsidR="008B4E8F">
        <w:t xml:space="preserve"> already been </w:t>
      </w:r>
      <w:r w:rsidR="005C6CAA">
        <w:t>issued in large numbers</w:t>
      </w:r>
      <w:r w:rsidR="008B4E8F">
        <w:t xml:space="preserve"> by the government to alleviate the Panic of 1819, </w:t>
      </w:r>
      <w:r w:rsidR="00651B1C">
        <w:t xml:space="preserve">but </w:t>
      </w:r>
      <w:r w:rsidR="008B4E8F">
        <w:t>the</w:t>
      </w:r>
      <w:r w:rsidR="00382B55">
        <w:t xml:space="preserve"> issuing of Treasury Notes</w:t>
      </w:r>
      <w:r w:rsidR="005C6CAA">
        <w:t xml:space="preserve"> only</w:t>
      </w:r>
      <w:r w:rsidR="008B4E8F">
        <w:t xml:space="preserve"> intensified during the war, and</w:t>
      </w:r>
      <w:r w:rsidR="00482793">
        <w:t xml:space="preserve"> </w:t>
      </w:r>
      <w:r w:rsidR="00553A9B">
        <w:t>they</w:t>
      </w:r>
      <w:r w:rsidR="003702C9">
        <w:t xml:space="preserve"> would be repeatedly sold by the government until </w:t>
      </w:r>
      <w:r w:rsidR="00AC58C2">
        <w:t>its end</w:t>
      </w:r>
      <w:r w:rsidR="003702C9">
        <w:t xml:space="preserve"> – and the</w:t>
      </w:r>
      <w:r w:rsidR="007B0D3E">
        <w:t xml:space="preserve"> money they raised would be crucial to the war</w:t>
      </w:r>
      <w:r w:rsidR="00AC58C2">
        <w:t xml:space="preserve"> effort</w:t>
      </w:r>
      <w:r w:rsidR="007B0D3E">
        <w:t>. Most of these bonds ended up purchased by state banks, and this served</w:t>
      </w:r>
      <w:r w:rsidR="0057788A">
        <w:t xml:space="preserve"> to establish strong links between </w:t>
      </w:r>
      <w:r w:rsidR="00E655A9">
        <w:t>the government and the</w:t>
      </w:r>
      <w:r w:rsidR="00890374">
        <w:t xml:space="preserve"> state</w:t>
      </w:r>
      <w:r w:rsidR="00E655A9">
        <w:t xml:space="preserve"> bank system</w:t>
      </w:r>
      <w:r w:rsidR="00890374">
        <w:t>s</w:t>
      </w:r>
      <w:r w:rsidR="0033391B">
        <w:t>; most of these banks were Northern and controlled by Democrats, which both demonstrated a partisan rift and that the North had a much more mature financial system than the South</w:t>
      </w:r>
      <w:r w:rsidR="00E655A9">
        <w:t xml:space="preserve">. </w:t>
      </w:r>
    </w:p>
    <w:p w14:paraId="6F06E280" w14:textId="5A394537" w:rsidR="000C664C" w:rsidRDefault="002A40F1" w:rsidP="00BD08C5">
      <w:r>
        <w:t xml:space="preserve">However, as the war continued, the government was forced to increase </w:t>
      </w:r>
      <w:r w:rsidR="00011814">
        <w:t>Treasury</w:t>
      </w:r>
      <w:r w:rsidR="00E97C75">
        <w:t xml:space="preserve"> </w:t>
      </w:r>
      <w:r w:rsidR="00810FD8">
        <w:t>Notes’</w:t>
      </w:r>
      <w:r>
        <w:t xml:space="preserve"> interest rates</w:t>
      </w:r>
      <w:r w:rsidR="00A23BE5">
        <w:t xml:space="preserve"> in order to make up for the loss in national confidence</w:t>
      </w:r>
      <w:r w:rsidR="00665190">
        <w:t xml:space="preserve"> as victory seemed far out of reach</w:t>
      </w:r>
      <w:r>
        <w:t>, and when it came due to pay for a particular</w:t>
      </w:r>
      <w:r w:rsidR="008A45E7">
        <w:t xml:space="preserve"> set, the government paid for it </w:t>
      </w:r>
      <w:r w:rsidR="00A23BE5">
        <w:t xml:space="preserve">by simply printing </w:t>
      </w:r>
      <w:r w:rsidR="001C0EF4">
        <w:t>new ones</w:t>
      </w:r>
      <w:r w:rsidR="00CB44D2">
        <w:t xml:space="preserve"> </w:t>
      </w:r>
      <w:r w:rsidR="00AF215C">
        <w:t>and paying the money it got for them</w:t>
      </w:r>
      <w:r w:rsidR="00A46485">
        <w:t xml:space="preserve">, although </w:t>
      </w:r>
      <w:r w:rsidR="00E731EB">
        <w:t>it made sure they would</w:t>
      </w:r>
      <w:r w:rsidR="00A46485">
        <w:t xml:space="preserve"> t</w:t>
      </w:r>
      <w:r w:rsidR="00E731EB">
        <w:t>ake</w:t>
      </w:r>
      <w:r w:rsidR="00A46485">
        <w:t xml:space="preserve"> longer to mature</w:t>
      </w:r>
      <w:r w:rsidR="00DC4B56">
        <w:t>; this merely foreshadowed the immense difficulties</w:t>
      </w:r>
      <w:r w:rsidR="00E35FF0">
        <w:t xml:space="preserve"> that would be found in financing the Liberty and Union War</w:t>
      </w:r>
      <w:r w:rsidR="003B2984">
        <w:t xml:space="preserve">. Public confidence was decreasing, and a great number of Treasury Notes </w:t>
      </w:r>
      <w:r w:rsidR="00A56633">
        <w:t>ended up</w:t>
      </w:r>
      <w:r w:rsidR="003B2984">
        <w:t xml:space="preserve"> sold well below their</w:t>
      </w:r>
      <w:r w:rsidR="001B14BD">
        <w:t xml:space="preserve"> written values</w:t>
      </w:r>
      <w:r w:rsidR="00162489">
        <w:t xml:space="preserve">; by the time the war </w:t>
      </w:r>
      <w:proofErr w:type="gramStart"/>
      <w:r w:rsidR="00162489">
        <w:t>ended</w:t>
      </w:r>
      <w:proofErr w:type="gramEnd"/>
      <w:r w:rsidR="00162489">
        <w:t xml:space="preserve"> and they did come due, many observers noticed the profits ended up pocketed by the</w:t>
      </w:r>
      <w:r w:rsidR="0016697B">
        <w:t xml:space="preserve"> rich</w:t>
      </w:r>
      <w:r w:rsidR="008A45E7">
        <w:t xml:space="preserve">. </w:t>
      </w:r>
      <w:r w:rsidR="00570315">
        <w:t xml:space="preserve">Additionally, the government </w:t>
      </w:r>
      <w:r w:rsidR="003739F8">
        <w:t>was forced to</w:t>
      </w:r>
      <w:r w:rsidR="00570315">
        <w:t xml:space="preserve"> negotiate several loans with </w:t>
      </w:r>
      <w:r w:rsidR="00AA7101">
        <w:t>state</w:t>
      </w:r>
      <w:r w:rsidR="00570315">
        <w:t xml:space="preserve"> banks</w:t>
      </w:r>
      <w:r w:rsidR="003739F8">
        <w:t>, and the war prevented</w:t>
      </w:r>
      <w:r w:rsidR="00767100">
        <w:t xml:space="preserve"> the government from retiring state banknotes entirely</w:t>
      </w:r>
      <w:r w:rsidR="00AA7101">
        <w:t xml:space="preserve">. </w:t>
      </w:r>
      <w:r w:rsidR="00CE56A4">
        <w:t xml:space="preserve">It must come to little surprise that, postwar, the American government embarked on several reforms to create a leaner and more centralized financial system. </w:t>
      </w:r>
    </w:p>
    <w:p w14:paraId="16477F18" w14:textId="1D1B070E" w:rsidR="007A705E" w:rsidRDefault="007A705E" w:rsidP="00BD08C5">
      <w:r>
        <w:lastRenderedPageBreak/>
        <w:t>Also damaging to the American war effort was the Spanish blockade</w:t>
      </w:r>
      <w:r w:rsidR="00522527">
        <w:t>, which though not a fully tightened stopper on trade</w:t>
      </w:r>
      <w:r w:rsidR="005624AA">
        <w:t>,</w:t>
      </w:r>
      <w:r w:rsidR="00522527">
        <w:t xml:space="preserve"> was decisive</w:t>
      </w:r>
      <w:r>
        <w:t xml:space="preserve">. This resulted in </w:t>
      </w:r>
      <w:r w:rsidR="002E4CD9">
        <w:t>a stark dip in</w:t>
      </w:r>
      <w:r w:rsidR="00FA5EFE">
        <w:t xml:space="preserve"> international</w:t>
      </w:r>
      <w:r w:rsidR="002E4CD9">
        <w:t xml:space="preserve"> trade, which </w:t>
      </w:r>
      <w:r w:rsidR="00367BE5">
        <w:t>greatly diminished the amount of money raised through tariffs</w:t>
      </w:r>
      <w:r w:rsidR="00627388">
        <w:t xml:space="preserve">. The war saw the introduction of several </w:t>
      </w:r>
      <w:r w:rsidR="00BE41C6">
        <w:t>customs duties</w:t>
      </w:r>
      <w:r w:rsidR="00627388">
        <w:t xml:space="preserve">, such as </w:t>
      </w:r>
      <w:r w:rsidR="00BE41C6">
        <w:t>on salt</w:t>
      </w:r>
      <w:r w:rsidR="00627388">
        <w:t xml:space="preserve"> </w:t>
      </w:r>
      <w:r w:rsidR="00BE41C6">
        <w:t>and paper, to make up this windfall</w:t>
      </w:r>
      <w:r w:rsidR="003C3578">
        <w:t>, and the surge of patriotism the war made</w:t>
      </w:r>
      <w:r w:rsidR="007D5524">
        <w:t>,</w:t>
      </w:r>
      <w:r w:rsidR="003C3578">
        <w:t xml:space="preserve"> also decreased</w:t>
      </w:r>
      <w:r w:rsidR="007D5524">
        <w:t xml:space="preserve"> smuggling around the tariff </w:t>
      </w:r>
      <w:r w:rsidR="00F921E3">
        <w:t>wall</w:t>
      </w:r>
      <w:r w:rsidR="00367BE5">
        <w:t xml:space="preserve">. The trade from British North America was, in contrast, only met with the barest of </w:t>
      </w:r>
      <w:r w:rsidR="0041114E">
        <w:t xml:space="preserve">the tariff wall, as the border between it and the US did not, </w:t>
      </w:r>
      <w:r w:rsidR="00BD664F">
        <w:t>in any meaningful way</w:t>
      </w:r>
      <w:r w:rsidR="0041114E">
        <w:t>, exist; attempts by the government to establish tariffs over the border were only partially and weakly</w:t>
      </w:r>
      <w:r w:rsidR="00B46040">
        <w:t xml:space="preserve"> held</w:t>
      </w:r>
      <w:r w:rsidR="00847BA3">
        <w:t>. And when it did try to establish</w:t>
      </w:r>
      <w:r w:rsidR="00B8185F">
        <w:t xml:space="preserve"> a tariff wall over the Great Lakes, it ended up </w:t>
      </w:r>
      <w:r w:rsidR="00050B96">
        <w:t>heavily unpopular and indeed threatened to crater the entire economy of the region</w:t>
      </w:r>
      <w:r w:rsidR="00B46040">
        <w:t xml:space="preserve">. This </w:t>
      </w:r>
      <w:r w:rsidR="0066509C">
        <w:t>instead forced</w:t>
      </w:r>
      <w:r w:rsidR="00B46040">
        <w:t xml:space="preserve"> the </w:t>
      </w:r>
      <w:r w:rsidR="0066509C">
        <w:t>government</w:t>
      </w:r>
      <w:r w:rsidR="001D526E">
        <w:t>, and its vigorous Secretary of the Treasury Richard Rush,</w:t>
      </w:r>
      <w:r w:rsidR="0066509C">
        <w:t xml:space="preserve"> to</w:t>
      </w:r>
      <w:r w:rsidR="00B46040">
        <w:t xml:space="preserve"> enact</w:t>
      </w:r>
      <w:r w:rsidR="0066509C">
        <w:t xml:space="preserve"> several internal taxes</w:t>
      </w:r>
      <w:r w:rsidR="00986206">
        <w:t>; this was</w:t>
      </w:r>
      <w:r w:rsidR="0066509C">
        <w:t xml:space="preserve"> despite them being mythologized, already, as a Federalist stain on national liberty. </w:t>
      </w:r>
      <w:r w:rsidR="00B576BC">
        <w:t>Taxes would be placed on</w:t>
      </w:r>
      <w:r w:rsidR="001309EE">
        <w:t xml:space="preserve">, first, property, which </w:t>
      </w:r>
      <w:r w:rsidR="00004656">
        <w:t xml:space="preserve">was a mere extension of </w:t>
      </w:r>
      <w:r w:rsidR="00627388">
        <w:t>existing state taxes</w:t>
      </w:r>
      <w:r w:rsidR="003B172B">
        <w:t xml:space="preserve"> –</w:t>
      </w:r>
      <w:r w:rsidR="00C832D9">
        <w:t xml:space="preserve"> but </w:t>
      </w:r>
      <w:r w:rsidR="0015191C">
        <w:t>passing Congress with much raucous debate</w:t>
      </w:r>
      <w:r w:rsidR="00D83ED5">
        <w:t>, and</w:t>
      </w:r>
      <w:r w:rsidR="003B172B">
        <w:t xml:space="preserve"> facing</w:t>
      </w:r>
      <w:r w:rsidR="00D83ED5">
        <w:t xml:space="preserve"> the staunch opposition of the Republican Party,</w:t>
      </w:r>
      <w:r w:rsidR="00C832D9">
        <w:t xml:space="preserve"> were taxes on liquor, sugar, retail licenses, and auctions</w:t>
      </w:r>
      <w:r w:rsidR="00661DB1">
        <w:rPr>
          <w:rStyle w:val="EndnoteReference"/>
        </w:rPr>
        <w:endnoteReference w:id="57"/>
      </w:r>
      <w:r w:rsidR="00C832D9">
        <w:t>.</w:t>
      </w:r>
      <w:r w:rsidR="00834848">
        <w:t xml:space="preserve"> This resembled nothing less than the much-despised taxes </w:t>
      </w:r>
      <w:r w:rsidR="009F5B76">
        <w:t>imposed during the First Quasi War</w:t>
      </w:r>
      <w:r w:rsidR="00834848">
        <w:t>.</w:t>
      </w:r>
      <w:r w:rsidR="00C832D9">
        <w:t xml:space="preserve"> </w:t>
      </w:r>
      <w:r w:rsidR="009F5B76">
        <w:t>As a result</w:t>
      </w:r>
      <w:r w:rsidR="00914BD5">
        <w:t xml:space="preserve">, following passage, these taxes </w:t>
      </w:r>
      <w:r w:rsidR="009751DA">
        <w:t>faced immense unpopularity,</w:t>
      </w:r>
      <w:r w:rsidR="00914BD5">
        <w:t xml:space="preserve"> and </w:t>
      </w:r>
      <w:r w:rsidR="009751DA">
        <w:t xml:space="preserve">they were </w:t>
      </w:r>
      <w:r w:rsidR="00914BD5">
        <w:t>met with resistance and smuggling</w:t>
      </w:r>
      <w:r w:rsidR="009E5EDE">
        <w:t xml:space="preserve">, although none of this provoked </w:t>
      </w:r>
      <w:r w:rsidR="00B037DE">
        <w:t>anything near</w:t>
      </w:r>
      <w:r w:rsidR="009E5EDE">
        <w:t xml:space="preserve"> </w:t>
      </w:r>
      <w:r w:rsidR="00B037DE">
        <w:t>the scope of</w:t>
      </w:r>
      <w:r w:rsidR="009E5EDE">
        <w:t xml:space="preserve"> the Whiskey Rebellion</w:t>
      </w:r>
      <w:r w:rsidR="00B037DE">
        <w:t xml:space="preserve"> of Republican myth</w:t>
      </w:r>
      <w:r w:rsidR="00431336">
        <w:t>; it would only be the</w:t>
      </w:r>
      <w:r w:rsidR="003F2E24">
        <w:t xml:space="preserve"> Sack of Charleston which diminished th</w:t>
      </w:r>
      <w:r w:rsidR="00DB373A">
        <w:t>is</w:t>
      </w:r>
      <w:r w:rsidR="0099364A">
        <w:t xml:space="preserve"> resistance</w:t>
      </w:r>
      <w:r w:rsidR="00DB373A">
        <w:t xml:space="preserve">, as suddenly tax evasion seemed to be nothing less than treason. </w:t>
      </w:r>
      <w:r w:rsidR="00B800E3">
        <w:t>Taking full advantage of this opportunity,</w:t>
      </w:r>
      <w:r w:rsidR="00BE1228">
        <w:t xml:space="preserve"> </w:t>
      </w:r>
      <w:r w:rsidR="00B800E3">
        <w:t xml:space="preserve">the government </w:t>
      </w:r>
      <w:r w:rsidR="00BE1228">
        <w:t xml:space="preserve">spread </w:t>
      </w:r>
      <w:r w:rsidR="00B800E3">
        <w:t xml:space="preserve">this view </w:t>
      </w:r>
      <w:r w:rsidR="00BE1228">
        <w:t>through</w:t>
      </w:r>
      <w:r w:rsidR="009071DD">
        <w:t xml:space="preserve"> the semaphoric telegraph, along with</w:t>
      </w:r>
      <w:r w:rsidR="009D17C1">
        <w:t xml:space="preserve"> the </w:t>
      </w:r>
      <w:r w:rsidR="009D17C1" w:rsidRPr="009D17C1">
        <w:rPr>
          <w:i/>
          <w:iCs/>
        </w:rPr>
        <w:t>Federal Bulletin</w:t>
      </w:r>
      <w:r w:rsidR="009D17C1">
        <w:t xml:space="preserve">; </w:t>
      </w:r>
      <w:r w:rsidR="000A4DDF">
        <w:t>federal revenues spiked</w:t>
      </w:r>
      <w:r w:rsidR="00E758E7">
        <w:t xml:space="preserve"> in the last two years of the war. </w:t>
      </w:r>
    </w:p>
    <w:p w14:paraId="4ADEFD6E" w14:textId="20B94E13" w:rsidR="00CB44D2" w:rsidRDefault="00CB44D2" w:rsidP="00BD08C5">
      <w:r>
        <w:t>However, this difficulty in funding the war did not mean th</w:t>
      </w:r>
      <w:r w:rsidR="00E042CA">
        <w:t>at it ended up</w:t>
      </w:r>
      <w:r w:rsidR="009F5275">
        <w:t xml:space="preserve"> entirely deleterious to the economy; industrial development boomed, both because the state needed to fill orders, and because of the cessation of trade</w:t>
      </w:r>
      <w:r w:rsidR="0025536F">
        <w:t xml:space="preserve"> provoked by the Spanish blockade</w:t>
      </w:r>
      <w:r w:rsidR="009F5275">
        <w:t xml:space="preserve">. </w:t>
      </w:r>
      <w:r w:rsidR="005A7301">
        <w:t>I</w:t>
      </w:r>
      <w:r w:rsidR="009F5275">
        <w:t>n New England</w:t>
      </w:r>
      <w:r w:rsidR="005A7301">
        <w:t xml:space="preserve">, where </w:t>
      </w:r>
      <w:r w:rsidR="005A7301">
        <w:lastRenderedPageBreak/>
        <w:t>industry was already rising, it boomed</w:t>
      </w:r>
      <w:r w:rsidR="009F5275">
        <w:t xml:space="preserve">, as factories and industrialists flocked to fill orders for uniforms, guns, boats, and many other </w:t>
      </w:r>
      <w:r w:rsidR="00211FC4">
        <w:t>items</w:t>
      </w:r>
      <w:r w:rsidR="009F5275">
        <w:t xml:space="preserve">, but it wasn’t relegated to there; Pennsylvania, Virginia, and Ohio became centers of industry in this era, and </w:t>
      </w:r>
      <w:r w:rsidR="002E58E1">
        <w:t xml:space="preserve">even in the </w:t>
      </w:r>
      <w:r w:rsidR="003F0F9E">
        <w:t>D</w:t>
      </w:r>
      <w:r w:rsidR="002E58E1">
        <w:t xml:space="preserve">eep </w:t>
      </w:r>
      <w:r w:rsidR="003F0F9E">
        <w:t>S</w:t>
      </w:r>
      <w:r w:rsidR="002E58E1">
        <w:t>outh manufacturing</w:t>
      </w:r>
      <w:r w:rsidR="003F0F9E">
        <w:t xml:space="preserve"> emerged to make up the windfall of blocked goods</w:t>
      </w:r>
      <w:r w:rsidR="00306C4D">
        <w:t xml:space="preserve">. </w:t>
      </w:r>
      <w:r w:rsidR="00BC1E43">
        <w:t>Notably,</w:t>
      </w:r>
      <w:r w:rsidR="00306C4D">
        <w:t xml:space="preserve"> the timber industry surged and expanded its scope well into the western frontier</w:t>
      </w:r>
      <w:r w:rsidR="00F01285">
        <w:t xml:space="preserve">, to build the ships necessary for both defence and </w:t>
      </w:r>
      <w:r w:rsidR="00B262BD">
        <w:t>smuggling past the blockade</w:t>
      </w:r>
      <w:r w:rsidR="003F0F9E">
        <w:t>.</w:t>
      </w:r>
      <w:r w:rsidR="00BA562C">
        <w:t xml:space="preserve"> Such industries would have been smothered </w:t>
      </w:r>
      <w:r w:rsidR="00FA4D0F">
        <w:t>under a regime of free trade</w:t>
      </w:r>
      <w:r w:rsidR="000A77AA">
        <w:t xml:space="preserve"> – and indeed, they were </w:t>
      </w:r>
      <w:r w:rsidR="00156436">
        <w:t>greatly damaged</w:t>
      </w:r>
      <w:r w:rsidR="000A77AA">
        <w:t xml:space="preserve"> upon the end of the war – but instead</w:t>
      </w:r>
      <w:r w:rsidR="002E770E">
        <w:t xml:space="preserve"> they prospered across the nation</w:t>
      </w:r>
      <w:r w:rsidR="00FB28D1">
        <w:t>, and this allowed them to become an economic constituency</w:t>
      </w:r>
      <w:r w:rsidR="00425839">
        <w:t>. Additionally, the war made it patriotic to</w:t>
      </w:r>
      <w:r w:rsidR="008E6A03">
        <w:t xml:space="preserve"> produce and buy home goods, and the effects of this persisted</w:t>
      </w:r>
      <w:r w:rsidR="002E770E">
        <w:t>.</w:t>
      </w:r>
      <w:r w:rsidR="003F0F9E">
        <w:t xml:space="preserve"> </w:t>
      </w:r>
      <w:r w:rsidR="00E63F94">
        <w:t xml:space="preserve">It must come to little surprise that, postwar, the import substitution that the United States had engaged in </w:t>
      </w:r>
      <w:r w:rsidR="00FE363B">
        <w:t xml:space="preserve">almost </w:t>
      </w:r>
      <w:r w:rsidR="00E63F94">
        <w:t>by accident became</w:t>
      </w:r>
      <w:r w:rsidR="00FE363B">
        <w:t xml:space="preserve"> an intentional policy</w:t>
      </w:r>
      <w:r w:rsidR="00BE7AF4">
        <w:t xml:space="preserve"> of industrial development</w:t>
      </w:r>
      <w:r w:rsidR="00FE363B">
        <w:t xml:space="preserve">, and an integral part of the </w:t>
      </w:r>
      <w:r w:rsidR="00DC05B1">
        <w:t>economic policy that the United States would, with some small interludes, maintain until the Great Depression</w:t>
      </w:r>
      <w:r w:rsidR="00C119FF">
        <w:rPr>
          <w:rStyle w:val="EndnoteReference"/>
        </w:rPr>
        <w:endnoteReference w:id="58"/>
      </w:r>
      <w:r w:rsidR="00DC05B1">
        <w:t xml:space="preserve">. </w:t>
      </w:r>
      <w:r w:rsidR="00487E67">
        <w:t>Additionally, this industrial development provided the government with a new source of revenue and new commerce to</w:t>
      </w:r>
      <w:r w:rsidR="00372765">
        <w:t xml:space="preserve"> tax</w:t>
      </w:r>
      <w:r w:rsidR="00487E67">
        <w:t>, and this</w:t>
      </w:r>
      <w:r w:rsidR="00372765">
        <w:t xml:space="preserve"> windfall improved management of the war effort. </w:t>
      </w:r>
    </w:p>
    <w:p w14:paraId="06E41F32" w14:textId="183B4387" w:rsidR="0099364A" w:rsidRDefault="00A23810" w:rsidP="0099364A">
      <w:r>
        <w:t>In short, the Luisiana War being an unprecedented situation in history since the Revolution</w:t>
      </w:r>
      <w:r w:rsidR="00B44D98">
        <w:t>, a lack of state capacity</w:t>
      </w:r>
      <w:r>
        <w:t>, and national institutions lacking</w:t>
      </w:r>
      <w:r w:rsidR="007A583E">
        <w:t xml:space="preserve"> maturity, meant it was a sloppy affair at best. </w:t>
      </w:r>
      <w:r w:rsidR="00493711">
        <w:t xml:space="preserve">The naval blockade by Spain greatly reduced national revenue; additionally, the Second Bank being a new institution and </w:t>
      </w:r>
      <w:r w:rsidR="00F75391">
        <w:t xml:space="preserve">European banks being busy funding wars in Europe inhibited their capabilities to lend credit to the United States, when it </w:t>
      </w:r>
      <w:r w:rsidR="00575A6A">
        <w:t>would certainly</w:t>
      </w:r>
      <w:r w:rsidR="00F75391">
        <w:t xml:space="preserve"> need it. </w:t>
      </w:r>
      <w:r w:rsidR="00575A6A">
        <w:t>However, despite these failures the government was able to make a windfall in new taxes and by selling bonds, and this combined with the rise of industry meant that</w:t>
      </w:r>
      <w:r w:rsidR="00B44D98">
        <w:t xml:space="preserve"> despite it the government was increasingly </w:t>
      </w:r>
      <w:r w:rsidR="00C143A7">
        <w:t>effective</w:t>
      </w:r>
      <w:r w:rsidR="00B44D98">
        <w:t xml:space="preserve"> </w:t>
      </w:r>
      <w:r w:rsidR="00C143A7">
        <w:t>at</w:t>
      </w:r>
      <w:r w:rsidR="00B44D98">
        <w:t xml:space="preserve"> go</w:t>
      </w:r>
      <w:r w:rsidR="00C143A7">
        <w:t>ing</w:t>
      </w:r>
      <w:r w:rsidR="00B44D98">
        <w:t xml:space="preserve"> to war</w:t>
      </w:r>
      <w:r w:rsidR="00C143A7">
        <w:t xml:space="preserve">. </w:t>
      </w:r>
      <w:r w:rsidR="00BD28BA">
        <w:t xml:space="preserve">The deficiencies the war exposed, however grave and almost comical they </w:t>
      </w:r>
      <w:r w:rsidR="00BD28BA">
        <w:lastRenderedPageBreak/>
        <w:t>may have been, were by no means fatal</w:t>
      </w:r>
      <w:r w:rsidR="001C443D">
        <w:t xml:space="preserve">; they did, however, lay a path for postwar reform for the American commercial system. </w:t>
      </w:r>
    </w:p>
    <w:p w14:paraId="5BCC1087" w14:textId="77777777" w:rsidR="00B576BC" w:rsidRDefault="00B576BC" w:rsidP="00B576BC">
      <w:r>
        <w:br w:type="page"/>
      </w:r>
    </w:p>
    <w:p w14:paraId="068C9F68" w14:textId="77777777" w:rsidR="00B576BC" w:rsidRPr="00BD08C5" w:rsidRDefault="00B576BC" w:rsidP="00BD08C5"/>
    <w:p w14:paraId="1DD06C3C" w14:textId="77777777" w:rsidR="00BD08C5" w:rsidRDefault="00BD08C5" w:rsidP="00BD08C5">
      <w:pPr>
        <w:sectPr w:rsidR="00BD08C5" w:rsidSect="00BD08C5">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FD4FF1B" w14:textId="77777777" w:rsidR="00BD08C5" w:rsidRDefault="00BD08C5" w:rsidP="00BD08C5">
      <w:r>
        <w:br w:type="page"/>
      </w:r>
    </w:p>
    <w:p w14:paraId="63EDA27C" w14:textId="630EA1C6" w:rsidR="00DB0B9C" w:rsidRDefault="00DB0B9C" w:rsidP="00DB0B9C">
      <w:pPr>
        <w:pStyle w:val="Heading1"/>
      </w:pPr>
      <w:bookmarkStart w:id="18" w:name="_Toc202006212"/>
      <w:r>
        <w:lastRenderedPageBreak/>
        <w:t>13. The Thunder of War</w:t>
      </w:r>
      <w:bookmarkEnd w:id="18"/>
    </w:p>
    <w:p w14:paraId="3A11D398" w14:textId="507A45C5" w:rsidR="00DB0B9C" w:rsidRDefault="00BC28AE" w:rsidP="00DB0B9C">
      <w:r>
        <w:t xml:space="preserve">The failure to scare the US into peace over Charleston did not drive the Spanish to consider an alternate strategy, </w:t>
      </w:r>
      <w:r w:rsidR="00701855">
        <w:t>much less to the negotiation table.</w:t>
      </w:r>
      <w:r>
        <w:t xml:space="preserve"> </w:t>
      </w:r>
      <w:r w:rsidR="00701855">
        <w:t xml:space="preserve">Given Spanish naval superiority, this led to </w:t>
      </w:r>
      <w:r w:rsidR="00A366C3">
        <w:t>it</w:t>
      </w:r>
      <w:r w:rsidR="00701855">
        <w:t xml:space="preserve"> planning several other naval strikes</w:t>
      </w:r>
      <w:r w:rsidR="00A366C3">
        <w:t xml:space="preserve"> towards the seaboard. One strike, headed towards </w:t>
      </w:r>
      <w:r w:rsidR="000552FE">
        <w:t xml:space="preserve">Washington, ended up defeated by American ships at Chesapeake Bay; no doubt, this saved the nation from the rank humiliation of the capital destroyed. But it would be a </w:t>
      </w:r>
      <w:proofErr w:type="gramStart"/>
      <w:r w:rsidR="000552FE">
        <w:t>strike northwards</w:t>
      </w:r>
      <w:proofErr w:type="gramEnd"/>
      <w:r w:rsidR="000552FE">
        <w:t xml:space="preserve"> that would attract national attention. </w:t>
      </w:r>
      <w:r w:rsidR="0028043B">
        <w:t xml:space="preserve">For here, a Spanish fleet headed towards New York; prevailing in battles off the coast of Long Island, it seemed ready to lay torch to the entire city. However, a fleet led by Commodore Stephen Decatur, coming out of New York’s harbor, </w:t>
      </w:r>
      <w:r w:rsidR="00CE0098">
        <w:t xml:space="preserve">launched itself straight at </w:t>
      </w:r>
      <w:r w:rsidR="0028043B">
        <w:t xml:space="preserve">the Spanish fleet </w:t>
      </w:r>
      <w:r w:rsidR="00CE0098">
        <w:t>and engaged it in battle;</w:t>
      </w:r>
      <w:r w:rsidR="00DF246B">
        <w:t xml:space="preserve"> though it was quite a lot smaller than the Spanish fleet, it was joined by several merchant navy vessels which made it seem bigger than it </w:t>
      </w:r>
      <w:proofErr w:type="gramStart"/>
      <w:r w:rsidR="00DF246B">
        <w:t>actually was</w:t>
      </w:r>
      <w:proofErr w:type="gramEnd"/>
      <w:r w:rsidR="00DF246B">
        <w:t>.</w:t>
      </w:r>
      <w:r w:rsidR="0028043B">
        <w:t xml:space="preserve"> </w:t>
      </w:r>
      <w:r w:rsidR="00DF246B">
        <w:t>This forced the Spanish fleet</w:t>
      </w:r>
      <w:r w:rsidR="00315826">
        <w:t xml:space="preserve"> to Sandy Hook, a barrier spit marked by shallow water, and this in turn beached several Spanish ships, and here Decatur</w:t>
      </w:r>
      <w:r w:rsidR="00DF246B">
        <w:t xml:space="preserve"> launched a counteroffensive which ended up destroying the stationary Spanish fleet. The Battle of Sandy Hook became, almost immediately, the greatest victory of the Luisiana War, and Decatur, already an American national hero thanks to</w:t>
      </w:r>
      <w:r w:rsidR="005D041D">
        <w:t xml:space="preserve"> his daring conduct during</w:t>
      </w:r>
      <w:r w:rsidR="00DF246B">
        <w:t xml:space="preserve"> </w:t>
      </w:r>
      <w:r w:rsidR="005D041D">
        <w:t xml:space="preserve">the Barbary Wars, became a national icon. </w:t>
      </w:r>
      <w:r w:rsidR="00F414DA">
        <w:t xml:space="preserve">Additionally, this battle occurred in late </w:t>
      </w:r>
      <w:proofErr w:type="gramStart"/>
      <w:r w:rsidR="00F414DA">
        <w:t>November,</w:t>
      </w:r>
      <w:proofErr w:type="gramEnd"/>
      <w:r w:rsidR="00F414DA">
        <w:t xml:space="preserve"> 1826; November 25 was (and is) Evacuation Day, celebrating the departure of British Guelph forces from New York in the American Revolution. This auspicious coincidence only increased </w:t>
      </w:r>
      <w:r w:rsidR="00546FEC">
        <w:t>the subsequent celebration</w:t>
      </w:r>
      <w:r w:rsidR="00F414DA">
        <w:t xml:space="preserve"> </w:t>
      </w:r>
      <w:r w:rsidR="00546FEC">
        <w:t xml:space="preserve">in New York City, as Decatur received acclamation after acclamation from New Yorker; and even beyond it, it became a symbol that the war was, indeed, on its way to victory. </w:t>
      </w:r>
    </w:p>
    <w:p w14:paraId="33021DA9" w14:textId="5D391205" w:rsidR="00546FEC" w:rsidRDefault="00546FEC" w:rsidP="00DB0B9C">
      <w:r>
        <w:t>This came with an increasingly vigorous offence southwards; American forces successfully took</w:t>
      </w:r>
      <w:r w:rsidR="00D92D1B">
        <w:t xml:space="preserve"> Natchez, after the Spanish supply of the city faltered, and similarly the siege of St. Augustine </w:t>
      </w:r>
      <w:r w:rsidR="00D92D1B">
        <w:lastRenderedPageBreak/>
        <w:t>ended in an American victory</w:t>
      </w:r>
      <w:r w:rsidR="009E0684">
        <w:t xml:space="preserve">, as the Spanish were forced to retreat from the </w:t>
      </w:r>
      <w:r w:rsidR="00993329">
        <w:t>town</w:t>
      </w:r>
      <w:r w:rsidR="00D92D1B">
        <w:t xml:space="preserve">. </w:t>
      </w:r>
      <w:r w:rsidR="00A9756A">
        <w:t>Seeking to maintain the advantage before the Spanish sent a second</w:t>
      </w:r>
      <w:r w:rsidR="00CE2393">
        <w:t xml:space="preserve"> fleet to the Gulf, American forces launched a strike </w:t>
      </w:r>
      <w:proofErr w:type="gramStart"/>
      <w:r w:rsidR="00CE2393">
        <w:t>southwards</w:t>
      </w:r>
      <w:proofErr w:type="gramEnd"/>
      <w:r w:rsidR="00CE2393">
        <w:t xml:space="preserve">. </w:t>
      </w:r>
      <w:r w:rsidR="00CC5BB3">
        <w:t>This strike is one of the most celebrated parts of the war; it</w:t>
      </w:r>
      <w:r w:rsidR="00967C9F">
        <w:t xml:space="preserve"> i</w:t>
      </w:r>
      <w:r w:rsidR="00CC5BB3">
        <w:t xml:space="preserve">s often mythologized as the work of </w:t>
      </w:r>
      <w:r w:rsidR="00D26303">
        <w:t xml:space="preserve">the citizen-militia, of common frontiersmen wearing buckskin robes and raccoon skin caps. </w:t>
      </w:r>
      <w:r w:rsidR="000C62BF">
        <w:t>T</w:t>
      </w:r>
      <w:r w:rsidR="00D26303">
        <w:t>his is the so-called “militia myth”</w:t>
      </w:r>
      <w:r w:rsidR="000C62BF">
        <w:t>, a myth which historians have punctured ever since the Luisiana War itself</w:t>
      </w:r>
      <w:r w:rsidR="00951027">
        <w:rPr>
          <w:rStyle w:val="EndnoteReference"/>
        </w:rPr>
        <w:endnoteReference w:id="59"/>
      </w:r>
      <w:r w:rsidR="00D26303">
        <w:t xml:space="preserve">. </w:t>
      </w:r>
      <w:proofErr w:type="gramStart"/>
      <w:r w:rsidR="00D26303">
        <w:t>In reality, by</w:t>
      </w:r>
      <w:proofErr w:type="gramEnd"/>
      <w:r w:rsidR="00D26303">
        <w:t xml:space="preserve"> late 1826 and early 1827, most of the US Army consisted of well-trained professional soldiers, wearing</w:t>
      </w:r>
      <w:r w:rsidR="00F12BDA">
        <w:t xml:space="preserve"> </w:t>
      </w:r>
      <w:proofErr w:type="gramStart"/>
      <w:r w:rsidR="00F12BDA">
        <w:t>centrally-</w:t>
      </w:r>
      <w:r w:rsidR="00DC1CD4">
        <w:t>manufactured</w:t>
      </w:r>
      <w:proofErr w:type="gramEnd"/>
      <w:r w:rsidR="00F12BDA">
        <w:t xml:space="preserve"> uniforms and </w:t>
      </w:r>
      <w:r w:rsidR="00DC0178">
        <w:t>drilled in arms manufactured from the factories of the east for the purposes of war</w:t>
      </w:r>
      <w:r w:rsidR="00566C22">
        <w:t xml:space="preserve">; </w:t>
      </w:r>
      <w:r w:rsidR="00C1224D">
        <w:t xml:space="preserve">to the extent militia efforts contributed to the war effort, they </w:t>
      </w:r>
      <w:r w:rsidR="00D6794E">
        <w:t>held American positions before troops could come storming in</w:t>
      </w:r>
      <w:r w:rsidR="00DC0178">
        <w:t xml:space="preserve">. </w:t>
      </w:r>
      <w:r w:rsidR="00647EF6">
        <w:t>The central column of this force headed towards</w:t>
      </w:r>
      <w:r w:rsidR="00933284">
        <w:t xml:space="preserve"> Lower Luisiana, and meeting at</w:t>
      </w:r>
      <w:r w:rsidR="00B2551A">
        <w:t xml:space="preserve"> the</w:t>
      </w:r>
      <w:r w:rsidR="00933284">
        <w:t xml:space="preserve"> American-occupied Fort San Esteban, it </w:t>
      </w:r>
      <w:r w:rsidR="00BF2219">
        <w:t>marched southwards</w:t>
      </w:r>
      <w:r w:rsidR="00B97151">
        <w:t>, though well to the west of the lower Mississippi where the Spanish had the</w:t>
      </w:r>
      <w:r w:rsidR="00261755">
        <w:t>ir naval</w:t>
      </w:r>
      <w:r w:rsidR="00B97151">
        <w:t xml:space="preserve"> advantage</w:t>
      </w:r>
      <w:r w:rsidR="00BF2219">
        <w:t xml:space="preserve">. </w:t>
      </w:r>
      <w:r w:rsidR="00C41411">
        <w:t xml:space="preserve">The Battle of Fort Miro demonstrated the vigor of the American war effort; soldiers successfully put the fort under siege, and </w:t>
      </w:r>
      <w:r w:rsidR="00917797">
        <w:t>this siege ended up a short affair</w:t>
      </w:r>
      <w:r w:rsidR="00133BF8">
        <w:t xml:space="preserve"> as it broke</w:t>
      </w:r>
      <w:r w:rsidR="00036F53">
        <w:t xml:space="preserve"> after only a few days</w:t>
      </w:r>
      <w:r w:rsidR="00AE5290">
        <w:t>,</w:t>
      </w:r>
      <w:r w:rsidR="00133BF8">
        <w:t xml:space="preserve"> and </w:t>
      </w:r>
      <w:r w:rsidR="00DD1D77">
        <w:t xml:space="preserve">they successfully </w:t>
      </w:r>
      <w:r w:rsidR="00133BF8">
        <w:t xml:space="preserve">captured it. </w:t>
      </w:r>
      <w:r w:rsidR="00AE5290">
        <w:t>However, when forces marched southwards to Natchitoches,</w:t>
      </w:r>
      <w:r w:rsidR="002B5A7A">
        <w:t xml:space="preserve"> though</w:t>
      </w:r>
      <w:r w:rsidR="00AE5290">
        <w:t xml:space="preserve"> </w:t>
      </w:r>
      <w:r w:rsidR="00690705">
        <w:t xml:space="preserve">they successfully took the city, </w:t>
      </w:r>
      <w:r w:rsidR="00AE5290">
        <w:t xml:space="preserve">Spanish ships </w:t>
      </w:r>
      <w:r w:rsidR="00690705">
        <w:t>travelled</w:t>
      </w:r>
      <w:r w:rsidR="00AE5290">
        <w:t xml:space="preserve"> upriver from New Orleans</w:t>
      </w:r>
      <w:r w:rsidR="00690705">
        <w:t xml:space="preserve"> and</w:t>
      </w:r>
      <w:r w:rsidR="005D6B8A">
        <w:t>, after landing their troops</w:t>
      </w:r>
      <w:r w:rsidR="001E7F00">
        <w:t xml:space="preserve"> and reinforcing their position over the Mississippi</w:t>
      </w:r>
      <w:r w:rsidR="005D6B8A">
        <w:t>, forced the Americans into a retreat</w:t>
      </w:r>
      <w:r w:rsidR="00DD7E91">
        <w:t xml:space="preserve">. </w:t>
      </w:r>
      <w:r w:rsidR="00D36848">
        <w:t xml:space="preserve">This slog of an advance, </w:t>
      </w:r>
      <w:r w:rsidR="009867D8">
        <w:t xml:space="preserve">where </w:t>
      </w:r>
      <w:r w:rsidR="00D36848">
        <w:t xml:space="preserve">American troops </w:t>
      </w:r>
      <w:r w:rsidR="009867D8">
        <w:t xml:space="preserve">advanced two steps forwards and one step back, would be reflected in the remainder of the war, as American supremacy on land faced Spanish supremacy by river, but the way did point </w:t>
      </w:r>
      <w:r w:rsidR="00CE0335">
        <w:t>towards the Americans</w:t>
      </w:r>
      <w:r w:rsidR="009867D8">
        <w:t xml:space="preserve">. </w:t>
      </w:r>
    </w:p>
    <w:p w14:paraId="401B45F6" w14:textId="00F8C1C7" w:rsidR="00037CC8" w:rsidRDefault="00037CC8" w:rsidP="00DB0B9C">
      <w:r>
        <w:t xml:space="preserve">It would also be at this point that one of the most infamous events of the war occurred. </w:t>
      </w:r>
      <w:r w:rsidR="007E277C">
        <w:t xml:space="preserve">Alexander Hamilton, long sweltering in a long period of political wilderness as the Federalists collapsed and most of its membership broke for the Democratic Party of his </w:t>
      </w:r>
      <w:r w:rsidR="00E3395A">
        <w:t>rival Aaron Burr</w:t>
      </w:r>
      <w:r w:rsidR="007E277C">
        <w:t xml:space="preserve">, </w:t>
      </w:r>
      <w:r w:rsidR="00E3395A">
        <w:t xml:space="preserve">had sought upon the opening of the Luisiana War to be enlisted as a general of some sort. However, in </w:t>
      </w:r>
      <w:r w:rsidR="00E3395A">
        <w:lastRenderedPageBreak/>
        <w:t xml:space="preserve">this he found himself frustrated. At the state level, Governor </w:t>
      </w:r>
      <w:r w:rsidR="00325CB4">
        <w:t>Ambrose Spencer, a close ally of Burr</w:t>
      </w:r>
      <w:r w:rsidR="00980F00">
        <w:t xml:space="preserve"> denied him leadership of any section of the</w:t>
      </w:r>
      <w:r w:rsidR="00CC4E8D">
        <w:t xml:space="preserve"> New York Militia, and at the national level, he similarly found himself frustrated. This, most historians agree, was caused by Hamilton’s position as the leader of the remnant Federalist Party, and that the </w:t>
      </w:r>
      <w:r w:rsidR="00FE46BE">
        <w:t>Burr</w:t>
      </w:r>
      <w:r w:rsidR="00CC4E8D">
        <w:t xml:space="preserve"> administration and the wider Democratic Party had no desire to turn him into a war hero</w:t>
      </w:r>
      <w:r w:rsidR="005D75D0">
        <w:rPr>
          <w:rStyle w:val="EndnoteReference"/>
        </w:rPr>
        <w:endnoteReference w:id="60"/>
      </w:r>
      <w:r w:rsidR="00CC4E8D">
        <w:t xml:space="preserve">. </w:t>
      </w:r>
      <w:r w:rsidR="0043207A">
        <w:t>Despite this, Hamilton organized a private army anyways, with himself as its leader and his son as his second-in-command. What he wished to do with this is somewhat mysterious; to build it, he received money from several backers, not only from wealthy Americans but also government agents of both France and Britain</w:t>
      </w:r>
      <w:r w:rsidR="004F5311">
        <w:t>.</w:t>
      </w:r>
      <w:r w:rsidR="0043207A">
        <w:t xml:space="preserve"> </w:t>
      </w:r>
      <w:r w:rsidR="004F5311">
        <w:t>To get this money, he made a series of</w:t>
      </w:r>
      <w:r w:rsidR="0043207A">
        <w:t xml:space="preserve"> promises</w:t>
      </w:r>
      <w:r w:rsidR="004F5311">
        <w:t>,</w:t>
      </w:r>
      <w:r w:rsidR="0043207A">
        <w:t xml:space="preserve"> includ</w:t>
      </w:r>
      <w:r w:rsidR="004F5311">
        <w:t>ing</w:t>
      </w:r>
      <w:r w:rsidR="00344BEE">
        <w:t xml:space="preserve"> variously an invasion of Spanish territory but also half-baked invasion plans of Canada, or of the French West Indies, or of a march on Albany to depose</w:t>
      </w:r>
      <w:r w:rsidR="00670B11">
        <w:t xml:space="preserve"> Governor </w:t>
      </w:r>
      <w:r w:rsidR="00325CB4">
        <w:t>Spencer or even on Washington against Burr</w:t>
      </w:r>
      <w:r w:rsidR="00344BEE">
        <w:t xml:space="preserve">. </w:t>
      </w:r>
      <w:r w:rsidR="00670B11">
        <w:t>The extent to which any of these were meaningful promises</w:t>
      </w:r>
      <w:r w:rsidR="00D32F19">
        <w:t xml:space="preserve"> or else simply Hamilton saying what he could to get an army</w:t>
      </w:r>
      <w:r w:rsidR="003F111B">
        <w:t>,</w:t>
      </w:r>
      <w:r w:rsidR="00670B11">
        <w:t xml:space="preserve"> remains doubtful, even to </w:t>
      </w:r>
      <w:r w:rsidR="0082573F">
        <w:t xml:space="preserve">modern </w:t>
      </w:r>
      <w:r w:rsidR="00670B11">
        <w:t xml:space="preserve">historians with </w:t>
      </w:r>
      <w:r w:rsidR="00ED6DAF">
        <w:t>full</w:t>
      </w:r>
      <w:r w:rsidR="00670B11">
        <w:t xml:space="preserve"> access to documents</w:t>
      </w:r>
      <w:r w:rsidR="00ED6DAF">
        <w:t xml:space="preserve"> and archives</w:t>
      </w:r>
      <w:r w:rsidR="00670B11">
        <w:t xml:space="preserve">, but </w:t>
      </w:r>
      <w:r w:rsidR="00F12503">
        <w:t xml:space="preserve">publicly Hamilton affirmed he merely sought to create an army to send to the frontlines of the war. </w:t>
      </w:r>
      <w:r w:rsidR="003E1F49">
        <w:t xml:space="preserve">Some have since speculated that he </w:t>
      </w:r>
      <w:r w:rsidR="00051BE9">
        <w:t>was duped by his friends, but historians are no closer to determining what</w:t>
      </w:r>
      <w:r w:rsidR="00F922EC">
        <w:t xml:space="preserve"> his plans were. </w:t>
      </w:r>
    </w:p>
    <w:p w14:paraId="335E8644" w14:textId="2D4096BC" w:rsidR="009566C5" w:rsidRDefault="00CC40DF" w:rsidP="00DB0B9C">
      <w:r>
        <w:t xml:space="preserve">However, these plans, whatever they may have been, were entirely undone when Governor </w:t>
      </w:r>
      <w:r w:rsidR="003422D3">
        <w:t>Spencer</w:t>
      </w:r>
      <w:r>
        <w:t xml:space="preserve"> presented</w:t>
      </w:r>
      <w:r w:rsidR="00AB13E4">
        <w:t xml:space="preserve"> evidence of Hamilton’s promises to the </w:t>
      </w:r>
      <w:r w:rsidR="004D0F85">
        <w:t>Burr</w:t>
      </w:r>
      <w:r w:rsidR="00AB13E4">
        <w:t xml:space="preserve"> government, and he declared it </w:t>
      </w:r>
      <w:r w:rsidR="00D66320">
        <w:t xml:space="preserve">nothing less than </w:t>
      </w:r>
      <w:r w:rsidR="00AB13E4">
        <w:t xml:space="preserve">open treason. </w:t>
      </w:r>
      <w:r w:rsidR="00C32ACB">
        <w:t xml:space="preserve">After </w:t>
      </w:r>
      <w:r w:rsidR="003422D3">
        <w:t>Spencer</w:t>
      </w:r>
      <w:r w:rsidR="00C32ACB">
        <w:t xml:space="preserve"> submitted charges to the federal government, </w:t>
      </w:r>
      <w:r w:rsidR="001F433F">
        <w:t>it</w:t>
      </w:r>
      <w:r w:rsidR="00C32ACB">
        <w:t xml:space="preserve"> declared its intentions to arrest</w:t>
      </w:r>
      <w:r w:rsidR="00647FDB">
        <w:t xml:space="preserve"> Hamilton, but before it could,</w:t>
      </w:r>
      <w:r w:rsidR="004941C8">
        <w:t xml:space="preserve"> he gave them the slip.</w:t>
      </w:r>
      <w:r w:rsidR="00647FDB">
        <w:t xml:space="preserve"> </w:t>
      </w:r>
      <w:r w:rsidR="004941C8">
        <w:t>A</w:t>
      </w:r>
      <w:r w:rsidR="00647FDB">
        <w:t>long with his family</w:t>
      </w:r>
      <w:r w:rsidR="004941C8">
        <w:t>,</w:t>
      </w:r>
      <w:r w:rsidR="00647FDB">
        <w:t xml:space="preserve"> he packed his bags on a canal vessel and travelled up the </w:t>
      </w:r>
      <w:r w:rsidR="00AE69A5">
        <w:t xml:space="preserve">Erie Canal. Narrowly escaping capture at Black Rock from authorities that had, by </w:t>
      </w:r>
      <w:r w:rsidR="00753193">
        <w:t>telegraph</w:t>
      </w:r>
      <w:r w:rsidR="00AE69A5">
        <w:t xml:space="preserve">, </w:t>
      </w:r>
      <w:r w:rsidR="00B34308">
        <w:t xml:space="preserve">been sent word </w:t>
      </w:r>
      <w:r w:rsidR="00745C50">
        <w:t>that he was indeed arriving</w:t>
      </w:r>
      <w:r w:rsidR="00B34308">
        <w:t>, he successfully crossed the border into</w:t>
      </w:r>
      <w:r w:rsidR="00E34C71">
        <w:t xml:space="preserve"> British North America</w:t>
      </w:r>
      <w:r w:rsidR="008A3482">
        <w:t>.</w:t>
      </w:r>
      <w:r w:rsidR="00E34C71">
        <w:t xml:space="preserve"> </w:t>
      </w:r>
      <w:r w:rsidR="008A3482">
        <w:t>From here,</w:t>
      </w:r>
      <w:r w:rsidR="00E34C71">
        <w:t xml:space="preserve"> he</w:t>
      </w:r>
      <w:r w:rsidR="00AE69A5">
        <w:t xml:space="preserve"> </w:t>
      </w:r>
      <w:r w:rsidR="00E34C71">
        <w:t>successfully made his way to Toronto</w:t>
      </w:r>
      <w:r w:rsidR="008A3482">
        <w:t>, and he charmed his way up the Family Compact</w:t>
      </w:r>
      <w:r w:rsidR="00E34C71">
        <w:t xml:space="preserve">. In quick succession, </w:t>
      </w:r>
      <w:r w:rsidR="00BC4234">
        <w:lastRenderedPageBreak/>
        <w:t xml:space="preserve">Hamilton enlisted in the British army and led an expedition to Venezuela, where he linked up with his old friend Francisco de Miranda; after Miranda’s death, the knives came out in Caracas and Hamilton fled with his family back to Toronto, where he spent the rest of his life in exile, doomed to see New York just over the horizon but to never return to it. </w:t>
      </w:r>
      <w:r w:rsidR="005D0E8C">
        <w:t>T</w:t>
      </w:r>
      <w:r w:rsidR="00BC4234">
        <w:t xml:space="preserve">hough Hamilton, when tried in </w:t>
      </w:r>
      <w:proofErr w:type="spellStart"/>
      <w:r w:rsidR="00BC4234">
        <w:t>abstentia</w:t>
      </w:r>
      <w:proofErr w:type="spellEnd"/>
      <w:r w:rsidR="00BC4234">
        <w:t xml:space="preserve">, would be found not guilty by the </w:t>
      </w:r>
      <w:r w:rsidR="00407B0F">
        <w:t>Supreme Court</w:t>
      </w:r>
      <w:r w:rsidR="006C3559">
        <w:t xml:space="preserve"> if only for a lack of evidence</w:t>
      </w:r>
      <w:r w:rsidR="00407B0F">
        <w:t xml:space="preserve">, it permanently discredited Federalism. </w:t>
      </w:r>
      <w:r w:rsidR="006442C0">
        <w:t xml:space="preserve">And what came afterwards was only the last nail in the coffin of </w:t>
      </w:r>
      <w:r w:rsidR="00CB08CE">
        <w:t xml:space="preserve">the Federalist Party. </w:t>
      </w:r>
    </w:p>
    <w:p w14:paraId="25BF14FC" w14:textId="3DDD16EA" w:rsidR="00CC40DF" w:rsidRDefault="009566C5" w:rsidP="00DB0B9C">
      <w:r>
        <w:t xml:space="preserve">On January 11, 1827, in about three in the morning, the presidential mansion suddenly caught on fire, and the conflagration burned the entire building. When Burr was not among the people who fled, it did not take long for Vice President Harrison to be woken up and brought to the scene, and by the time firefighters suppressed the fire, </w:t>
      </w:r>
      <w:r w:rsidR="00F05C71">
        <w:t>they came across the ghastly sight of Burr’s charred body over what remained of his desk. It did not take long for Harrison to be sworn in as President</w:t>
      </w:r>
      <w:r w:rsidR="00F05C71">
        <w:rPr>
          <w:rStyle w:val="EndnoteReference"/>
        </w:rPr>
        <w:endnoteReference w:id="61"/>
      </w:r>
      <w:r w:rsidR="00F05C71">
        <w:t>.</w:t>
      </w:r>
      <w:r>
        <w:t xml:space="preserve"> </w:t>
      </w:r>
      <w:r w:rsidR="00236CB0">
        <w:t xml:space="preserve">Further investigation into the fire revealed it to be an accident </w:t>
      </w:r>
      <w:r w:rsidR="00AE37CE">
        <w:t>– and indeed its origin being within the office where Burr was working</w:t>
      </w:r>
      <w:r w:rsidR="005C7DA4">
        <w:rPr>
          <w:rStyle w:val="EndnoteReference"/>
        </w:rPr>
        <w:endnoteReference w:id="62"/>
      </w:r>
      <w:r w:rsidR="00AE37CE">
        <w:t xml:space="preserve"> – but it hardly stopped the speculation. One popular idea was</w:t>
      </w:r>
      <w:r w:rsidR="003211A6">
        <w:t xml:space="preserve"> that Hamilton had conspired to kill his enemy, and it only added to the name Alexander Hamilton </w:t>
      </w:r>
      <w:r w:rsidR="00AF4F49">
        <w:t xml:space="preserve">and its place </w:t>
      </w:r>
      <w:r w:rsidR="003211A6">
        <w:t>alongside Benedict Arnold and George Washington Woodward as one of the ultimate traitors of American history</w:t>
      </w:r>
      <w:r w:rsidR="00775194">
        <w:rPr>
          <w:rStyle w:val="EndnoteReference"/>
        </w:rPr>
        <w:endnoteReference w:id="63"/>
      </w:r>
      <w:r w:rsidR="003211A6">
        <w:t xml:space="preserve">. </w:t>
      </w:r>
      <w:r w:rsidR="00E638CF">
        <w:t>Whatever may have happened, a</w:t>
      </w:r>
      <w:r w:rsidR="00E638CF">
        <w:t>lmost overnight, Aaron Burr went from being a deeply controversial politician to a national hero and martyr, who died so America itself could be free</w:t>
      </w:r>
      <w:r w:rsidR="00E638CF">
        <w:t>. His name was attached to schools, towns, and cities, his statues were installed</w:t>
      </w:r>
      <w:r w:rsidR="00DE02F5">
        <w:t xml:space="preserve"> in public squares</w:t>
      </w:r>
      <w:r w:rsidR="00622F98">
        <w:t>, plays glorifying him</w:t>
      </w:r>
      <w:r w:rsidR="008A5B86">
        <w:t xml:space="preserve"> as a national saint and martyr</w:t>
      </w:r>
      <w:r w:rsidR="00622F98">
        <w:t xml:space="preserve"> populated the</w:t>
      </w:r>
      <w:r w:rsidR="005F0144">
        <w:t xml:space="preserve"> theaters of the nation</w:t>
      </w:r>
      <w:r w:rsidR="00DE02F5">
        <w:t xml:space="preserve">, and his portraits were hung alongside </w:t>
      </w:r>
      <w:r w:rsidR="00255159">
        <w:t xml:space="preserve">the Father of the Nation, </w:t>
      </w:r>
      <w:r w:rsidR="00DE02F5">
        <w:t>George Washington</w:t>
      </w:r>
      <w:r w:rsidR="00872D12">
        <w:t>,</w:t>
      </w:r>
      <w:r w:rsidR="00DE02F5">
        <w:t xml:space="preserve"> himself</w:t>
      </w:r>
      <w:r w:rsidR="00E638CF">
        <w:t xml:space="preserve">. </w:t>
      </w:r>
      <w:r w:rsidR="00DE02F5">
        <w:t>I</w:t>
      </w:r>
      <w:r w:rsidR="00440C93">
        <w:t>n the most dramatic way possible</w:t>
      </w:r>
      <w:r w:rsidR="00255159">
        <w:t>,</w:t>
      </w:r>
      <w:r w:rsidR="00296C04">
        <w:t xml:space="preserve"> the Burr era came to an end, and though he continued to hang as a pallor over the age, his death represented a generational change in government</w:t>
      </w:r>
      <w:r w:rsidR="00A06668">
        <w:t xml:space="preserve">. </w:t>
      </w:r>
    </w:p>
    <w:p w14:paraId="7CA1AFF4" w14:textId="13D206D5" w:rsidR="00775194" w:rsidRDefault="00775194" w:rsidP="00471E09">
      <w:r>
        <w:lastRenderedPageBreak/>
        <w:t>However, this saga</w:t>
      </w:r>
      <w:r w:rsidR="000E4867">
        <w:t xml:space="preserve"> was ultimately a sideshow to the wider process of the </w:t>
      </w:r>
      <w:r w:rsidR="007108F8">
        <w:t>war</w:t>
      </w:r>
      <w:r w:rsidR="00314603">
        <w:t>, and though it did result in several troops being diverted northwards against some feared Hamilton-</w:t>
      </w:r>
      <w:proofErr w:type="spellStart"/>
      <w:r w:rsidR="00314603">
        <w:t>Guelphite</w:t>
      </w:r>
      <w:proofErr w:type="spellEnd"/>
      <w:r w:rsidR="00314603">
        <w:t xml:space="preserve"> invasion, </w:t>
      </w:r>
      <w:r w:rsidR="004278A1">
        <w:t>no such invasion occurred</w:t>
      </w:r>
      <w:r w:rsidR="003300E0">
        <w:t>, and</w:t>
      </w:r>
      <w:r w:rsidR="00637EB9">
        <w:t xml:space="preserve"> in any case</w:t>
      </w:r>
      <w:r w:rsidR="003300E0">
        <w:t xml:space="preserve"> there was no indication the British </w:t>
      </w:r>
      <w:r w:rsidR="006F353E">
        <w:t>were assembling an army or anything like that along the border with British North America</w:t>
      </w:r>
      <w:r w:rsidR="003A46F1">
        <w:t>. Notably, President Harrison’s</w:t>
      </w:r>
      <w:r w:rsidR="007A51AC">
        <w:t xml:space="preserve"> sensitivity to Western interests only made him more eager for a victory, not less</w:t>
      </w:r>
      <w:r w:rsidR="007108F8">
        <w:t xml:space="preserve">. American troops slowly advanced down the Mississippi, and the Spanish found increasing difficulties in </w:t>
      </w:r>
      <w:r w:rsidR="00C516B3">
        <w:t xml:space="preserve">maintaining its fleet on the river. </w:t>
      </w:r>
      <w:r w:rsidR="00321510">
        <w:t xml:space="preserve">Natchitoches fell to an American offensive, and </w:t>
      </w:r>
      <w:r w:rsidR="00746565">
        <w:t xml:space="preserve">troops continued to march southwards. </w:t>
      </w:r>
      <w:r w:rsidR="00A57028">
        <w:t>The successful capture of Post du Rapides, after a relatively short battle</w:t>
      </w:r>
      <w:r w:rsidR="000D0288">
        <w:t xml:space="preserve"> which took the Spanish by surprise</w:t>
      </w:r>
      <w:r w:rsidR="00A57028">
        <w:t>, showed the American advantage</w:t>
      </w:r>
      <w:r w:rsidR="000436F4">
        <w:t xml:space="preserve"> on land in the </w:t>
      </w:r>
      <w:proofErr w:type="gramStart"/>
      <w:r w:rsidR="000436F4">
        <w:t>most stark</w:t>
      </w:r>
      <w:proofErr w:type="gramEnd"/>
      <w:r w:rsidR="000436F4">
        <w:t xml:space="preserve"> of terms</w:t>
      </w:r>
      <w:r w:rsidR="0024255E">
        <w:t xml:space="preserve">. </w:t>
      </w:r>
      <w:r w:rsidR="00C563BA">
        <w:t>Sending a force f</w:t>
      </w:r>
      <w:r w:rsidR="0024255E">
        <w:t xml:space="preserve">urther south, </w:t>
      </w:r>
      <w:r w:rsidR="00C563BA">
        <w:t xml:space="preserve">the Americans </w:t>
      </w:r>
      <w:r w:rsidR="0024255E">
        <w:t xml:space="preserve">faced defeat at Opelousas, </w:t>
      </w:r>
      <w:r w:rsidR="00C80754">
        <w:t>due to the</w:t>
      </w:r>
      <w:r w:rsidR="0024255E">
        <w:t xml:space="preserve"> weakness of American supply lines; in the </w:t>
      </w:r>
      <w:r w:rsidR="000030AF">
        <w:t>weeks</w:t>
      </w:r>
      <w:r w:rsidR="0024255E">
        <w:t xml:space="preserve"> that followed, </w:t>
      </w:r>
      <w:r w:rsidR="000030AF">
        <w:t xml:space="preserve">they established makeshift </w:t>
      </w:r>
      <w:r w:rsidR="00E20925">
        <w:t>telegraph</w:t>
      </w:r>
      <w:r w:rsidR="000030AF">
        <w:t xml:space="preserve"> lines to link them over and across Memphis to the rest</w:t>
      </w:r>
      <w:r w:rsidR="00EB5BF7">
        <w:t xml:space="preserve"> of the United States</w:t>
      </w:r>
      <w:r w:rsidR="000030AF">
        <w:t>, and</w:t>
      </w:r>
      <w:r w:rsidR="000342D0">
        <w:t xml:space="preserve"> along the way</w:t>
      </w:r>
      <w:r w:rsidR="000030AF">
        <w:t xml:space="preserve"> they brought supplies southwards. </w:t>
      </w:r>
      <w:r w:rsidR="00833E49">
        <w:t xml:space="preserve">Its battle lines fortified, the Americans continued a </w:t>
      </w:r>
      <w:proofErr w:type="gramStart"/>
      <w:r w:rsidR="00833E49">
        <w:t>push southwards</w:t>
      </w:r>
      <w:proofErr w:type="gramEnd"/>
      <w:r w:rsidR="00833E49">
        <w:t>, and they</w:t>
      </w:r>
      <w:r w:rsidR="0027192B">
        <w:t xml:space="preserve"> successfully took Opelousas</w:t>
      </w:r>
      <w:r w:rsidR="0091066D">
        <w:rPr>
          <w:rStyle w:val="EndnoteReference"/>
        </w:rPr>
        <w:endnoteReference w:id="64"/>
      </w:r>
      <w:r w:rsidR="00F62DDE">
        <w:t>. This sluggish advance slowly advanced and reached closer and closer to</w:t>
      </w:r>
      <w:r w:rsidR="00614DEE">
        <w:t xml:space="preserve"> the </w:t>
      </w:r>
      <w:proofErr w:type="spellStart"/>
      <w:r w:rsidR="00614DEE">
        <w:t>seabank</w:t>
      </w:r>
      <w:proofErr w:type="spellEnd"/>
      <w:r w:rsidR="00614DEE">
        <w:t xml:space="preserve"> – and it would be here that the Battle of New Orleans occurred. </w:t>
      </w:r>
    </w:p>
    <w:p w14:paraId="6E69E886" w14:textId="1502ABA5" w:rsidR="00DB6D7D" w:rsidRDefault="00DB6D7D" w:rsidP="00471E09">
      <w:r>
        <w:t>Led by Zebulon Pike</w:t>
      </w:r>
      <w:r w:rsidR="005767FD">
        <w:t>, already a national hero for his expedition of 1806-7</w:t>
      </w:r>
      <w:r>
        <w:t xml:space="preserve">, the American army </w:t>
      </w:r>
      <w:r w:rsidR="00FB4251">
        <w:t xml:space="preserve">approached New Orleans from its west. Their approach took several hours – and </w:t>
      </w:r>
      <w:r w:rsidR="00887E28">
        <w:t xml:space="preserve">before they </w:t>
      </w:r>
      <w:r w:rsidR="001E401A">
        <w:t>completed constructing</w:t>
      </w:r>
      <w:r w:rsidR="00887E28">
        <w:t xml:space="preserve"> their fortifications, the Spanish</w:t>
      </w:r>
      <w:r w:rsidR="00F77EE7">
        <w:t xml:space="preserve"> launched a </w:t>
      </w:r>
      <w:proofErr w:type="spellStart"/>
      <w:r w:rsidR="00F77EE7">
        <w:t>preemptive</w:t>
      </w:r>
      <w:proofErr w:type="spellEnd"/>
      <w:r w:rsidR="00F77EE7">
        <w:t xml:space="preserve"> attack on the Americans. </w:t>
      </w:r>
      <w:r w:rsidR="001E401A">
        <w:t>However, General Pike had readied for this, and successfully fighting off this attack, he forced the Spanish into a retreat</w:t>
      </w:r>
      <w:r w:rsidR="00B30BC3">
        <w:t xml:space="preserve">. Against this retreat, he then </w:t>
      </w:r>
      <w:r w:rsidR="00E46E56">
        <w:t xml:space="preserve">sent a further force, and this destroyed the Spanish attack, but failed to prevent the </w:t>
      </w:r>
      <w:r w:rsidR="009462AC">
        <w:t>stragglers</w:t>
      </w:r>
      <w:r w:rsidR="00E46E56">
        <w:t xml:space="preserve"> from </w:t>
      </w:r>
      <w:r w:rsidR="009462AC">
        <w:t>sending back word of this to the capital</w:t>
      </w:r>
      <w:r w:rsidR="00E46E56">
        <w:t xml:space="preserve">. </w:t>
      </w:r>
      <w:r w:rsidR="009462AC">
        <w:t>Nevertheless,</w:t>
      </w:r>
      <w:r w:rsidR="00493164">
        <w:t xml:space="preserve"> in rapid succession,</w:t>
      </w:r>
      <w:r w:rsidR="009462AC">
        <w:t xml:space="preserve"> Pike was able to assemble a large force just outside New Orleans, and in short succession he the</w:t>
      </w:r>
      <w:r w:rsidR="00A9797F">
        <w:t>n sent this</w:t>
      </w:r>
      <w:r w:rsidR="00721573">
        <w:t xml:space="preserve"> force forward</w:t>
      </w:r>
      <w:r w:rsidR="00A9797F">
        <w:t xml:space="preserve"> to capture the city. </w:t>
      </w:r>
      <w:r w:rsidR="00C87FBF">
        <w:t xml:space="preserve">This </w:t>
      </w:r>
      <w:r w:rsidR="00DA1126">
        <w:t xml:space="preserve">quick </w:t>
      </w:r>
      <w:r w:rsidR="00C87FBF">
        <w:lastRenderedPageBreak/>
        <w:t xml:space="preserve">approach saw the Spanish only minimally </w:t>
      </w:r>
      <w:r w:rsidR="00DA1126">
        <w:t>having prepared, and meeting them just outside the city</w:t>
      </w:r>
      <w:r w:rsidR="00E1595F">
        <w:t>, the Americans successfully</w:t>
      </w:r>
      <w:r w:rsidR="00493164">
        <w:t xml:space="preserve"> and decisively</w:t>
      </w:r>
      <w:r w:rsidR="00E1595F">
        <w:t xml:space="preserve"> crushed them. That Spanish troops came from further afield from its colonies in South America meant they were unprepared when it came to the terrain of the bayou</w:t>
      </w:r>
      <w:r w:rsidR="00493164">
        <w:t xml:space="preserve"> – indeed, Spanish forces found themselves shooting at one another –</w:t>
      </w:r>
      <w:r w:rsidR="0097037F">
        <w:t xml:space="preserve"> and it was this above all which allowed for an American victory. Spanish administrators in the city having fled, General Pike made his approach and was greeted by the Cabildo of New Orleans as a hero. And </w:t>
      </w:r>
      <w:proofErr w:type="gramStart"/>
      <w:r w:rsidR="0097037F">
        <w:t>thus</w:t>
      </w:r>
      <w:proofErr w:type="gramEnd"/>
      <w:r w:rsidR="0097037F">
        <w:t xml:space="preserve"> it was that the “Liberator of New Orleans”</w:t>
      </w:r>
      <w:r w:rsidR="00765543">
        <w:t xml:space="preserve"> paraded down Canal Street,</w:t>
      </w:r>
      <w:r w:rsidR="0097037F">
        <w:t xml:space="preserve"> </w:t>
      </w:r>
      <w:r w:rsidR="00765543">
        <w:t>and keeping dignity in victory</w:t>
      </w:r>
      <w:r w:rsidR="0097037F">
        <w:t>,</w:t>
      </w:r>
      <w:r w:rsidR="00FD6B1A">
        <w:t xml:space="preserve"> he kept the city fully intact</w:t>
      </w:r>
      <w:r w:rsidR="008C4998">
        <w:t xml:space="preserve"> and </w:t>
      </w:r>
      <w:r w:rsidR="00303A89">
        <w:t>made sure to clamp down upon any soldiers who even thought about sacking it</w:t>
      </w:r>
      <w:r w:rsidR="0097037F">
        <w:t xml:space="preserve">. </w:t>
      </w:r>
      <w:r w:rsidR="00643AB0">
        <w:t>In quick succession, troops successfully crushed the Spanish fleet within</w:t>
      </w:r>
      <w:r w:rsidR="00767556">
        <w:t xml:space="preserve"> most of</w:t>
      </w:r>
      <w:r w:rsidR="00643AB0">
        <w:t xml:space="preserve"> the Mississipp</w:t>
      </w:r>
      <w:r w:rsidR="00767556">
        <w:t>i</w:t>
      </w:r>
      <w:r w:rsidR="00C9681B">
        <w:rPr>
          <w:rStyle w:val="EndnoteReference"/>
        </w:rPr>
        <w:endnoteReference w:id="65"/>
      </w:r>
      <w:r w:rsidR="00FA5BF9">
        <w:t xml:space="preserve">. </w:t>
      </w:r>
      <w:r w:rsidR="00767556">
        <w:t>However, when Pike</w:t>
      </w:r>
      <w:r w:rsidR="004D7E2A">
        <w:t xml:space="preserve"> tried to maintain the advantage and sent a strike towards West Florida, this ended up defeated </w:t>
      </w:r>
      <w:r w:rsidR="00473959">
        <w:t>by a much larger force at</w:t>
      </w:r>
      <w:r w:rsidR="004D7E2A">
        <w:t xml:space="preserve"> Biloxi</w:t>
      </w:r>
      <w:r w:rsidR="00D45F44">
        <w:t>, by an army of both Spanish and the Red Stick faction of the creek</w:t>
      </w:r>
      <w:r w:rsidR="004D7E2A">
        <w:t xml:space="preserve">. </w:t>
      </w:r>
      <w:r w:rsidR="00BA2714">
        <w:t xml:space="preserve">Nevertheless, </w:t>
      </w:r>
      <w:r w:rsidR="00CD53F5">
        <w:t>the Battle of New Orleans</w:t>
      </w:r>
      <w:r w:rsidR="00BA2714">
        <w:t xml:space="preserve"> was more than anything the decisive victory of the war</w:t>
      </w:r>
      <w:r w:rsidR="00CD53F5">
        <w:t>, and at that point the Spanish could do nothing but prolong the war</w:t>
      </w:r>
      <w:r w:rsidR="00BA2714">
        <w:t xml:space="preserve">. </w:t>
      </w:r>
    </w:p>
    <w:p w14:paraId="4E398BC5" w14:textId="349E4E85" w:rsidR="00B04194" w:rsidRDefault="00AC6792" w:rsidP="00471E09">
      <w:r>
        <w:t xml:space="preserve">But even more decisive than this were events happening in </w:t>
      </w:r>
      <w:r w:rsidR="00762386">
        <w:t xml:space="preserve">Britain. </w:t>
      </w:r>
      <w:r w:rsidR="00284CDA">
        <w:t xml:space="preserve">Longstanding grievances among </w:t>
      </w:r>
      <w:r w:rsidR="004E6DC7">
        <w:t>the British</w:t>
      </w:r>
      <w:r w:rsidR="00284CDA">
        <w:t xml:space="preserve"> people</w:t>
      </w:r>
      <w:r w:rsidR="00935C6B">
        <w:t xml:space="preserve"> against the unrepresentative nature of the contemporary House of Commons</w:t>
      </w:r>
      <w:r w:rsidR="00284CDA">
        <w:t>, greatly exacerbated by the war in Europe</w:t>
      </w:r>
      <w:r w:rsidR="004B6DCD">
        <w:t xml:space="preserve"> and the devastating famine in Ireland</w:t>
      </w:r>
      <w:r w:rsidR="00284CDA">
        <w:t xml:space="preserve">, turned into a series of </w:t>
      </w:r>
      <w:r w:rsidR="009E4B9A">
        <w:t>riots which spread across the nation; into London, they quickly became a revolutionary affair</w:t>
      </w:r>
      <w:r w:rsidR="00BB2661">
        <w:t>, and King Frederick and Prime Minister Londonderry fled</w:t>
      </w:r>
      <w:r w:rsidR="00144E37">
        <w:t xml:space="preserve"> to Hanover</w:t>
      </w:r>
      <w:r w:rsidR="00BB2661">
        <w:t xml:space="preserve"> before the mobs could reach them. </w:t>
      </w:r>
      <w:r w:rsidR="007F0B5F">
        <w:t>T</w:t>
      </w:r>
      <w:r w:rsidR="007500B1">
        <w:t>he</w:t>
      </w:r>
      <w:r w:rsidR="00935C6B">
        <w:t xml:space="preserve"> Popular Revolution</w:t>
      </w:r>
      <w:r w:rsidR="007F0B5F">
        <w:t xml:space="preserve"> saw, in quick succession, the organization of a provisional government which declared its intention to </w:t>
      </w:r>
      <w:r w:rsidR="004B3B86">
        <w:t>come</w:t>
      </w:r>
      <w:r w:rsidR="007F0B5F">
        <w:t xml:space="preserve"> to</w:t>
      </w:r>
      <w:r w:rsidR="004B3B86">
        <w:t xml:space="preserve"> a general</w:t>
      </w:r>
      <w:r w:rsidR="007F0B5F">
        <w:t xml:space="preserve"> peace with France and Spain. </w:t>
      </w:r>
      <w:r w:rsidR="00C30689">
        <w:t>But the Spanish did not find themselves eased by this; on the contrary, they</w:t>
      </w:r>
      <w:r w:rsidR="007629A3">
        <w:t xml:space="preserve"> considered the </w:t>
      </w:r>
      <w:r w:rsidR="009A09D6">
        <w:t>Franco</w:t>
      </w:r>
      <w:r w:rsidR="007629A3">
        <w:t xml:space="preserve">-British enmity and division to be the only thing which kept them from being swept by the </w:t>
      </w:r>
      <w:r w:rsidR="00FD35F7">
        <w:t xml:space="preserve">great </w:t>
      </w:r>
      <w:r w:rsidR="007629A3">
        <w:t>revolutionary wave</w:t>
      </w:r>
      <w:r w:rsidR="00FD35F7">
        <w:t xml:space="preserve"> inaugurated in 1776</w:t>
      </w:r>
      <w:r w:rsidR="007629A3">
        <w:t>. They</w:t>
      </w:r>
      <w:r w:rsidR="00C30689">
        <w:t xml:space="preserve"> found themselves terrified that the French </w:t>
      </w:r>
      <w:r w:rsidR="00C30689">
        <w:lastRenderedPageBreak/>
        <w:t xml:space="preserve">might ally with the revolutionary British </w:t>
      </w:r>
      <w:r w:rsidR="00091957">
        <w:t>and then declare war on</w:t>
      </w:r>
      <w:r w:rsidR="00C30689">
        <w:t xml:space="preserve"> them</w:t>
      </w:r>
      <w:r w:rsidR="000F4EF1">
        <w:t xml:space="preserve"> – an alliance which would surely destroy the Spanish state</w:t>
      </w:r>
      <w:r w:rsidR="006F0363">
        <w:t xml:space="preserve"> with overwhelming force</w:t>
      </w:r>
      <w:r w:rsidR="00C30689">
        <w:t xml:space="preserve">. </w:t>
      </w:r>
      <w:r w:rsidR="00F463C6">
        <w:t>The enthusiasm most Americans held for the Popular Revolution, which they saw as merely the aftershocks of their own</w:t>
      </w:r>
      <w:r w:rsidR="007F7F3E">
        <w:t>, and the cheers of revolutionary fraternity they heard in response</w:t>
      </w:r>
      <w:r w:rsidR="00F463C6">
        <w:t>, only added to this attitude of fear</w:t>
      </w:r>
      <w:r w:rsidR="00CF0180">
        <w:t>, as they feared the Americans might join them</w:t>
      </w:r>
      <w:r w:rsidR="00F463C6">
        <w:t xml:space="preserve">. </w:t>
      </w:r>
      <w:r w:rsidR="00C30689">
        <w:t xml:space="preserve">And </w:t>
      </w:r>
      <w:proofErr w:type="gramStart"/>
      <w:r w:rsidR="00C30689">
        <w:t>thus</w:t>
      </w:r>
      <w:proofErr w:type="gramEnd"/>
      <w:r w:rsidR="00C30689">
        <w:t xml:space="preserve"> it was, that the Spanish finally </w:t>
      </w:r>
      <w:r w:rsidR="002246FC">
        <w:t xml:space="preserve">decided to come to peace with the Americans so that, if they did face a revolutionary republican alliance, at least </w:t>
      </w:r>
      <w:r w:rsidR="008B2CFF">
        <w:t>America would not complete the puzzle</w:t>
      </w:r>
      <w:r w:rsidR="00230752">
        <w:rPr>
          <w:rStyle w:val="EndnoteReference"/>
        </w:rPr>
        <w:endnoteReference w:id="66"/>
      </w:r>
      <w:r w:rsidR="002246FC">
        <w:t>.</w:t>
      </w:r>
      <w:r w:rsidR="008D5BB2">
        <w:t xml:space="preserve"> </w:t>
      </w:r>
    </w:p>
    <w:p w14:paraId="5A6D7633" w14:textId="348B5FC0" w:rsidR="00AC6792" w:rsidRDefault="008D5BB2" w:rsidP="00471E09">
      <w:r>
        <w:t xml:space="preserve">Securing an offer of mediation from </w:t>
      </w:r>
      <w:r w:rsidR="00B04194">
        <w:t>Constantine I of Russia</w:t>
      </w:r>
      <w:r w:rsidR="004A5C59">
        <w:rPr>
          <w:rStyle w:val="EndnoteReference"/>
        </w:rPr>
        <w:endnoteReference w:id="67"/>
      </w:r>
      <w:r w:rsidR="00516763">
        <w:t xml:space="preserve"> as 1827 turned to 182</w:t>
      </w:r>
      <w:r w:rsidR="00DA371E">
        <w:t>8</w:t>
      </w:r>
      <w:r w:rsidR="00B04194">
        <w:t xml:space="preserve">, </w:t>
      </w:r>
      <w:r w:rsidR="004A5C59">
        <w:t xml:space="preserve">negotiations out of Petrograd (then St. Petersburg) saw </w:t>
      </w:r>
      <w:r w:rsidR="00F463C6">
        <w:t>both the Americans</w:t>
      </w:r>
      <w:r w:rsidR="00D42623">
        <w:t xml:space="preserve"> under</w:t>
      </w:r>
      <w:r w:rsidR="00F463C6">
        <w:t xml:space="preserve"> Secretary of State Henry Clay and the Spanish under</w:t>
      </w:r>
      <w:r w:rsidR="00D42623">
        <w:t xml:space="preserve"> their minister</w:t>
      </w:r>
      <w:r w:rsidR="00061635">
        <w:t xml:space="preserve"> plenipotentiary</w:t>
      </w:r>
      <w:r w:rsidR="00D42623">
        <w:t xml:space="preserve"> </w:t>
      </w:r>
      <w:r w:rsidR="00D42623" w:rsidRPr="00D42623">
        <w:t>Francisco Dionisio Vives</w:t>
      </w:r>
      <w:r w:rsidR="00D42623">
        <w:t>,</w:t>
      </w:r>
      <w:r w:rsidR="00F463C6">
        <w:t xml:space="preserve"> maintain some maximalist positions</w:t>
      </w:r>
      <w:r w:rsidR="00D42623">
        <w:t>; Clay</w:t>
      </w:r>
      <w:r w:rsidR="00F463C6">
        <w:t xml:space="preserve"> </w:t>
      </w:r>
      <w:r w:rsidR="00D42623">
        <w:t xml:space="preserve">lay claim to not only Luisiana and the </w:t>
      </w:r>
      <w:proofErr w:type="spellStart"/>
      <w:r w:rsidR="00D42623">
        <w:t>Floridas</w:t>
      </w:r>
      <w:proofErr w:type="spellEnd"/>
      <w:r w:rsidR="00D42623">
        <w:t xml:space="preserve">, but also to the Gulf of Mexico down to Matamoros and the Pacific down to San Francisco, while Vives attempted to only cede New Orleans and the </w:t>
      </w:r>
      <w:proofErr w:type="spellStart"/>
      <w:r w:rsidR="00D42623">
        <w:t>Floridas</w:t>
      </w:r>
      <w:proofErr w:type="spellEnd"/>
      <w:r w:rsidR="00D42623">
        <w:t xml:space="preserve">, while maintaining the Mississippi border. </w:t>
      </w:r>
      <w:r w:rsidR="00971290">
        <w:t xml:space="preserve">These maximalist positions eroded over the negotiations, however, and </w:t>
      </w:r>
      <w:r w:rsidR="00D503FA">
        <w:t xml:space="preserve">the eventual treaty ended up granting the US control over Luisiana and the </w:t>
      </w:r>
      <w:proofErr w:type="spellStart"/>
      <w:r w:rsidR="00D503FA">
        <w:t>Floridas</w:t>
      </w:r>
      <w:proofErr w:type="spellEnd"/>
      <w:r w:rsidR="00E100DD">
        <w:t xml:space="preserve"> but requiring it to grant to its new inhabitants the full privileges and immunities of American citizens</w:t>
      </w:r>
      <w:r w:rsidR="00D503FA">
        <w:t xml:space="preserve">; given that it only had partial control of East and almost none over West Florida, the US </w:t>
      </w:r>
      <w:r w:rsidR="009F38E3">
        <w:t>would</w:t>
      </w:r>
      <w:r w:rsidR="00D503FA">
        <w:t xml:space="preserve"> pay the Spanish five hundred thousand dollars</w:t>
      </w:r>
      <w:r w:rsidR="009F38E3">
        <w:t xml:space="preserve"> to secure it</w:t>
      </w:r>
      <w:r w:rsidR="006948F3">
        <w:rPr>
          <w:rStyle w:val="EndnoteReference"/>
        </w:rPr>
        <w:endnoteReference w:id="68"/>
      </w:r>
      <w:r w:rsidR="00A17AE8">
        <w:t>, and it would additionally allow any inhabitants who wished to leave, to leave</w:t>
      </w:r>
      <w:r w:rsidR="004C047C">
        <w:t>, with expenses paid by the United States</w:t>
      </w:r>
      <w:r w:rsidR="00A17AE8">
        <w:t xml:space="preserve"> – this largely meant</w:t>
      </w:r>
      <w:r w:rsidR="002F0041">
        <w:t xml:space="preserve"> the Red Stick faction of the Creek, who had no desire to live under American rule ever again</w:t>
      </w:r>
      <w:r w:rsidR="00BB118A">
        <w:t xml:space="preserve">, would be able to migrate to </w:t>
      </w:r>
      <w:r w:rsidR="00A63A27">
        <w:t>Spain’s</w:t>
      </w:r>
      <w:r w:rsidR="00BB118A">
        <w:t xml:space="preserve"> new buffer of </w:t>
      </w:r>
      <w:r w:rsidR="00DB644A">
        <w:t>Texas</w:t>
      </w:r>
      <w:r w:rsidR="00DA16E9">
        <w:t xml:space="preserve"> without harassment from American authorities</w:t>
      </w:r>
      <w:r w:rsidR="00D503FA">
        <w:t xml:space="preserve">. </w:t>
      </w:r>
      <w:r w:rsidR="00DA16E9">
        <w:t>Together, t</w:t>
      </w:r>
      <w:r w:rsidR="00D503FA">
        <w:t>his</w:t>
      </w:r>
      <w:r w:rsidR="00DA16E9">
        <w:t xml:space="preserve"> peace deal</w:t>
      </w:r>
      <w:r w:rsidR="00D503FA">
        <w:t xml:space="preserve"> more than doubled the size of the United States, although several sticking points such as the precise western boundary of Luisiana would remain unanswered</w:t>
      </w:r>
      <w:r w:rsidR="003A77D7">
        <w:t xml:space="preserve">. And there were still many, Clay </w:t>
      </w:r>
      <w:r w:rsidR="003A77D7">
        <w:lastRenderedPageBreak/>
        <w:t xml:space="preserve">included, who were unsatisfied that it left Texas outside America’s </w:t>
      </w:r>
      <w:proofErr w:type="gramStart"/>
      <w:r w:rsidR="003A77D7">
        <w:t>jurisdiction</w:t>
      </w:r>
      <w:r w:rsidR="00F90AE3">
        <w:t>, and</w:t>
      </w:r>
      <w:proofErr w:type="gramEnd"/>
      <w:r w:rsidR="00F90AE3">
        <w:t xml:space="preserve"> talk of revising the treaty would persist for the next several decades</w:t>
      </w:r>
      <w:r w:rsidR="00D503FA">
        <w:t xml:space="preserve">. </w:t>
      </w:r>
    </w:p>
    <w:p w14:paraId="30220E35" w14:textId="42D9D954" w:rsidR="00913401" w:rsidRDefault="00883577" w:rsidP="00471E09">
      <w:r>
        <w:t xml:space="preserve">Still, when </w:t>
      </w:r>
      <w:r w:rsidR="00A03A2B">
        <w:t>the Treaty of St. Petersburg was offered to Congress, it was met with general enthusiasm. Some would condemn</w:t>
      </w:r>
      <w:r w:rsidR="009F38E3">
        <w:t xml:space="preserve"> the</w:t>
      </w:r>
      <w:r w:rsidR="009C213B">
        <w:t xml:space="preserve"> payment to the Spanish</w:t>
      </w:r>
      <w:r w:rsidR="00AC2AF0">
        <w:t xml:space="preserve"> as rewarding the enemy</w:t>
      </w:r>
      <w:r w:rsidR="009C213B">
        <w:t>, but most agreed with Harrison and Clay that continuing the war would mean spending more than that</w:t>
      </w:r>
      <w:r w:rsidR="003372AD">
        <w:t xml:space="preserve"> – and so it was, on net, a bargain</w:t>
      </w:r>
      <w:r w:rsidR="009C213B">
        <w:t xml:space="preserve">. Additionally, the Republican Party condemned the annexation of territory by treaty as </w:t>
      </w:r>
      <w:r w:rsidR="00DB37D1">
        <w:t>unconstitutional</w:t>
      </w:r>
      <w:r w:rsidR="00FC68BE">
        <w:t>, and indeed in retirement on his plantation James Madison went as far as to write a draft a constitutional amendment for this purpose</w:t>
      </w:r>
      <w:r w:rsidR="0000275D">
        <w:t>, because he believed it was</w:t>
      </w:r>
      <w:r w:rsidR="000229DE">
        <w:t xml:space="preserve"> both</w:t>
      </w:r>
      <w:r w:rsidR="0000275D">
        <w:t xml:space="preserve"> constitutional</w:t>
      </w:r>
      <w:r w:rsidR="000229DE">
        <w:t xml:space="preserve"> and a boon for the United States</w:t>
      </w:r>
      <w:r w:rsidR="00FC68BE">
        <w:t xml:space="preserve">. </w:t>
      </w:r>
      <w:r w:rsidR="008F3AD6">
        <w:t xml:space="preserve">Additionally, several </w:t>
      </w:r>
      <w:proofErr w:type="spellStart"/>
      <w:r w:rsidR="008F3AD6">
        <w:t>Northeasterners</w:t>
      </w:r>
      <w:proofErr w:type="spellEnd"/>
      <w:r w:rsidR="008F3AD6">
        <w:t>, particularly those belonging of what little remained of the Federalist Party, condemned this as stripping power from their states, and even those who supported the incorporation of the new territories worried that it might weaken the United States by dispersing its population</w:t>
      </w:r>
      <w:r w:rsidR="00FE438B">
        <w:t xml:space="preserve"> over a larger area</w:t>
      </w:r>
      <w:r w:rsidR="008F3AD6">
        <w:t xml:space="preserve">. </w:t>
      </w:r>
      <w:r w:rsidR="00FE438B">
        <w:t xml:space="preserve">Despite these grievances though, the treaty was easily passed through Congress with large majorities, </w:t>
      </w:r>
      <w:r w:rsidR="001D1DD3">
        <w:t xml:space="preserve">although </w:t>
      </w:r>
      <w:r w:rsidR="0054016B">
        <w:t>to satisfy constitutional fastidiousness</w:t>
      </w:r>
      <w:r w:rsidR="002A14E5">
        <w:t xml:space="preserve"> and to secure marginal Republican votes</w:t>
      </w:r>
      <w:r w:rsidR="0054016B">
        <w:t xml:space="preserve">, </w:t>
      </w:r>
      <w:r w:rsidR="001D1DD3">
        <w:t xml:space="preserve">Harrison and Clay </w:t>
      </w:r>
      <w:r w:rsidR="0054016B">
        <w:t>declared their support for an amendment</w:t>
      </w:r>
      <w:r w:rsidR="003E70D8">
        <w:t xml:space="preserve"> formally incorporating Luisiana and the </w:t>
      </w:r>
      <w:proofErr w:type="spellStart"/>
      <w:r w:rsidR="003E70D8">
        <w:t>Floridas</w:t>
      </w:r>
      <w:proofErr w:type="spellEnd"/>
      <w:r w:rsidR="009D3E1F">
        <w:t xml:space="preserve"> and broadly stated the territories would be settled slowly</w:t>
      </w:r>
      <w:r w:rsidR="00E015F2">
        <w:t>, which did end up passing in 1829</w:t>
      </w:r>
      <w:r w:rsidR="009C2C29">
        <w:rPr>
          <w:rStyle w:val="EndnoteReference"/>
        </w:rPr>
        <w:endnoteReference w:id="69"/>
      </w:r>
      <w:r w:rsidR="0054016B">
        <w:t xml:space="preserve">. </w:t>
      </w:r>
    </w:p>
    <w:p w14:paraId="58489A72" w14:textId="58B661B3" w:rsidR="00883577" w:rsidRDefault="009D3E1F" w:rsidP="00471E09">
      <w:r>
        <w:t>The Luisiana War had come to an end. The United States</w:t>
      </w:r>
      <w:r w:rsidR="00D12056">
        <w:t xml:space="preserve"> was now at peace – and it was</w:t>
      </w:r>
      <w:r w:rsidR="006841DD">
        <w:t xml:space="preserve"> well over</w:t>
      </w:r>
      <w:r w:rsidR="00D12056">
        <w:t xml:space="preserve"> double the size that it was before. </w:t>
      </w:r>
      <w:r w:rsidR="00913401">
        <w:t xml:space="preserve">Celebrated in its own time as a </w:t>
      </w:r>
      <w:r w:rsidR="00586B35">
        <w:t xml:space="preserve">Second Revolution, securing its independence and doubling its territory, </w:t>
      </w:r>
      <w:r w:rsidR="00D347AD">
        <w:t xml:space="preserve">it </w:t>
      </w:r>
      <w:r w:rsidR="00C37B7B">
        <w:t>additionally</w:t>
      </w:r>
      <w:r w:rsidR="00BB2657">
        <w:t xml:space="preserve"> </w:t>
      </w:r>
      <w:r w:rsidR="008318A6">
        <w:t>made</w:t>
      </w:r>
      <w:r w:rsidR="00BB2657">
        <w:t xml:space="preserve"> the Mississippi</w:t>
      </w:r>
      <w:r w:rsidR="008318A6">
        <w:t xml:space="preserve"> not America’s western bounds</w:t>
      </w:r>
      <w:r w:rsidR="00734F83">
        <w:t xml:space="preserve">, </w:t>
      </w:r>
      <w:r w:rsidR="00965AF7">
        <w:t>a geographic fact which would forever weaken</w:t>
      </w:r>
      <w:r w:rsidR="00734F83">
        <w:t xml:space="preserve"> national cohesion</w:t>
      </w:r>
      <w:r w:rsidR="00207B94">
        <w:t>;</w:t>
      </w:r>
      <w:r w:rsidR="008318A6">
        <w:t xml:space="preserve"> but</w:t>
      </w:r>
      <w:r w:rsidR="00BB2657">
        <w:t xml:space="preserve"> </w:t>
      </w:r>
      <w:r w:rsidR="008318A6">
        <w:t>rather</w:t>
      </w:r>
      <w:r w:rsidR="00BB2657">
        <w:t xml:space="preserve"> </w:t>
      </w:r>
      <w:r w:rsidR="00F66AA3">
        <w:t>its</w:t>
      </w:r>
      <w:r w:rsidR="00BB2657">
        <w:t xml:space="preserve"> </w:t>
      </w:r>
      <w:r w:rsidR="00F216C2">
        <w:t xml:space="preserve">great </w:t>
      </w:r>
      <w:r w:rsidR="00BB2657">
        <w:t>public artery</w:t>
      </w:r>
      <w:r w:rsidR="00685C43">
        <w:t xml:space="preserve"> which would allow for the full exploitation of the Inland Waterways of the nation</w:t>
      </w:r>
      <w:r w:rsidR="008318A6">
        <w:t>,</w:t>
      </w:r>
      <w:r w:rsidR="00BB2657">
        <w:t xml:space="preserve"> and</w:t>
      </w:r>
      <w:r w:rsidR="008318A6">
        <w:t xml:space="preserve"> it</w:t>
      </w:r>
      <w:r w:rsidR="00C37B7B">
        <w:t xml:space="preserve"> ensured </w:t>
      </w:r>
      <w:r w:rsidR="00391D89">
        <w:t xml:space="preserve">the great commercial entrepot of New Orleans would be part of the United States. </w:t>
      </w:r>
      <w:r w:rsidR="000072BC">
        <w:lastRenderedPageBreak/>
        <w:t>And at the end of the day</w:t>
      </w:r>
      <w:r w:rsidR="00AA70E3">
        <w:t>, and perhaps most momentously</w:t>
      </w:r>
      <w:r w:rsidR="000072BC">
        <w:t>, i</w:t>
      </w:r>
      <w:r w:rsidR="000C079E">
        <w:t>t represented the twilight of the first generation of American independence</w:t>
      </w:r>
      <w:r w:rsidR="00220B38">
        <w:t>,</w:t>
      </w:r>
      <w:r w:rsidR="000C079E">
        <w:t xml:space="preserve"> and </w:t>
      </w:r>
      <w:r w:rsidR="00AA2506">
        <w:t>the</w:t>
      </w:r>
      <w:r w:rsidR="000C079E">
        <w:t xml:space="preserve"> dawn of the second</w:t>
      </w:r>
      <w:r w:rsidR="00220B38">
        <w:t>; the passing of Aaron Burr only put a spotlight on this great fact</w:t>
      </w:r>
      <w:r w:rsidR="000C079E">
        <w:t xml:space="preserve">. </w:t>
      </w:r>
      <w:r w:rsidR="00E748CC">
        <w:t xml:space="preserve">The Age of the Founding Fathers had come to an end; the Age of Clay and Webster had begun. </w:t>
      </w:r>
    </w:p>
    <w:p w14:paraId="53FA0310" w14:textId="5CD1EDEE" w:rsidR="00471E09" w:rsidRDefault="00471E09" w:rsidP="00471E09">
      <w:r>
        <w:br w:type="page"/>
      </w:r>
    </w:p>
    <w:p w14:paraId="5C96C2D3" w14:textId="77777777" w:rsidR="00471E09" w:rsidRPr="00BD08C5" w:rsidRDefault="00471E09" w:rsidP="00DB0B9C"/>
    <w:p w14:paraId="2E7F6DAD" w14:textId="77777777" w:rsidR="00DB0B9C" w:rsidRDefault="00DB0B9C" w:rsidP="00DB0B9C">
      <w:pPr>
        <w:sectPr w:rsidR="00DB0B9C" w:rsidSect="00DB0B9C">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99F5EA3" w14:textId="75C5F13D" w:rsidR="00DB0B9C" w:rsidRDefault="00DB0B9C" w:rsidP="00DB0B9C">
      <w:r>
        <w:br w:type="page"/>
      </w:r>
    </w:p>
    <w:p w14:paraId="1734532D" w14:textId="1EF47F8D" w:rsidR="00717A42" w:rsidRDefault="008B3175" w:rsidP="008B3175">
      <w:pPr>
        <w:pStyle w:val="Heading1"/>
      </w:pPr>
      <w:bookmarkStart w:id="19" w:name="_Toc202006213"/>
      <w:r>
        <w:lastRenderedPageBreak/>
        <w:t xml:space="preserve">14. The </w:t>
      </w:r>
      <w:r w:rsidR="00E11B86">
        <w:t>Dawn’s Early Light</w:t>
      </w:r>
      <w:bookmarkEnd w:id="19"/>
    </w:p>
    <w:p w14:paraId="6A75FEBE" w14:textId="3E148DFD" w:rsidR="008B3175" w:rsidRDefault="008B3175" w:rsidP="008B3175">
      <w:r>
        <w:t xml:space="preserve">The end of the Luisiana War, and the great national victory it represented, </w:t>
      </w:r>
      <w:r w:rsidR="003B20D8">
        <w:t xml:space="preserve">only added to the extreme public joy of the era. This had already begun some months before the end of the war, as the Popular Revolution in the British Isles ended </w:t>
      </w:r>
      <w:r w:rsidR="00732391">
        <w:t xml:space="preserve">the House of Guelph – the same that the United States </w:t>
      </w:r>
      <w:r w:rsidR="00D406B3">
        <w:t xml:space="preserve">had </w:t>
      </w:r>
      <w:r w:rsidR="006C2EBF">
        <w:t>been formed in revolution</w:t>
      </w:r>
      <w:r w:rsidR="00732391">
        <w:t xml:space="preserve"> against</w:t>
      </w:r>
      <w:r w:rsidR="006C2EBF">
        <w:t xml:space="preserve"> – and</w:t>
      </w:r>
      <w:r w:rsidR="000376B6">
        <w:t xml:space="preserve"> the monarchy, and</w:t>
      </w:r>
      <w:r w:rsidR="006C2EBF">
        <w:t xml:space="preserve"> this sparked widespread celebration, that the values of the American Revolution had come to London</w:t>
      </w:r>
      <w:r w:rsidR="00732391">
        <w:t xml:space="preserve">. </w:t>
      </w:r>
      <w:r w:rsidR="006C2EBF">
        <w:t xml:space="preserve">This was not a unanimous feeling – </w:t>
      </w:r>
      <w:r w:rsidR="00E01A94">
        <w:t>there were many who viewed the pre-revolutionary British order as the true model for America’s constitution</w:t>
      </w:r>
      <w:r w:rsidR="00B23962">
        <w:t>, with adjustments for</w:t>
      </w:r>
      <w:r w:rsidR="00DC3754">
        <w:t xml:space="preserve"> colonial egalitarianism</w:t>
      </w:r>
      <w:r w:rsidR="00E01A94">
        <w:t xml:space="preserve">, and </w:t>
      </w:r>
      <w:r w:rsidR="00DC3754">
        <w:t>they saw its</w:t>
      </w:r>
      <w:r w:rsidR="00E01A94">
        <w:t xml:space="preserve"> collapse </w:t>
      </w:r>
      <w:r w:rsidR="00DC3754">
        <w:t xml:space="preserve">as a portent for </w:t>
      </w:r>
      <w:r w:rsidR="00367385">
        <w:t>America</w:t>
      </w:r>
      <w:r w:rsidR="00E01A94">
        <w:t>. This largely included Northeastern Federalists, and ex-Federalist Democrats, including no less than Daniel Webster</w:t>
      </w:r>
      <w:r w:rsidR="00D95197">
        <w:t xml:space="preserve">, </w:t>
      </w:r>
      <w:r w:rsidR="00D95197">
        <w:t>and it also included several southern Republicans, particularly those of South Carolin</w:t>
      </w:r>
      <w:r w:rsidR="00D95197">
        <w:t xml:space="preserve">a. </w:t>
      </w:r>
      <w:r w:rsidR="00D95197">
        <w:t>But nevertheless, most Americans cheered the Popular Revolution, regardless of political affiliation</w:t>
      </w:r>
      <w:r w:rsidR="00DA3588">
        <w:t xml:space="preserve"> – indeed, the influence of it in the Northeast</w:t>
      </w:r>
      <w:r w:rsidR="0022716C">
        <w:t>, by far the closest region to the British Isles,</w:t>
      </w:r>
      <w:r w:rsidR="00DA3588">
        <w:t xml:space="preserve"> was such that it motivated Rhode Island to dispose of its established constitution (its former royal charter) and </w:t>
      </w:r>
      <w:r w:rsidR="00813B2F">
        <w:t>begin an era of constitutional reform</w:t>
      </w:r>
      <w:r w:rsidR="00077ED2">
        <w:rPr>
          <w:rStyle w:val="EndnoteReference"/>
        </w:rPr>
        <w:endnoteReference w:id="70"/>
      </w:r>
      <w:r w:rsidR="00D17717">
        <w:t xml:space="preserve"> –</w:t>
      </w:r>
      <w:r w:rsidR="00970A7C">
        <w:t xml:space="preserve"> and Secretary Clay spoke for </w:t>
      </w:r>
      <w:r w:rsidR="004A27A7">
        <w:t>the median American</w:t>
      </w:r>
      <w:r w:rsidR="00970A7C">
        <w:t xml:space="preserve"> when he declared</w:t>
      </w:r>
      <w:r w:rsidR="004A27A7">
        <w:t xml:space="preserve"> of the deposed King Frederick, “</w:t>
      </w:r>
      <w:r w:rsidR="004A27A7" w:rsidRPr="004A27A7">
        <w:t>I have no commiseration for princes. My sympathies are reserved for the great mass of mankind</w:t>
      </w:r>
      <w:r w:rsidR="004A27A7">
        <w:t>”.</w:t>
      </w:r>
      <w:r w:rsidR="00FC3B49">
        <w:t xml:space="preserve"> British immigrants came in huge numbers, and for an entire generation their migration to the United States</w:t>
      </w:r>
      <w:r w:rsidR="00373AE6">
        <w:t xml:space="preserve"> was nothing less than a hose, which</w:t>
      </w:r>
      <w:r w:rsidR="00FC3B49">
        <w:t xml:space="preserve"> dramatically </w:t>
      </w:r>
      <w:r w:rsidR="0012108E">
        <w:t>reshaped</w:t>
      </w:r>
      <w:r w:rsidR="00FC3B49">
        <w:t xml:space="preserve"> the nation</w:t>
      </w:r>
      <w:r w:rsidR="008422F8">
        <w:t>, to the extent that some</w:t>
      </w:r>
      <w:r w:rsidR="006A27B4">
        <w:t xml:space="preserve"> historians</w:t>
      </w:r>
      <w:r w:rsidR="008422F8">
        <w:t xml:space="preserve"> have argued this wave represented </w:t>
      </w:r>
      <w:r w:rsidR="00E6052C">
        <w:t>nothing less than the</w:t>
      </w:r>
      <w:r w:rsidR="008422F8">
        <w:t xml:space="preserve"> recolonization of </w:t>
      </w:r>
      <w:r w:rsidR="00CF756C">
        <w:t>the United States</w:t>
      </w:r>
      <w:r w:rsidR="0020713C">
        <w:rPr>
          <w:rStyle w:val="EndnoteReference"/>
        </w:rPr>
        <w:endnoteReference w:id="71"/>
      </w:r>
      <w:r w:rsidR="00FC3B49">
        <w:t>.</w:t>
      </w:r>
      <w:r w:rsidR="00546317">
        <w:t xml:space="preserve"> </w:t>
      </w:r>
      <w:r w:rsidR="00C74F04">
        <w:t>British</w:t>
      </w:r>
      <w:r w:rsidR="00F858A1">
        <w:t xml:space="preserve"> immigrants</w:t>
      </w:r>
      <w:r w:rsidR="00936EBA">
        <w:t xml:space="preserve"> ended up leading politicians and industrialists</w:t>
      </w:r>
      <w:r w:rsidR="00397DA1">
        <w:t>, they founded newspapers, corporations, and labor unions</w:t>
      </w:r>
      <w:r w:rsidR="00C74F04">
        <w:t>, and</w:t>
      </w:r>
      <w:r w:rsidR="00F858A1">
        <w:t xml:space="preserve"> this sort of human capital boosted forwards the modernization of the American economy.</w:t>
      </w:r>
      <w:r w:rsidR="004A27A7">
        <w:t xml:space="preserve"> </w:t>
      </w:r>
      <w:proofErr w:type="gramStart"/>
      <w:r w:rsidR="004A27A7">
        <w:t>I</w:t>
      </w:r>
      <w:r w:rsidR="006B5C58">
        <w:t>n particular</w:t>
      </w:r>
      <w:r w:rsidR="003F74C0">
        <w:t>,</w:t>
      </w:r>
      <w:r w:rsidR="00D17717">
        <w:t xml:space="preserve"> Irish</w:t>
      </w:r>
      <w:proofErr w:type="gramEnd"/>
      <w:r w:rsidR="006B5C58">
        <w:t xml:space="preserve"> immigrants</w:t>
      </w:r>
      <w:r w:rsidR="00D02C6D">
        <w:t xml:space="preserve"> saw the influential role of famed Irish nationalist</w:t>
      </w:r>
      <w:r w:rsidR="00B30848">
        <w:t xml:space="preserve"> and living martyr</w:t>
      </w:r>
      <w:r w:rsidR="00D02C6D">
        <w:t xml:space="preserve"> Daniel O’Connell in the post-</w:t>
      </w:r>
      <w:r w:rsidR="00D02C6D">
        <w:lastRenderedPageBreak/>
        <w:t>revolutionary government, and they</w:t>
      </w:r>
      <w:r w:rsidR="006B5C58">
        <w:t xml:space="preserve"> cheered </w:t>
      </w:r>
      <w:r w:rsidR="00D02C6D">
        <w:t>when</w:t>
      </w:r>
      <w:r w:rsidR="00D17717">
        <w:t xml:space="preserve"> this new government </w:t>
      </w:r>
      <w:r w:rsidR="0017595A">
        <w:t>enacted measures that, at last</w:t>
      </w:r>
      <w:r w:rsidR="00D17717">
        <w:t xml:space="preserve"> put an end to </w:t>
      </w:r>
      <w:r w:rsidR="006A7E6C">
        <w:t>the</w:t>
      </w:r>
      <w:r w:rsidR="0017595A">
        <w:t xml:space="preserve"> Great</w:t>
      </w:r>
      <w:r w:rsidR="006A7E6C">
        <w:t xml:space="preserve"> </w:t>
      </w:r>
      <w:r w:rsidR="0017595A">
        <w:t>F</w:t>
      </w:r>
      <w:r w:rsidR="006A7E6C">
        <w:t>amine</w:t>
      </w:r>
      <w:r w:rsidR="0017595A">
        <w:t xml:space="preserve"> which so devastated the island</w:t>
      </w:r>
      <w:r w:rsidR="00D17717">
        <w:t xml:space="preserve">. </w:t>
      </w:r>
    </w:p>
    <w:p w14:paraId="39E2FB2B" w14:textId="77777777" w:rsidR="0087692A" w:rsidRDefault="004E70E7" w:rsidP="002437B3">
      <w:r>
        <w:t>By the time the Luisiana War came to an end, this enthusiasm only intensified</w:t>
      </w:r>
      <w:r w:rsidR="00C61256">
        <w:t xml:space="preserve">. </w:t>
      </w:r>
      <w:r w:rsidR="007762A5">
        <w:t xml:space="preserve">Alongside celebration of Britain’s revolution came cheers of the doubling </w:t>
      </w:r>
      <w:r w:rsidR="00310307">
        <w:t>in size</w:t>
      </w:r>
      <w:r w:rsidR="0093655C">
        <w:t xml:space="preserve"> </w:t>
      </w:r>
      <w:r w:rsidR="007762A5">
        <w:t xml:space="preserve">of the American nation, and war heroes such as Stephen Decatur and Zebulon Pike were paraded down </w:t>
      </w:r>
      <w:r w:rsidR="00405B3F">
        <w:t>the streets of the cities of the nation</w:t>
      </w:r>
      <w:r w:rsidR="006124C6">
        <w:t>. President Harrison made a tour across the nation, where he was heralded as the “Washington of the West”</w:t>
      </w:r>
      <w:r w:rsidR="00EB00CC">
        <w:t xml:space="preserve"> </w:t>
      </w:r>
      <w:r w:rsidR="00E56C57">
        <w:t>for the sheer extent of the Luisiana War conquests</w:t>
      </w:r>
      <w:r w:rsidR="007C0C0D">
        <w:t>, and all along his tour, which spanned from the Middle Atlantic states to the West, he received cheers</w:t>
      </w:r>
      <w:r w:rsidR="003E0DB3">
        <w:t xml:space="preserve"> of “Tippecanoe”</w:t>
      </w:r>
      <w:r w:rsidR="007C0C0D">
        <w:t xml:space="preserve"> from crowds of virtually every kind</w:t>
      </w:r>
      <w:r w:rsidR="002F278F">
        <w:t xml:space="preserve"> – even those who once sneered at the Democrats as a vehicle of abolitionism now cheered them as the party of the nation</w:t>
      </w:r>
      <w:r w:rsidR="006435CB">
        <w:t>. And the fallen Burr had become a national martyr, who died for the cause of</w:t>
      </w:r>
      <w:r w:rsidR="00B8105A">
        <w:t xml:space="preserve"> national security and</w:t>
      </w:r>
      <w:r w:rsidR="00CA2B58">
        <w:t xml:space="preserve"> cohesion</w:t>
      </w:r>
      <w:r w:rsidR="00433BB2">
        <w:t>, all his flaws forgotten and replaced with a</w:t>
      </w:r>
      <w:r w:rsidR="00811829">
        <w:t xml:space="preserve"> national hagiography </w:t>
      </w:r>
      <w:r w:rsidR="00433BB2">
        <w:t>which greatly strengthened the Democratic Party</w:t>
      </w:r>
      <w:r w:rsidR="003A0D47">
        <w:t xml:space="preserve">, </w:t>
      </w:r>
      <w:r w:rsidR="00C65D30">
        <w:t>with several statues in his honor unveiled</w:t>
      </w:r>
      <w:r w:rsidR="00696858">
        <w:t xml:space="preserve">. American liberty not only triumphed at home; </w:t>
      </w:r>
      <w:r w:rsidR="00D64CC0">
        <w:t>it</w:t>
      </w:r>
      <w:r w:rsidR="00696858">
        <w:t xml:space="preserve"> triumphed</w:t>
      </w:r>
      <w:r w:rsidR="00D64CC0">
        <w:t xml:space="preserve"> </w:t>
      </w:r>
      <w:r w:rsidR="0093655C">
        <w:t xml:space="preserve">across the pond and </w:t>
      </w:r>
      <w:r w:rsidR="00D64CC0">
        <w:t>over the shore</w:t>
      </w:r>
      <w:r w:rsidR="00E60915">
        <w:t>, and if such a triumphalist narrative required ignoring the millions of slaves, most white Americans did</w:t>
      </w:r>
      <w:r w:rsidR="00405B3F">
        <w:t>.</w:t>
      </w:r>
      <w:r w:rsidR="002437B3">
        <w:t xml:space="preserve"> </w:t>
      </w:r>
    </w:p>
    <w:p w14:paraId="60C98F4B" w14:textId="38DE0E9A" w:rsidR="00162664" w:rsidRDefault="002437B3" w:rsidP="002437B3">
      <w:r>
        <w:t xml:space="preserve">The 1828 election was less an election and more a </w:t>
      </w:r>
      <w:proofErr w:type="gramStart"/>
      <w:r>
        <w:t>coronation</w:t>
      </w:r>
      <w:r w:rsidR="00591D7B">
        <w:t>;</w:t>
      </w:r>
      <w:proofErr w:type="gramEnd"/>
      <w:r w:rsidR="00591D7B">
        <w:t xml:space="preserve"> throwing off any trace of sectionalism by selecting as his running mate </w:t>
      </w:r>
      <w:r w:rsidR="00A872D3">
        <w:t>a well-respected</w:t>
      </w:r>
      <w:r w:rsidR="00591D7B">
        <w:t xml:space="preserve"> South Carolinian</w:t>
      </w:r>
      <w:r w:rsidR="003C6ABE">
        <w:t>,</w:t>
      </w:r>
      <w:r w:rsidR="00591D7B">
        <w:t xml:space="preserve"> William Lowndes</w:t>
      </w:r>
      <w:r w:rsidR="00F561E9">
        <w:t>.</w:t>
      </w:r>
      <w:r>
        <w:t xml:space="preserve"> </w:t>
      </w:r>
      <w:r w:rsidR="00591D7B">
        <w:t xml:space="preserve">Tippecanoe Clubs emerged </w:t>
      </w:r>
      <w:proofErr w:type="gramStart"/>
      <w:r w:rsidR="00591D7B">
        <w:t>all across</w:t>
      </w:r>
      <w:proofErr w:type="gramEnd"/>
      <w:r w:rsidR="00591D7B">
        <w:t xml:space="preserve"> the nation in support of his candidacy, the campaign song “Tippecanoe and Lowndes Too” was heard across the nation, </w:t>
      </w:r>
      <w:r w:rsidR="007171D3">
        <w:t>President</w:t>
      </w:r>
      <w:r>
        <w:t xml:space="preserve"> Harrison received toasts from across the nation</w:t>
      </w:r>
      <w:r w:rsidR="00591D7B">
        <w:t>,</w:t>
      </w:r>
      <w:r>
        <w:t xml:space="preserve"> and</w:t>
      </w:r>
      <w:r w:rsidR="00591D7B">
        <w:t xml:space="preserve"> Harrison</w:t>
      </w:r>
      <w:r>
        <w:t xml:space="preserve"> won the ensuing election </w:t>
      </w:r>
      <w:r w:rsidR="00E72A6E">
        <w:t xml:space="preserve">in a sweeping landslide over </w:t>
      </w:r>
      <w:r w:rsidR="00E44212">
        <w:t xml:space="preserve">the Republicans’ Langdon Cheves and the almost token Federalist campaign of Harrison Gray Otis. </w:t>
      </w:r>
      <w:r w:rsidR="001664B4">
        <w:t>The cheers of national enthusiasm only continued as</w:t>
      </w:r>
      <w:r w:rsidR="006B7798">
        <w:t xml:space="preserve"> the British Isles wrote for itself a new constitution</w:t>
      </w:r>
      <w:r w:rsidR="00BE6B71">
        <w:t xml:space="preserve"> complete with a Charter of Liberty that</w:t>
      </w:r>
      <w:r w:rsidR="0019272D">
        <w:t xml:space="preserve"> seemed only an expansion of the American Bill </w:t>
      </w:r>
      <w:r w:rsidR="0019272D">
        <w:lastRenderedPageBreak/>
        <w:t>of Rights</w:t>
      </w:r>
      <w:r w:rsidR="0080053C">
        <w:t>;</w:t>
      </w:r>
      <w:r w:rsidR="006B7798">
        <w:t xml:space="preserve"> </w:t>
      </w:r>
      <w:r w:rsidR="00CF43F3">
        <w:t xml:space="preserve">although the difference between America’s </w:t>
      </w:r>
      <w:r w:rsidR="003D7669">
        <w:t>model of tripartite</w:t>
      </w:r>
      <w:r w:rsidR="004067E6">
        <w:t xml:space="preserve"> divisions of powers</w:t>
      </w:r>
      <w:r w:rsidR="00CF43F3">
        <w:t xml:space="preserve"> and </w:t>
      </w:r>
      <w:r w:rsidR="00E97004">
        <w:t xml:space="preserve">Britain’s </w:t>
      </w:r>
      <w:r w:rsidR="003D7669">
        <w:t>virtual parliamentary supremacy could not be more stark</w:t>
      </w:r>
      <w:r w:rsidR="0080053C">
        <w:t>, most Americans could not help but celebrate that the values of the American Revolution had been brought home</w:t>
      </w:r>
      <w:r w:rsidR="000A4E21">
        <w:t xml:space="preserve">. </w:t>
      </w:r>
    </w:p>
    <w:p w14:paraId="7DC9707A" w14:textId="2C75B46A" w:rsidR="002437B3" w:rsidRDefault="00C71E09" w:rsidP="002437B3">
      <w:r>
        <w:t xml:space="preserve">And seeking to prevent the issue of the expansion of slavery from </w:t>
      </w:r>
      <w:r w:rsidR="00572B2A">
        <w:t>emerging</w:t>
      </w:r>
      <w:r>
        <w:t xml:space="preserve"> again, </w:t>
      </w:r>
      <w:r w:rsidR="00572B2A">
        <w:t>Harrison and Clay took full advantage of the public mood whe</w:t>
      </w:r>
      <w:r w:rsidR="00A36CD8">
        <w:t xml:space="preserve">n, along with the 1829 constitutional amendment including Luisiana and the </w:t>
      </w:r>
      <w:proofErr w:type="spellStart"/>
      <w:r w:rsidR="00A36CD8">
        <w:t>Floridas</w:t>
      </w:r>
      <w:proofErr w:type="spellEnd"/>
      <w:r w:rsidR="00A36CD8">
        <w:t xml:space="preserve"> into the Union and segmenting it </w:t>
      </w:r>
      <w:r w:rsidR="00BF3BB5">
        <w:t xml:space="preserve">into three </w:t>
      </w:r>
      <w:r w:rsidR="00A36CD8">
        <w:t xml:space="preserve">for structured settlement, </w:t>
      </w:r>
      <w:r w:rsidR="005F3CA1">
        <w:t xml:space="preserve">they also passed a law </w:t>
      </w:r>
      <w:r w:rsidR="00052698">
        <w:t>dividing the most easterly segment</w:t>
      </w:r>
      <w:r w:rsidR="005F3CA1">
        <w:t xml:space="preserve"> three different territories</w:t>
      </w:r>
      <w:r w:rsidR="00052698">
        <w:t>, which would be</w:t>
      </w:r>
      <w:r w:rsidR="00BF3BB5">
        <w:t xml:space="preserve"> opened to settlement:</w:t>
      </w:r>
      <w:r w:rsidR="005F3CA1">
        <w:t xml:space="preserve"> namely Orleans, out of the former Lower Luisiana and a state for its Franco-Spanish Creole population; </w:t>
      </w:r>
      <w:proofErr w:type="spellStart"/>
      <w:r w:rsidR="005F3CA1">
        <w:t>Arcansa</w:t>
      </w:r>
      <w:proofErr w:type="spellEnd"/>
      <w:r w:rsidR="005F3CA1">
        <w:t xml:space="preserve">, out of the land to its north for </w:t>
      </w:r>
      <w:r w:rsidR="00005390">
        <w:t xml:space="preserve">Anglo settlement; and Missouri, of the remainder. </w:t>
      </w:r>
      <w:r w:rsidR="00F70C8B">
        <w:t xml:space="preserve">Into Orleans and </w:t>
      </w:r>
      <w:proofErr w:type="spellStart"/>
      <w:r w:rsidR="00F70C8B">
        <w:t>Arcansa</w:t>
      </w:r>
      <w:proofErr w:type="spellEnd"/>
      <w:r w:rsidR="00F70C8B">
        <w:t xml:space="preserve"> Territories, slavery would be fully legal, while in Missouri, further introduction of slaves would not. </w:t>
      </w:r>
      <w:r w:rsidR="00AB2772">
        <w:t>Though this caused some controversy</w:t>
      </w:r>
      <w:r w:rsidR="00AE0210">
        <w:t xml:space="preserve">, the national mood was such that this was hardly noticed, the South seeing this as giving it plenty of room to expand and the North of </w:t>
      </w:r>
      <w:r w:rsidR="00162664">
        <w:t xml:space="preserve">it closing most of Luisiana to slavery. </w:t>
      </w:r>
      <w:r w:rsidR="00A80CA8">
        <w:t xml:space="preserve">That slavery had already made its way into Luisiana under Spanish rule, </w:t>
      </w:r>
      <w:r w:rsidR="007141EE">
        <w:t>had</w:t>
      </w:r>
      <w:r w:rsidR="00A80CA8">
        <w:t xml:space="preserve"> meant that</w:t>
      </w:r>
      <w:r w:rsidR="00C21D25">
        <w:t xml:space="preserve"> the organization of </w:t>
      </w:r>
      <w:proofErr w:type="spellStart"/>
      <w:r w:rsidR="00C21D25">
        <w:t>Arcansa</w:t>
      </w:r>
      <w:proofErr w:type="spellEnd"/>
      <w:r w:rsidR="00C21D25">
        <w:t xml:space="preserve"> and Orleans as slave territories did not mean the introduction of slavery into what most Americans would have regarded as </w:t>
      </w:r>
      <w:r w:rsidR="00EE0C09">
        <w:t>“</w:t>
      </w:r>
      <w:r w:rsidR="00C21D25">
        <w:t>virgin land</w:t>
      </w:r>
      <w:r w:rsidR="00EE0C09">
        <w:t>”</w:t>
      </w:r>
      <w:r w:rsidR="00C21D25">
        <w:t xml:space="preserve">, </w:t>
      </w:r>
      <w:r w:rsidR="00EE0C09">
        <w:t>which further prevented</w:t>
      </w:r>
      <w:r w:rsidR="004537B6">
        <w:t xml:space="preserve"> a sort of antislavery </w:t>
      </w:r>
      <w:r w:rsidR="0087692A">
        <w:t>backlash; furthermore, Franco-Spanish Creole elites in Orleans itself</w:t>
      </w:r>
      <w:r w:rsidR="00FC4016">
        <w:t xml:space="preserve">, whose allegiance to the Union may have been weak in other circumstances, </w:t>
      </w:r>
      <w:r w:rsidR="007D5410">
        <w:t>cheered on the protection of their institution</w:t>
      </w:r>
      <w:r w:rsidR="0028585B">
        <w:t>.</w:t>
      </w:r>
      <w:r w:rsidR="00A80CA8">
        <w:t xml:space="preserve"> </w:t>
      </w:r>
      <w:r w:rsidR="00162664">
        <w:t>Additionally, both regarded this</w:t>
      </w:r>
      <w:r w:rsidR="00071E0B">
        <w:t>, a mere law,</w:t>
      </w:r>
      <w:r w:rsidR="00162664">
        <w:t xml:space="preserve"> as a merely temporary settlement – and </w:t>
      </w:r>
      <w:r w:rsidR="00490703">
        <w:t>though there were many</w:t>
      </w:r>
      <w:r w:rsidR="00AF49C3">
        <w:t xml:space="preserve"> who instead spoke of it as</w:t>
      </w:r>
      <w:r w:rsidR="00490703">
        <w:t xml:space="preserve"> an unamendable compact</w:t>
      </w:r>
      <w:r w:rsidR="00162664">
        <w:t xml:space="preserve">, </w:t>
      </w:r>
      <w:r w:rsidR="00490703">
        <w:t>that it was a mere law,</w:t>
      </w:r>
      <w:r w:rsidR="00162664">
        <w:t xml:space="preserve"> would come to be a most critical portent. </w:t>
      </w:r>
    </w:p>
    <w:p w14:paraId="788C32F4" w14:textId="4CE33F1E" w:rsidR="003C1CE0" w:rsidRDefault="00DD40BF" w:rsidP="00DE7E1E">
      <w:r>
        <w:t>T</w:t>
      </w:r>
      <w:r w:rsidR="004D0078">
        <w:t xml:space="preserve">he Popular Revolution had brought peace </w:t>
      </w:r>
      <w:r>
        <w:t xml:space="preserve">between Britain and France, and this allowed for </w:t>
      </w:r>
      <w:r w:rsidR="001B6BCF">
        <w:t>both to trade with the United States</w:t>
      </w:r>
      <w:r w:rsidR="00C772E8">
        <w:t xml:space="preserve"> in huge volumes</w:t>
      </w:r>
      <w:r w:rsidR="00146992">
        <w:t xml:space="preserve">. Indeed, from the British Isles </w:t>
      </w:r>
      <w:proofErr w:type="gramStart"/>
      <w:r w:rsidR="00146992">
        <w:t xml:space="preserve">in particular </w:t>
      </w:r>
      <w:r w:rsidR="00146992">
        <w:lastRenderedPageBreak/>
        <w:t>came</w:t>
      </w:r>
      <w:proofErr w:type="gramEnd"/>
      <w:r w:rsidR="00146992">
        <w:t xml:space="preserve"> a massive boom in trade, as suddenly cut off from its continental markets</w:t>
      </w:r>
      <w:r w:rsidR="009158E4">
        <w:t>, it instead sought to make up for it through trade with the United States</w:t>
      </w:r>
      <w:r w:rsidR="002C3D81">
        <w:t>, which boomed massively in the years that followed</w:t>
      </w:r>
      <w:r w:rsidR="002C3D81">
        <w:rPr>
          <w:rStyle w:val="EndnoteReference"/>
        </w:rPr>
        <w:endnoteReference w:id="72"/>
      </w:r>
      <w:r>
        <w:t xml:space="preserve">. </w:t>
      </w:r>
      <w:r w:rsidR="0069573D">
        <w:t xml:space="preserve">American grain markets saw themselves dramatically expand, </w:t>
      </w:r>
      <w:r w:rsidR="004A066D">
        <w:t>and the 1830s and 40s saw the West rapidly boom</w:t>
      </w:r>
      <w:r w:rsidR="007749F0">
        <w:t xml:space="preserve"> as</w:t>
      </w:r>
      <w:r w:rsidR="00A25467">
        <w:t xml:space="preserve"> its grain suddenly</w:t>
      </w:r>
      <w:r w:rsidR="00475B1E">
        <w:t xml:space="preserve"> made its way into the mouths of hungry Britons</w:t>
      </w:r>
      <w:r w:rsidR="00E20318">
        <w:t>.</w:t>
      </w:r>
      <w:r w:rsidR="00711F4E">
        <w:t xml:space="preserve"> </w:t>
      </w:r>
      <w:r w:rsidR="00E20318">
        <w:t>I</w:t>
      </w:r>
      <w:r w:rsidR="00711F4E">
        <w:t>ndeed, many historians believe that, more than anything, American grain</w:t>
      </w:r>
      <w:r w:rsidR="007748B0">
        <w:t>, and its export onto British markets,</w:t>
      </w:r>
      <w:r w:rsidR="00711F4E">
        <w:t xml:space="preserve"> fuelled </w:t>
      </w:r>
      <w:r w:rsidR="00386903">
        <w:t>American commercial</w:t>
      </w:r>
      <w:r w:rsidR="00711F4E">
        <w:t xml:space="preserve"> expansion</w:t>
      </w:r>
      <w:r w:rsidR="00386903">
        <w:t xml:space="preserve"> and the push of the frontier westwards</w:t>
      </w:r>
      <w:r w:rsidR="00711F4E">
        <w:t>. In short succession also came</w:t>
      </w:r>
      <w:r w:rsidR="003A1DE7">
        <w:t xml:space="preserve"> American cotton and sugar onto British markets</w:t>
      </w:r>
      <w:r w:rsidR="001717F7">
        <w:t>, fostered by the expansion of the United States across the Mississippi</w:t>
      </w:r>
      <w:r w:rsidR="00475B1E">
        <w:t>.</w:t>
      </w:r>
      <w:r w:rsidR="0069573D">
        <w:t xml:space="preserve"> </w:t>
      </w:r>
      <w:r w:rsidR="002D0B58">
        <w:t>A fraction of th</w:t>
      </w:r>
      <w:r w:rsidR="001717F7">
        <w:t xml:space="preserve">ese exports </w:t>
      </w:r>
      <w:r w:rsidR="002D0B58">
        <w:t xml:space="preserve">was also </w:t>
      </w:r>
      <w:r w:rsidR="004449CB">
        <w:t>sent</w:t>
      </w:r>
      <w:r w:rsidR="002D0B58">
        <w:t xml:space="preserve"> to France, but it was notably far smaller</w:t>
      </w:r>
      <w:r w:rsidR="00A95861">
        <w:t>; commercial ties between America and Britain</w:t>
      </w:r>
      <w:r w:rsidR="00076E9D">
        <w:t xml:space="preserve">, already </w:t>
      </w:r>
      <w:r w:rsidR="00AB0F19">
        <w:t>strong</w:t>
      </w:r>
      <w:r w:rsidR="00076E9D">
        <w:t xml:space="preserve"> thanks to</w:t>
      </w:r>
      <w:r w:rsidR="00AB0F19">
        <w:t xml:space="preserve"> old colonial links and the great fact of a common language</w:t>
      </w:r>
      <w:r w:rsidR="00A95861">
        <w:t xml:space="preserve"> were only fostered by the Popular Revolution</w:t>
      </w:r>
      <w:r w:rsidR="00BC2FF2">
        <w:t>, while in contrast France focused itself on self-sufficiency on a continent which was hostile to its own interests</w:t>
      </w:r>
      <w:r w:rsidR="00A95861">
        <w:t xml:space="preserve">. </w:t>
      </w:r>
      <w:r w:rsidR="00AB0F19">
        <w:t xml:space="preserve">The expansion of American </w:t>
      </w:r>
      <w:proofErr w:type="spellStart"/>
      <w:r w:rsidR="00AB0F19">
        <w:t>settlerism</w:t>
      </w:r>
      <w:proofErr w:type="spellEnd"/>
      <w:r w:rsidR="00AB0F19">
        <w:t xml:space="preserve"> was only fostered by the growth of this new zone of export. </w:t>
      </w:r>
    </w:p>
    <w:p w14:paraId="4B3C127E" w14:textId="7FC7E860" w:rsidR="00DE7E1E" w:rsidRDefault="001B6BCF" w:rsidP="00DE7E1E">
      <w:r>
        <w:t>However,</w:t>
      </w:r>
      <w:r w:rsidR="003A1DE7">
        <w:t xml:space="preserve"> it was only raw goods that benefited, on the American side, from this free trade;</w:t>
      </w:r>
      <w:r>
        <w:t xml:space="preserve"> </w:t>
      </w:r>
      <w:r w:rsidR="0075199B">
        <w:t xml:space="preserve">cheap goods produced in the mature industrial cities of Manchester and Birmingham, and </w:t>
      </w:r>
      <w:r w:rsidR="004B1591">
        <w:t xml:space="preserve">even beyond that from </w:t>
      </w:r>
      <w:r w:rsidR="0075199B">
        <w:t xml:space="preserve">Lille and Aix-la-Chapelle, suddenly swamped American markets. This came </w:t>
      </w:r>
      <w:r w:rsidR="004C136A">
        <w:t>at the expense o</w:t>
      </w:r>
      <w:r w:rsidR="00DE779A">
        <w:t>f American industry, which found itself unable to compete</w:t>
      </w:r>
      <w:r w:rsidR="007E619A">
        <w:t xml:space="preserve"> against all these new goods</w:t>
      </w:r>
      <w:r w:rsidR="004907F0">
        <w:t>, produced with superior industrial techniques and having achieved maturity in an era where the United States merely had infant industry</w:t>
      </w:r>
      <w:r w:rsidR="00DE779A">
        <w:t xml:space="preserve">. This led to </w:t>
      </w:r>
      <w:r w:rsidR="007E619A">
        <w:t xml:space="preserve">the </w:t>
      </w:r>
      <w:r w:rsidR="00F84FFC">
        <w:t>passage</w:t>
      </w:r>
      <w:r w:rsidR="007E619A">
        <w:t xml:space="preserve"> of the Tariff of 1828,</w:t>
      </w:r>
      <w:r w:rsidR="0038134F">
        <w:t xml:space="preserve"> less to make a windfall of revenue and more</w:t>
      </w:r>
      <w:r w:rsidR="007E619A">
        <w:t xml:space="preserve"> in the name of protecting American industry</w:t>
      </w:r>
      <w:r w:rsidR="0038134F">
        <w:t>, in what was a first for the United States</w:t>
      </w:r>
      <w:r w:rsidR="007E619A">
        <w:t xml:space="preserve">; however, </w:t>
      </w:r>
      <w:r w:rsidR="00ED1415">
        <w:t>this in turn led to</w:t>
      </w:r>
      <w:r w:rsidR="000B03C8">
        <w:t xml:space="preserve"> the emergence of sectional tensions, as the North supported the tariff to protect (largely northern) industry, while the South opposed it as an attack on its plantation economy</w:t>
      </w:r>
      <w:r w:rsidR="00C737BD">
        <w:t>.</w:t>
      </w:r>
      <w:r w:rsidR="00E93AC8">
        <w:t xml:space="preserve"> </w:t>
      </w:r>
      <w:r w:rsidR="00C737BD">
        <w:t>T</w:t>
      </w:r>
      <w:r w:rsidR="00E93AC8">
        <w:t xml:space="preserve">his wasn’t a total sectional division, as </w:t>
      </w:r>
      <w:r w:rsidR="00001D1F">
        <w:t>less industrial parts of the North</w:t>
      </w:r>
      <w:r w:rsidR="00E12F82">
        <w:t>, most especially New England</w:t>
      </w:r>
      <w:r w:rsidR="000B62E1">
        <w:t>’s prominent shipping industry</w:t>
      </w:r>
      <w:r w:rsidR="00E12F82">
        <w:t>,</w:t>
      </w:r>
      <w:r w:rsidR="00001D1F">
        <w:t xml:space="preserve"> were lukewarm on the </w:t>
      </w:r>
      <w:r w:rsidR="00001D1F">
        <w:lastRenderedPageBreak/>
        <w:t>tariff</w:t>
      </w:r>
      <w:r w:rsidR="00C737BD">
        <w:t>;</w:t>
      </w:r>
      <w:r w:rsidR="00001D1F">
        <w:t xml:space="preserve"> and</w:t>
      </w:r>
      <w:r w:rsidR="00C737BD">
        <w:t xml:space="preserve"> in the South sugar interests supported the tariff and several </w:t>
      </w:r>
      <w:proofErr w:type="spellStart"/>
      <w:r w:rsidR="00C737BD">
        <w:t>Southwesterners</w:t>
      </w:r>
      <w:proofErr w:type="spellEnd"/>
      <w:r w:rsidR="00C737BD">
        <w:t>, most especially</w:t>
      </w:r>
      <w:r w:rsidR="00001D1F">
        <w:t xml:space="preserve"> </w:t>
      </w:r>
      <w:r w:rsidR="00C737BD">
        <w:t>the Kentuckian Henry Clay, supported it out of economic nationalism</w:t>
      </w:r>
      <w:r w:rsidR="000B03C8">
        <w:t>. In the years that followed,</w:t>
      </w:r>
      <w:r w:rsidR="004B477E">
        <w:t xml:space="preserve"> large sections of</w:t>
      </w:r>
      <w:r w:rsidR="000B03C8">
        <w:t xml:space="preserve"> the South, especially South Carolina, became increasingly frantic in its opposition to the tariff</w:t>
      </w:r>
      <w:r w:rsidR="004B477E">
        <w:t xml:space="preserve">, which </w:t>
      </w:r>
      <w:r w:rsidR="00DE7E1E">
        <w:t xml:space="preserve">they blamed for their economic decline, and indeed they went so far as to condemn protectionism as unconstitutional. </w:t>
      </w:r>
      <w:r w:rsidR="00F959EF">
        <w:t xml:space="preserve">This brewing crisis remained on the backburner, however, and </w:t>
      </w:r>
      <w:r w:rsidR="00192360">
        <w:t xml:space="preserve">the vice president represented a South Carolinian effort to calm tensions over the tariff. </w:t>
      </w:r>
    </w:p>
    <w:p w14:paraId="6720535F" w14:textId="60B471C4" w:rsidR="00202288" w:rsidRDefault="00202288" w:rsidP="00DE7E1E">
      <w:r>
        <w:t>Additionally emerged a growing panic over the rising influence of Catholics</w:t>
      </w:r>
      <w:r w:rsidR="00747CAB">
        <w:t xml:space="preserve">; hardly a new phenomenon, that the Harrison administration was readying to incorporate </w:t>
      </w:r>
      <w:r w:rsidR="00FA57B5">
        <w:t xml:space="preserve">Lower Luisiana as the state of </w:t>
      </w:r>
      <w:r w:rsidR="00747CAB">
        <w:t>Orleans, with its Catholic and Franco-Spanish majority</w:t>
      </w:r>
      <w:r w:rsidR="001918EB">
        <w:t xml:space="preserve"> able to flex its muscles on the national stage,</w:t>
      </w:r>
      <w:r w:rsidR="00747CAB">
        <w:t xml:space="preserve"> only escalated xenophobic fears that some immigrant-papist conspiracy was plotting to destroy American liberty. So emerged the Anti-Catholic Party, with </w:t>
      </w:r>
      <w:proofErr w:type="gramStart"/>
      <w:r w:rsidR="00747CAB">
        <w:t>particular strength</w:t>
      </w:r>
      <w:proofErr w:type="gramEnd"/>
      <w:r w:rsidR="00747CAB">
        <w:t xml:space="preserve"> in the old Puritan heartland of New England. Absorbing the remnants of the Federalists and free of the taint of Hamiltonian treason</w:t>
      </w:r>
      <w:r w:rsidR="008F5928">
        <w:t>, it combined them with a new and more youthful class of politicians;</w:t>
      </w:r>
      <w:r w:rsidR="00FA57B5">
        <w:t xml:space="preserve"> its </w:t>
      </w:r>
      <w:r w:rsidR="004A4605">
        <w:t>fearmongering of a “Hiberno-Spanish” Catholic conspiracy</w:t>
      </w:r>
      <w:r w:rsidR="00057579">
        <w:t>, which inspired mass popular appeal,</w:t>
      </w:r>
      <w:r w:rsidR="004A4605">
        <w:t xml:space="preserve"> turning into</w:t>
      </w:r>
      <w:r w:rsidR="008E684A">
        <w:t xml:space="preserve"> a mode of politicking ready for the age of democracy</w:t>
      </w:r>
      <w:r w:rsidR="00747CAB">
        <w:t xml:space="preserve">, it quickly became the main opposition to the Democratic Party in </w:t>
      </w:r>
      <w:r w:rsidR="007043FD">
        <w:t>the Northeast and at least a force to be reckoned with in Ohio and Pennsylvania</w:t>
      </w:r>
      <w:r w:rsidR="00343B50">
        <w:t>. In the South though, it fused easily into the Republican Party, further fortifying its position</w:t>
      </w:r>
      <w:r w:rsidR="003A3F4C">
        <w:t xml:space="preserve"> in the nation at large</w:t>
      </w:r>
      <w:r w:rsidR="008807C1">
        <w:t>. In the act</w:t>
      </w:r>
      <w:r w:rsidR="0051148D">
        <w:t xml:space="preserve"> of its expansion</w:t>
      </w:r>
      <w:r w:rsidR="008807C1">
        <w:t>, its original politics became diluted as</w:t>
      </w:r>
      <w:r w:rsidR="00743E49">
        <w:t xml:space="preserve"> it became joined by</w:t>
      </w:r>
      <w:r w:rsidR="008807C1">
        <w:t xml:space="preserve"> politicians who </w:t>
      </w:r>
      <w:r w:rsidR="00743E49">
        <w:t>simply sought to ride the popular anger of the xenophobic mob as a vehicle to power</w:t>
      </w:r>
      <w:r w:rsidR="00B41416">
        <w:t>; perhaps the best-known example of this is John Quincy Adams,</w:t>
      </w:r>
      <w:r w:rsidR="0088258B">
        <w:t xml:space="preserve"> an old Federalist-</w:t>
      </w:r>
      <w:r w:rsidR="00B41416">
        <w:t xml:space="preserve"> who</w:t>
      </w:r>
      <w:r w:rsidR="0088258B">
        <w:t xml:space="preserve"> switched parties to </w:t>
      </w:r>
      <w:r w:rsidR="00B41416">
        <w:t>le</w:t>
      </w:r>
      <w:r w:rsidR="0088258B">
        <w:t>a</w:t>
      </w:r>
      <w:r w:rsidR="00B41416">
        <w:t>d the Anti-Catholics to power</w:t>
      </w:r>
      <w:r w:rsidR="004C042A">
        <w:t xml:space="preserve"> as Governor of Massachusetts in 1833</w:t>
      </w:r>
      <w:r w:rsidR="00D04348">
        <w:rPr>
          <w:rStyle w:val="EndnoteReference"/>
        </w:rPr>
        <w:endnoteReference w:id="73"/>
      </w:r>
      <w:r w:rsidR="007043FD">
        <w:t xml:space="preserve">. </w:t>
      </w:r>
    </w:p>
    <w:p w14:paraId="71AD8500" w14:textId="01749B2B" w:rsidR="00CB70CD" w:rsidRDefault="00F14B67" w:rsidP="00DE7E1E">
      <w:r>
        <w:lastRenderedPageBreak/>
        <w:t xml:space="preserve">However, this </w:t>
      </w:r>
      <w:r w:rsidR="00643AD1">
        <w:t xml:space="preserve">new </w:t>
      </w:r>
      <w:r>
        <w:t xml:space="preserve">northern </w:t>
      </w:r>
      <w:proofErr w:type="spellStart"/>
      <w:r>
        <w:t>opposition</w:t>
      </w:r>
      <w:r w:rsidR="00643AD1">
        <w:t>ism</w:t>
      </w:r>
      <w:proofErr w:type="spellEnd"/>
      <w:r>
        <w:t xml:space="preserve"> was but a sideshow to the rise of </w:t>
      </w:r>
      <w:r w:rsidR="00643AD1">
        <w:t>southern sectionalism in the era</w:t>
      </w:r>
      <w:r w:rsidR="001E5794">
        <w:t>, representative of that great fact that politics was realigning and evolving in a new direction</w:t>
      </w:r>
      <w:r w:rsidR="00CB70CD">
        <w:t xml:space="preserve">. It would </w:t>
      </w:r>
      <w:r w:rsidR="00367829">
        <w:t>dramatically escalate</w:t>
      </w:r>
      <w:r w:rsidR="00CB70CD">
        <w:t xml:space="preserve"> from the most curious of places – it would come from the British Isles, and its revolutionary abolitionism</w:t>
      </w:r>
      <w:r w:rsidR="00643AD1">
        <w:t xml:space="preserve">. </w:t>
      </w:r>
    </w:p>
    <w:p w14:paraId="7D24788D" w14:textId="77777777" w:rsidR="00CB70CD" w:rsidRDefault="00CB70CD" w:rsidP="00CB70CD">
      <w:r>
        <w:br w:type="page"/>
      </w:r>
    </w:p>
    <w:p w14:paraId="7B31B899" w14:textId="77777777" w:rsidR="00CB70CD" w:rsidRPr="008B3175" w:rsidRDefault="00CB70CD" w:rsidP="00CB70CD"/>
    <w:p w14:paraId="3D83BDB1" w14:textId="77777777" w:rsidR="00CB70CD" w:rsidRDefault="00CB70CD" w:rsidP="00CB70CD">
      <w:pPr>
        <w:sectPr w:rsidR="00CB70CD" w:rsidSect="00CB70CD">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0583899" w14:textId="77777777" w:rsidR="007D5BC4" w:rsidRDefault="00CB70CD" w:rsidP="007D5BC4">
      <w:r>
        <w:br w:type="page"/>
      </w:r>
    </w:p>
    <w:p w14:paraId="39E4CA09" w14:textId="774A010F" w:rsidR="007D5BC4" w:rsidRDefault="007D5BC4" w:rsidP="007D5BC4">
      <w:pPr>
        <w:pStyle w:val="Heading1"/>
      </w:pPr>
      <w:bookmarkStart w:id="20" w:name="_Toc202006214"/>
      <w:r>
        <w:lastRenderedPageBreak/>
        <w:t>1</w:t>
      </w:r>
      <w:r w:rsidR="00C50F3C">
        <w:t>5</w:t>
      </w:r>
      <w:r>
        <w:t>. The American System</w:t>
      </w:r>
      <w:bookmarkEnd w:id="20"/>
    </w:p>
    <w:p w14:paraId="52D741C1" w14:textId="2153D6EE" w:rsidR="00547ED0" w:rsidRDefault="003B06A5" w:rsidP="007D5BC4">
      <w:r>
        <w:t xml:space="preserve">Coming at the end of </w:t>
      </w:r>
      <w:r w:rsidR="00BE2265">
        <w:t xml:space="preserve">a long period of </w:t>
      </w:r>
      <w:r w:rsidR="00032587">
        <w:t>party conflict and disorder, in which the very principles of government became</w:t>
      </w:r>
      <w:r w:rsidR="00D661D3">
        <w:t xml:space="preserve"> the dividing line of faction, the </w:t>
      </w:r>
      <w:proofErr w:type="spellStart"/>
      <w:r w:rsidR="00DA5E60">
        <w:t>windrush</w:t>
      </w:r>
      <w:proofErr w:type="spellEnd"/>
      <w:r w:rsidR="00DA5E60">
        <w:t xml:space="preserve"> of nationalism that came after the Luisiana War allowed for </w:t>
      </w:r>
      <w:r w:rsidR="00A83F13">
        <w:t xml:space="preserve">a brief period where all </w:t>
      </w:r>
      <w:r w:rsidR="00780CBE">
        <w:t xml:space="preserve">politicians </w:t>
      </w:r>
      <w:r w:rsidR="00A83F13">
        <w:t xml:space="preserve">sought to </w:t>
      </w:r>
      <w:r w:rsidR="00780CBE">
        <w:t>establish a national unity</w:t>
      </w:r>
      <w:r w:rsidR="00C877EC">
        <w:t xml:space="preserve"> which would transcend the division of faction</w:t>
      </w:r>
      <w:r w:rsidR="00780CBE">
        <w:t xml:space="preserve">. </w:t>
      </w:r>
      <w:r w:rsidR="00854673">
        <w:t>Within this came Secretary of State Henry Clay</w:t>
      </w:r>
      <w:r w:rsidR="006371BB">
        <w:t>, who sought to and successfully did seize the moment</w:t>
      </w:r>
      <w:r w:rsidR="00ED6510">
        <w:t>, and he successfully turned himself into one of the leading personalities of the entire</w:t>
      </w:r>
      <w:r w:rsidR="003B772B">
        <w:t xml:space="preserve"> era – despite never having been president</w:t>
      </w:r>
      <w:r w:rsidR="00854673">
        <w:t xml:space="preserve">. </w:t>
      </w:r>
    </w:p>
    <w:p w14:paraId="19279D81" w14:textId="011A200F" w:rsidR="007D5BC4" w:rsidRDefault="00854673" w:rsidP="007D5BC4">
      <w:r>
        <w:t xml:space="preserve">Born in Virginia, </w:t>
      </w:r>
      <w:r w:rsidR="006371BB">
        <w:t xml:space="preserve">upon adulthood </w:t>
      </w:r>
      <w:r>
        <w:t>Clay made his way to Kentucky</w:t>
      </w:r>
      <w:r w:rsidR="00E958B3">
        <w:t xml:space="preserve">, where he became a leading frontier lawyer. </w:t>
      </w:r>
      <w:r w:rsidR="00547ED0">
        <w:t xml:space="preserve">At this early age, he supported emancipation and wanted the state to abolish slavery; he failed, however, and in the decades that followed his antislavery principles became buried behind his ownership of slaves and </w:t>
      </w:r>
      <w:r w:rsidR="00D41C12">
        <w:t xml:space="preserve">the growth of his plantation. </w:t>
      </w:r>
      <w:r w:rsidR="005077FB">
        <w:t xml:space="preserve">But becoming a leading Republican, he successfully won election to the Kentucky House of Representatives; winning election to the Senate for </w:t>
      </w:r>
      <w:r w:rsidR="006578BA">
        <w:t>three</w:t>
      </w:r>
      <w:r w:rsidR="005077FB">
        <w:t xml:space="preserve"> months in 1806-7 he </w:t>
      </w:r>
      <w:r w:rsidR="006578BA">
        <w:t xml:space="preserve">foreshadowed his later career by being an intrepid and diehard supporter of internal improvements. This was a quite popular stance in the West; Kentucky at this point almost unanimously supported </w:t>
      </w:r>
      <w:r w:rsidR="00E22EB2">
        <w:t xml:space="preserve">new roads and canals, </w:t>
      </w:r>
      <w:r w:rsidR="00F365CD">
        <w:t xml:space="preserve">as they would be necessary for its economic growth, and in any </w:t>
      </w:r>
      <w:proofErr w:type="gramStart"/>
      <w:r w:rsidR="00F365CD">
        <w:t>case</w:t>
      </w:r>
      <w:proofErr w:type="gramEnd"/>
      <w:r w:rsidR="00F365CD">
        <w:t xml:space="preserve"> it didn’t have the tax base to construct them by itself. This rupture with traditional Republican values led him to</w:t>
      </w:r>
      <w:r w:rsidR="00E86BAB">
        <w:t xml:space="preserve"> become a leading supporter of Aaron Burr when he became a Senator again from 1810-11, and after 1811 a congressman, as he was very ready to sponsor internal improvements across the nation as well as the tariffs required to fund them; however, and this is ironic given</w:t>
      </w:r>
      <w:r w:rsidR="0039136E">
        <w:t xml:space="preserve"> his later politics, he opposed Burr’s attempt to reform the National Bank on the basis of it being unconstitutional. </w:t>
      </w:r>
      <w:r w:rsidR="006C0B10">
        <w:t xml:space="preserve">Momentously, Clay successfully got himself elected as </w:t>
      </w:r>
      <w:r w:rsidR="002202F3">
        <w:t xml:space="preserve">the House Speaker in 1814, and though this had formerly been a weak role, he successfully turned it into the </w:t>
      </w:r>
      <w:r w:rsidR="00A862C8">
        <w:t xml:space="preserve">fulcrum of business for the entire House of Representatives. </w:t>
      </w:r>
      <w:r w:rsidR="00F37B0A">
        <w:t xml:space="preserve">This </w:t>
      </w:r>
      <w:r w:rsidR="00F37B0A">
        <w:lastRenderedPageBreak/>
        <w:t xml:space="preserve">additionally served to </w:t>
      </w:r>
      <w:r w:rsidR="00E61CE8">
        <w:t xml:space="preserve">strengthen his position with the Burr government, and </w:t>
      </w:r>
      <w:r w:rsidR="00916DC4">
        <w:t xml:space="preserve">from this </w:t>
      </w:r>
      <w:r w:rsidR="00E61CE8">
        <w:t>he bec</w:t>
      </w:r>
      <w:r w:rsidR="00916DC4">
        <w:t>a</w:t>
      </w:r>
      <w:r w:rsidR="00E61CE8">
        <w:t xml:space="preserve">me </w:t>
      </w:r>
      <w:r w:rsidR="00916DC4">
        <w:t>the</w:t>
      </w:r>
      <w:r w:rsidR="008F50F1">
        <w:t xml:space="preserve"> foremost</w:t>
      </w:r>
      <w:r w:rsidR="00E61CE8">
        <w:t xml:space="preserve"> leader of the</w:t>
      </w:r>
      <w:r w:rsidR="008F50F1">
        <w:t xml:space="preserve"> Democratic Party</w:t>
      </w:r>
      <w:r w:rsidR="00916DC4">
        <w:t>’s western wing</w:t>
      </w:r>
      <w:r w:rsidR="008F50F1">
        <w:t xml:space="preserve">. </w:t>
      </w:r>
    </w:p>
    <w:p w14:paraId="531ED2CF" w14:textId="5F82358C" w:rsidR="00ED6510" w:rsidRDefault="00ED6510" w:rsidP="007D5BC4">
      <w:r>
        <w:t xml:space="preserve">Hoping for a position within the coming cabinet, Clay found himself disappointed by Burr’s defeat in </w:t>
      </w:r>
      <w:r w:rsidR="00136B83">
        <w:t xml:space="preserve">1816; nevertheless, he continued to serve in the House. He made his name once again as a leading force </w:t>
      </w:r>
      <w:r w:rsidR="009E382C">
        <w:t>there; during the Illinois Crisis, he attempted several compromises to establish sectional peace, and after the 1820 election, he successfully stitched one up. Afterwards, despite some speculation he would become a Republican, he became once more a leading Democrat as part of the stitch-up after the Illinois Compromise. In the years that followed, he became a leading War Hawk; once more representative of western interests, he sought to ensure that New Orleans would be secure for American commerce by annexing it</w:t>
      </w:r>
      <w:r w:rsidR="00EB6C01">
        <w:t>; he would, however, briefly retire from the House, to make money as a Kentuckian lawyer after he lost it in the Panic of 1819</w:t>
      </w:r>
      <w:r w:rsidR="009E382C">
        <w:t xml:space="preserve">. </w:t>
      </w:r>
      <w:r w:rsidR="009C5080">
        <w:t>When Burr finally won a third term in 1824, as a slaveholding southerner Clay was a leader of efforts to calm sectional tensions before his inaugural, and afterwards he won appointment as Secretary of State. Despite chafing at Burr’s personality, he served deftly and with skill, leading the United States into the Luisiana War</w:t>
      </w:r>
      <w:r w:rsidR="006168C7">
        <w:t>, and most historians agree, he was one of the greatest Secretaries of State in American history</w:t>
      </w:r>
      <w:r w:rsidR="007D7335">
        <w:t>. The disarray of the war led him to cast off his aversions against the existence of the</w:t>
      </w:r>
      <w:r w:rsidR="00FA26B9">
        <w:t xml:space="preserve"> National Bank, which he now believed necessary for national unity</w:t>
      </w:r>
      <w:r w:rsidR="00E65BC1">
        <w:t>; additionally, he saw the growth of domestic industry thanks to the blockade as wholly beneficial</w:t>
      </w:r>
      <w:r w:rsidR="009C5080">
        <w:t xml:space="preserve">. Continuing to </w:t>
      </w:r>
      <w:r w:rsidR="00FA26B9">
        <w:t>be Secretary</w:t>
      </w:r>
      <w:r w:rsidR="006168C7">
        <w:t xml:space="preserve"> </w:t>
      </w:r>
      <w:r w:rsidR="002656BA">
        <w:t xml:space="preserve">of State </w:t>
      </w:r>
      <w:r w:rsidR="006168C7">
        <w:t xml:space="preserve">after Burr’s death, Clay saw the Luisiana War to the end; a different Secretary may have been less intent on pushing far western borders in the Treaty of St. Petersburg, but as a westerner he sought nothing short but the expansion of the “Empire of Liberty”. Thus, upon the end of the Luisiana War, Clay was the second-most powerful man in the United States, and he </w:t>
      </w:r>
      <w:r w:rsidR="00F43E56">
        <w:t xml:space="preserve">sought to seize the moment. And </w:t>
      </w:r>
      <w:proofErr w:type="gramStart"/>
      <w:r w:rsidR="00F43E56">
        <w:t>thus</w:t>
      </w:r>
      <w:proofErr w:type="gramEnd"/>
      <w:r w:rsidR="00F43E56">
        <w:t xml:space="preserve"> it was that he gave a </w:t>
      </w:r>
      <w:r w:rsidR="008C69D3">
        <w:t xml:space="preserve">speech to a grand reception to President </w:t>
      </w:r>
      <w:r w:rsidR="008C69D3">
        <w:lastRenderedPageBreak/>
        <w:t>Harrison in 1828</w:t>
      </w:r>
      <w:r w:rsidR="007D7335">
        <w:t>, which elucidated principles he hoped the Union would take with it in the years that followed</w:t>
      </w:r>
      <w:r w:rsidR="008C69D3">
        <w:t xml:space="preserve">. </w:t>
      </w:r>
    </w:p>
    <w:p w14:paraId="2D37254C" w14:textId="76305C50" w:rsidR="007D7335" w:rsidRDefault="007D7335" w:rsidP="007D5BC4">
      <w:r>
        <w:t xml:space="preserve">In this speech, Henry Clay made a grand thesis. He declared the need to complete the work of Aaron Burr, to unify the nation in a web of canals </w:t>
      </w:r>
      <w:r w:rsidR="000B78BE">
        <w:t>and roads and to provide for the nation self-sufficiency and a solid balance of trade. For this, he believed in three policies, which would need to serve as the bedrock of a new American System in the decades that followed. First, he advocated the government pursue a policy of internal improvements, to fund projects for roads and canals, so that now goods and people could flow easily from one part of the nation</w:t>
      </w:r>
      <w:r w:rsidR="00A33789">
        <w:t xml:space="preserve">, as well as </w:t>
      </w:r>
      <w:r w:rsidR="00B33AEE">
        <w:t>telegraph</w:t>
      </w:r>
      <w:r w:rsidR="00A33789">
        <w:t xml:space="preserve"> lines to allow for easy communications</w:t>
      </w:r>
      <w:r w:rsidR="000B78BE">
        <w:t xml:space="preserve">. The Burr years had made clear that they essentially changed the topography of the nation by </w:t>
      </w:r>
      <w:r w:rsidR="00A33789">
        <w:t xml:space="preserve">allowing for much quicker </w:t>
      </w:r>
      <w:r w:rsidR="00917B08">
        <w:t>contact</w:t>
      </w:r>
      <w:r w:rsidR="00A33789">
        <w:t xml:space="preserve"> than before and brought it closer together</w:t>
      </w:r>
      <w:r w:rsidR="00917B08">
        <w:t xml:space="preserve">; he believed the policy needed to be taken further and harder. </w:t>
      </w:r>
      <w:r w:rsidR="00EB6C01">
        <w:t>Second, he advocated the continued existence of the Second Bank, to provide for financial stability and prevent sloppy local banks for overextending credit before the inevitable fall. The Panic of 1819 had left the West totally</w:t>
      </w:r>
      <w:r w:rsidR="00265AE6">
        <w:t xml:space="preserve"> bereft of trade and commerce, Kentucky </w:t>
      </w:r>
      <w:proofErr w:type="gramStart"/>
      <w:r w:rsidR="00265AE6">
        <w:t>included;</w:t>
      </w:r>
      <w:proofErr w:type="gramEnd"/>
      <w:r w:rsidR="00265AE6">
        <w:t xml:space="preserve"> he promoted the </w:t>
      </w:r>
      <w:r w:rsidR="00C50398">
        <w:t>reestablishment</w:t>
      </w:r>
      <w:r w:rsidR="00265AE6">
        <w:t xml:space="preserve"> of a national bank as a cure to this. </w:t>
      </w:r>
      <w:r w:rsidR="00AB0A6A">
        <w:t>And third, he advocated a high tariff for protection purposes, to both provide for money for internal improvements and to allow for the growth of industry. The balance of trade had, since colonial times, been at the expense of America; the Luisiana War, with the blockade had exposed the economic consequences of this weakness. He believed the tariff could allow for the substitution of cheap goods imported from the industrial British and French economies with goods manufactured in America, all for the consumption of an internal American market</w:t>
      </w:r>
      <w:r w:rsidR="005A7E3D">
        <w:t>. Western grain would go to the mouths of Eastern factory workers, Eastern factories would create goods for the West, Southern cotton would go to Northern textile mills, and Northern goods would travel to the South</w:t>
      </w:r>
      <w:r w:rsidR="00AB0A6A">
        <w:t xml:space="preserve">. This would link the nation together, stronger than before, and benefit both the producing </w:t>
      </w:r>
      <w:r w:rsidR="00AB0A6A">
        <w:lastRenderedPageBreak/>
        <w:t>East and the consuming West. And together, he declared, this would be an “American System”</w:t>
      </w:r>
      <w:r w:rsidR="006A4E40">
        <w:t>, consolidating the nation for the benefit of the whole</w:t>
      </w:r>
      <w:r w:rsidR="00AB0A6A">
        <w:t xml:space="preserve">. </w:t>
      </w:r>
    </w:p>
    <w:p w14:paraId="5BDFE500" w14:textId="243E8B27" w:rsidR="00EA461F" w:rsidRDefault="00AB0A6A" w:rsidP="00EA461F">
      <w:r>
        <w:t xml:space="preserve">A clear evolution of </w:t>
      </w:r>
      <w:proofErr w:type="spellStart"/>
      <w:r>
        <w:t>Burrite</w:t>
      </w:r>
      <w:proofErr w:type="spellEnd"/>
      <w:r>
        <w:t xml:space="preserve"> policies, this </w:t>
      </w:r>
      <w:r w:rsidR="005037EA">
        <w:t>was</w:t>
      </w:r>
      <w:r>
        <w:t xml:space="preserve"> met with popularity from North and West</w:t>
      </w:r>
      <w:r w:rsidR="003B28B6">
        <w:t xml:space="preserve"> and reflected the sheen of </w:t>
      </w:r>
      <w:r w:rsidR="00DB4777">
        <w:t xml:space="preserve">war </w:t>
      </w:r>
      <w:r w:rsidR="003B28B6">
        <w:t>victory</w:t>
      </w:r>
      <w:r w:rsidR="007E40DB">
        <w:t>;</w:t>
      </w:r>
      <w:r>
        <w:t xml:space="preserve"> the North wanted protection for its industry</w:t>
      </w:r>
      <w:r w:rsidR="007E40DB">
        <w:t xml:space="preserve">, and both </w:t>
      </w:r>
      <w:r w:rsidR="00B86901">
        <w:t>bosses</w:t>
      </w:r>
      <w:r w:rsidR="007E40DB">
        <w:t xml:space="preserve"> and </w:t>
      </w:r>
      <w:r w:rsidR="00B86901">
        <w:t>mechanics</w:t>
      </w:r>
      <w:r w:rsidR="007E40DB">
        <w:t xml:space="preserve"> believed a tariff would be necessary for their economic prosperity;</w:t>
      </w:r>
      <w:r>
        <w:t xml:space="preserve"> and the West, including </w:t>
      </w:r>
      <w:proofErr w:type="spellStart"/>
      <w:r>
        <w:t>slaveowning</w:t>
      </w:r>
      <w:proofErr w:type="spellEnd"/>
      <w:r>
        <w:t xml:space="preserve"> Kentucky and Tennessee, was patriotically American and supported economic nationalism</w:t>
      </w:r>
      <w:r w:rsidR="006C0276">
        <w:t xml:space="preserve"> as a mode to create a strong and cohesive country</w:t>
      </w:r>
      <w:r w:rsidR="00B953EC">
        <w:t>, and a National Bank to save them from the petty tyranny of local banks</w:t>
      </w:r>
      <w:r>
        <w:t xml:space="preserve">. </w:t>
      </w:r>
      <w:r w:rsidR="00F929A5">
        <w:t>Although a smattering of figures in the Southeast similarly supported</w:t>
      </w:r>
      <w:r w:rsidR="003B28B6">
        <w:t xml:space="preserve"> this new political order, the clear departure from Jeffersonianism this represented as well as fear an overly strong national government would abolish slavery, came in the way, and this resulted in </w:t>
      </w:r>
      <w:r w:rsidR="00F93924">
        <w:t xml:space="preserve">a flurry of opposition emerging from there. </w:t>
      </w:r>
      <w:r w:rsidR="00ED0649">
        <w:t>But still, many in the Southeast could not but help shine in the light of national victory</w:t>
      </w:r>
      <w:r w:rsidR="00361B3F">
        <w:t xml:space="preserve"> as well</w:t>
      </w:r>
      <w:r w:rsidR="00A0352D">
        <w:t xml:space="preserve">, and as ever even fastidiously </w:t>
      </w:r>
      <w:r w:rsidR="00164990">
        <w:t>Republican</w:t>
      </w:r>
      <w:r w:rsidR="00A0352D">
        <w:t xml:space="preserve"> Virginia accepted the money this plan represented</w:t>
      </w:r>
      <w:r w:rsidR="00ED0649">
        <w:t xml:space="preserve">. </w:t>
      </w:r>
    </w:p>
    <w:p w14:paraId="5D5D6CBD" w14:textId="0DD55076" w:rsidR="00A60D1E" w:rsidRDefault="00E05097" w:rsidP="00EA461F">
      <w:r>
        <w:t xml:space="preserve">In the years that followed, </w:t>
      </w:r>
      <w:r w:rsidR="00050566">
        <w:t xml:space="preserve">the </w:t>
      </w:r>
      <w:r w:rsidR="00862803">
        <w:t>nation</w:t>
      </w:r>
      <w:r w:rsidR="00050566">
        <w:t xml:space="preserve"> saw a huge industrial boom</w:t>
      </w:r>
      <w:r w:rsidR="00862803">
        <w:t xml:space="preserve"> – particularly in the North</w:t>
      </w:r>
      <w:r w:rsidR="0089069B">
        <w:t xml:space="preserve"> – and for the first time, the whole coast between Boston and Richmond </w:t>
      </w:r>
      <w:r w:rsidR="00426F05">
        <w:t>began to crystallize</w:t>
      </w:r>
      <w:r w:rsidR="0089069B">
        <w:t xml:space="preserve"> into a single hyper-city</w:t>
      </w:r>
      <w:r w:rsidR="00426F05">
        <w:t xml:space="preserve"> as industry developed all the way </w:t>
      </w:r>
      <w:r w:rsidR="00BB5CCB">
        <w:t>along</w:t>
      </w:r>
      <w:r w:rsidR="00426F05">
        <w:t xml:space="preserve"> it</w:t>
      </w:r>
      <w:r w:rsidR="00ED10BC">
        <w:t>, linked and all oriented towards the West</w:t>
      </w:r>
      <w:r w:rsidR="00050566">
        <w:t xml:space="preserve">. </w:t>
      </w:r>
      <w:r w:rsidR="00C37B6C">
        <w:t xml:space="preserve">The tariff allowed for the rapid growth of industry, </w:t>
      </w:r>
      <w:r w:rsidR="00C652A3">
        <w:t>to take the place of the imports that had been taxed into unprofitability; additionally, it saw the emergence of a textile industry in the north</w:t>
      </w:r>
      <w:r w:rsidR="0059527B">
        <w:t xml:space="preserve"> to take the place of British cotton looms, although this was only partially </w:t>
      </w:r>
      <w:r w:rsidR="005573D1">
        <w:t>successful,</w:t>
      </w:r>
      <w:r w:rsidR="005A625B">
        <w:t xml:space="preserve"> and the British textile industry continued to be enmeshed with American cotton</w:t>
      </w:r>
      <w:r w:rsidR="0059527B">
        <w:t xml:space="preserve">. </w:t>
      </w:r>
      <w:proofErr w:type="gramStart"/>
      <w:r w:rsidR="00901C94">
        <w:t>In particular, in</w:t>
      </w:r>
      <w:proofErr w:type="gramEnd"/>
      <w:r w:rsidR="00901C94">
        <w:t xml:space="preserve"> Pennsylvania, its extremely</w:t>
      </w:r>
      <w:r w:rsidR="009C0848">
        <w:t xml:space="preserve"> pure coal led to the state rapidly industrializing, and </w:t>
      </w:r>
      <w:r w:rsidR="005573D1">
        <w:t>both</w:t>
      </w:r>
      <w:r w:rsidR="009C0848">
        <w:t xml:space="preserve"> Philadelphia and </w:t>
      </w:r>
      <w:proofErr w:type="spellStart"/>
      <w:r w:rsidR="00B04892">
        <w:t>Pittsburg</w:t>
      </w:r>
      <w:proofErr w:type="spellEnd"/>
      <w:r w:rsidR="009C0848">
        <w:t xml:space="preserve"> saw the emergence of huge iron industries</w:t>
      </w:r>
      <w:r w:rsidR="005573D1">
        <w:t xml:space="preserve">. And in this era, New England fully transitioned into an urban, industrial economy, with more people living in the cities than the countryside for the first </w:t>
      </w:r>
      <w:r w:rsidR="005573D1">
        <w:lastRenderedPageBreak/>
        <w:t>time – although this was uneven, with Massachusetts becoming a</w:t>
      </w:r>
      <w:r w:rsidR="006D2F3A">
        <w:t xml:space="preserve"> massive</w:t>
      </w:r>
      <w:r w:rsidR="005573D1">
        <w:t xml:space="preserve"> center of industrial capacity and Vermont and Maine (until 1870 an outlying part of Massachusetts) </w:t>
      </w:r>
      <w:r w:rsidR="00DE07C2">
        <w:t>having</w:t>
      </w:r>
      <w:r w:rsidR="005573D1">
        <w:t xml:space="preserve"> close to none.</w:t>
      </w:r>
      <w:r w:rsidR="00901C94">
        <w:t xml:space="preserve"> </w:t>
      </w:r>
      <w:r w:rsidR="00A60D1E">
        <w:t xml:space="preserve">This boom was not entirely smooth-sailing, as </w:t>
      </w:r>
      <w:r w:rsidR="00EE71D7">
        <w:t xml:space="preserve">this led to the growth of a large, permanent class of mechanics, working in the factories of the nation; the old ideal of the nation as a union of independent yeomen-farmers, with working for a boss being merely an intermediate stage of life, found itself upended. This led to more pressure on the government for </w:t>
      </w:r>
      <w:r w:rsidR="00D25311">
        <w:t>reducing the price of land, to give mechanics land out in the West to settle</w:t>
      </w:r>
      <w:r w:rsidR="009A73A2">
        <w:t xml:space="preserve"> instead of working in dark, dangerous factories</w:t>
      </w:r>
      <w:r w:rsidR="00F012E5">
        <w:t>.</w:t>
      </w:r>
      <w:r w:rsidR="009A73A2">
        <w:t xml:space="preserve"> </w:t>
      </w:r>
      <w:r w:rsidR="00F012E5">
        <w:t>A</w:t>
      </w:r>
      <w:r w:rsidR="009A73A2">
        <w:t xml:space="preserve">dditionally, this </w:t>
      </w:r>
      <w:r w:rsidR="00F012E5">
        <w:t>led to increased nativism, as native-born mechanics accused immigrants of depressing wages</w:t>
      </w:r>
      <w:r w:rsidR="00FA5CC9">
        <w:t xml:space="preserve">, and this only helped fuel the Anti-Catholic Party. </w:t>
      </w:r>
      <w:r w:rsidR="006F713A">
        <w:t>And though the end of war in Europe in 1832 did lead to</w:t>
      </w:r>
      <w:r w:rsidR="006929B1">
        <w:t xml:space="preserve"> much</w:t>
      </w:r>
      <w:r w:rsidR="006F713A">
        <w:t xml:space="preserve"> more immigration, especially from Germany, this raised the issue that, when war in Europe did start again, </w:t>
      </w:r>
      <w:r w:rsidR="004D0FF7">
        <w:t>it would cut off immigration and</w:t>
      </w:r>
      <w:r w:rsidR="00046BB4">
        <w:t xml:space="preserve"> make industrial labor scarce. </w:t>
      </w:r>
    </w:p>
    <w:p w14:paraId="525DAE14" w14:textId="245B7EFE" w:rsidR="00E05097" w:rsidRDefault="009136E7" w:rsidP="00EA461F">
      <w:r>
        <w:t>Furthermore</w:t>
      </w:r>
      <w:r w:rsidR="007314E8">
        <w:t xml:space="preserve">, </w:t>
      </w:r>
      <w:r w:rsidR="005573D1">
        <w:t>the boom</w:t>
      </w:r>
      <w:r w:rsidR="007314E8">
        <w:t xml:space="preserve"> allowed for the growth of industry</w:t>
      </w:r>
      <w:r w:rsidR="00BE7CC0">
        <w:t xml:space="preserve"> in the South as well; </w:t>
      </w:r>
      <w:r w:rsidR="00C5760E">
        <w:t xml:space="preserve">Southern industry had emerged </w:t>
      </w:r>
      <w:r w:rsidR="003D33ED">
        <w:t>during</w:t>
      </w:r>
      <w:r w:rsidR="00C5760E">
        <w:t xml:space="preserve"> to </w:t>
      </w:r>
      <w:r w:rsidR="003D33ED">
        <w:t>the Luisiana War blockade, and the tariff allowed for the nursing of this new infant industry</w:t>
      </w:r>
      <w:r w:rsidR="009A1B64">
        <w:t xml:space="preserve">. This was particularly in the Upper South – Washington became a huge industrial center, and Virginia saw the emergence of a huge iron industry which was only second to Pennsylvania’s – </w:t>
      </w:r>
      <w:r w:rsidR="00CB7D69">
        <w:t>while</w:t>
      </w:r>
      <w:r w:rsidR="009A1B64">
        <w:t xml:space="preserve"> in the Deep South, </w:t>
      </w:r>
      <w:r w:rsidR="009D0FAF">
        <w:t>though</w:t>
      </w:r>
      <w:r w:rsidR="009A1B64">
        <w:t xml:space="preserve"> industry certainly existed, it was much less prominent. </w:t>
      </w:r>
      <w:r w:rsidR="00740A04">
        <w:t>Furthermore</w:t>
      </w:r>
      <w:r w:rsidR="009A1B64">
        <w:t xml:space="preserve">, </w:t>
      </w:r>
      <w:r w:rsidR="00AC0D85">
        <w:t>the price of the slave, which</w:t>
      </w:r>
      <w:r w:rsidR="00810C00">
        <w:t xml:space="preserve"> was quite low and</w:t>
      </w:r>
      <w:r w:rsidR="00AC0D85">
        <w:t xml:space="preserve"> the con</w:t>
      </w:r>
      <w:r w:rsidR="003500F6">
        <w:t>quest of Luisiana only somewhat increased as it had a well-developed plantation system</w:t>
      </w:r>
      <w:r w:rsidR="00AC0D85">
        <w:t xml:space="preserve">, </w:t>
      </w:r>
      <w:r w:rsidR="003500F6">
        <w:t>meant that Southern factory lords also tended to be slave-lords. Poor whites who would have otherwise been employed</w:t>
      </w:r>
      <w:r w:rsidR="00BD38F0">
        <w:t xml:space="preserve"> in those occupations</w:t>
      </w:r>
      <w:r w:rsidR="003500F6">
        <w:t xml:space="preserve"> instead found themselves shunted out of the economy</w:t>
      </w:r>
      <w:r w:rsidR="00177A62">
        <w:t>, and despite the low price of the slave they could not afford any</w:t>
      </w:r>
      <w:r w:rsidR="006673F3">
        <w:t xml:space="preserve"> – thus, this era saw a development of an intense class divide between </w:t>
      </w:r>
      <w:r w:rsidR="00352DCE">
        <w:t>planters</w:t>
      </w:r>
      <w:r w:rsidR="006673F3">
        <w:t xml:space="preserve"> and poor white</w:t>
      </w:r>
      <w:r w:rsidR="000C3608">
        <w:t xml:space="preserve">s, with the poor whites frequently finding it impossible to </w:t>
      </w:r>
      <w:r w:rsidR="000C3608">
        <w:lastRenderedPageBreak/>
        <w:t xml:space="preserve">move to either the </w:t>
      </w:r>
      <w:r w:rsidR="00352DCE">
        <w:t>W</w:t>
      </w:r>
      <w:r w:rsidR="000C3608">
        <w:t xml:space="preserve">est or the </w:t>
      </w:r>
      <w:r w:rsidR="00352DCE">
        <w:t>N</w:t>
      </w:r>
      <w:r w:rsidR="000C3608">
        <w:t xml:space="preserve">orth, instead forcing them to </w:t>
      </w:r>
      <w:r w:rsidR="00352DCE">
        <w:t>live</w:t>
      </w:r>
      <w:r w:rsidR="000C3608">
        <w:t xml:space="preserve"> in </w:t>
      </w:r>
      <w:r w:rsidR="00352DCE">
        <w:t>abject poverty against</w:t>
      </w:r>
      <w:r w:rsidR="000C3608">
        <w:t xml:space="preserve"> </w:t>
      </w:r>
      <w:r w:rsidR="00352DCE">
        <w:t>a</w:t>
      </w:r>
      <w:r w:rsidR="003500F6">
        <w:t xml:space="preserve"> </w:t>
      </w:r>
      <w:r w:rsidR="00352DCE">
        <w:t>planter class which</w:t>
      </w:r>
      <w:r w:rsidR="003500F6">
        <w:t xml:space="preserve"> </w:t>
      </w:r>
      <w:r w:rsidR="00352DCE">
        <w:t>truly</w:t>
      </w:r>
      <w:r w:rsidR="003500F6">
        <w:t xml:space="preserve"> became </w:t>
      </w:r>
      <w:r w:rsidR="00352DCE">
        <w:t>an ascendancy</w:t>
      </w:r>
      <w:r w:rsidR="003500F6">
        <w:t xml:space="preserve"> over the South. </w:t>
      </w:r>
    </w:p>
    <w:p w14:paraId="1A1677C3" w14:textId="77777777" w:rsidR="00D661D3" w:rsidRDefault="00D661D3" w:rsidP="00D661D3">
      <w:r>
        <w:br w:type="page"/>
      </w:r>
    </w:p>
    <w:p w14:paraId="38A31458" w14:textId="77777777" w:rsidR="00D661D3" w:rsidRPr="008B3175" w:rsidRDefault="00D661D3" w:rsidP="007D5BC4"/>
    <w:p w14:paraId="1FD2165D" w14:textId="77777777" w:rsidR="007D5BC4" w:rsidRDefault="007D5BC4" w:rsidP="007D5BC4">
      <w:pPr>
        <w:sectPr w:rsidR="007D5BC4" w:rsidSect="007D5BC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2110FBD" w14:textId="2F718E31" w:rsidR="00CB70CD" w:rsidRDefault="007D5BC4" w:rsidP="00C50F3C">
      <w:r>
        <w:br w:type="page"/>
      </w:r>
    </w:p>
    <w:p w14:paraId="0E841BA0" w14:textId="3D9C8785" w:rsidR="00CB70CD" w:rsidRDefault="00CB70CD" w:rsidP="00003101">
      <w:pPr>
        <w:pStyle w:val="Heading1"/>
      </w:pPr>
      <w:bookmarkStart w:id="21" w:name="_Toc202006215"/>
      <w:r>
        <w:lastRenderedPageBreak/>
        <w:t>1</w:t>
      </w:r>
      <w:r w:rsidR="00C50F3C">
        <w:t>6</w:t>
      </w:r>
      <w:r>
        <w:t>. The Real Object</w:t>
      </w:r>
      <w:bookmarkEnd w:id="21"/>
    </w:p>
    <w:p w14:paraId="2BE07D45" w14:textId="6BAF49E1" w:rsidR="008B5289" w:rsidRDefault="006358B8" w:rsidP="00DE7E1E">
      <w:r>
        <w:t xml:space="preserve">After the Popular Revolution, Secretary of State Henry Clay was only too happy to establish good relations with the new order in the British Isles; travelling to Toronto, he opened negotiations with the British commissioner to Canada, George Tierney. The ensuing Clay-Tierney Treaty of 1830 put an end to territorial disputes between the United States and British North America – firmly in the favor of the former. </w:t>
      </w:r>
      <w:r w:rsidR="000660FB">
        <w:t>Yet more decisive was the Clay-Tierney Declaration, a joint declaration issued shortly following the treaty’s confirmation, which declared that</w:t>
      </w:r>
      <w:r w:rsidR="00D15DBB">
        <w:t xml:space="preserve">, if a former Spanish or Portuguese colony </w:t>
      </w:r>
      <w:r w:rsidR="00041DAF">
        <w:t>won</w:t>
      </w:r>
      <w:r w:rsidR="00D15DBB">
        <w:t xml:space="preserve"> its independence, the </w:t>
      </w:r>
      <w:r w:rsidR="00966726">
        <w:t>British and American governments would recognize it and</w:t>
      </w:r>
      <w:r w:rsidR="00041DAF">
        <w:t xml:space="preserve"> would never allow it to be reconquered</w:t>
      </w:r>
      <w:r w:rsidR="003E78C3">
        <w:rPr>
          <w:rStyle w:val="EndnoteReference"/>
        </w:rPr>
        <w:endnoteReference w:id="74"/>
      </w:r>
      <w:r w:rsidR="00966726">
        <w:t>.</w:t>
      </w:r>
      <w:r w:rsidR="00A815AF">
        <w:t xml:space="preserve"> </w:t>
      </w:r>
      <w:r w:rsidR="00B27FB7">
        <w:t xml:space="preserve">However, these positive relations abruptly came to an end when </w:t>
      </w:r>
      <w:r w:rsidR="00A55ADE">
        <w:t>Britain’s</w:t>
      </w:r>
      <w:r w:rsidR="00461D8D">
        <w:t xml:space="preserve"> </w:t>
      </w:r>
      <w:r w:rsidR="00A55ADE">
        <w:t>parliament</w:t>
      </w:r>
      <w:r w:rsidR="00461D8D">
        <w:t xml:space="preserve"> </w:t>
      </w:r>
      <w:r w:rsidR="002816DD">
        <w:t>abolished</w:t>
      </w:r>
      <w:r w:rsidR="00A55ADE">
        <w:t xml:space="preserve"> slavery</w:t>
      </w:r>
      <w:r w:rsidR="002816DD">
        <w:t xml:space="preserve">. </w:t>
      </w:r>
    </w:p>
    <w:p w14:paraId="22E752A5" w14:textId="5DE693E0" w:rsidR="00A40EA0" w:rsidRDefault="002816DD" w:rsidP="00DE7E1E">
      <w:r>
        <w:t>For the Popular Revolution had thrust aside moderate abolitionists like William Wilberforce out of the limelight</w:t>
      </w:r>
      <w:r w:rsidR="00131EAF">
        <w:rPr>
          <w:rStyle w:val="EndnoteReference"/>
        </w:rPr>
        <w:endnoteReference w:id="75"/>
      </w:r>
      <w:r>
        <w:t xml:space="preserve"> and in their place came</w:t>
      </w:r>
      <w:r w:rsidR="00273FED">
        <w:t xml:space="preserve"> the decisively</w:t>
      </w:r>
      <w:r>
        <w:t xml:space="preserve"> Thomas Clarkson and</w:t>
      </w:r>
      <w:r w:rsidR="001745A2">
        <w:t xml:space="preserve">, most famously, </w:t>
      </w:r>
      <w:r w:rsidR="00E9179E">
        <w:t xml:space="preserve">the </w:t>
      </w:r>
      <w:r w:rsidR="004D4859">
        <w:t>man dubbed to posterity as the Emancipator</w:t>
      </w:r>
      <w:r w:rsidR="00E9179E">
        <w:t xml:space="preserve">, </w:t>
      </w:r>
      <w:r w:rsidR="001745A2">
        <w:t>Daniel O’Connell</w:t>
      </w:r>
      <w:r w:rsidR="00B4632B">
        <w:rPr>
          <w:rStyle w:val="EndnoteReference"/>
        </w:rPr>
        <w:endnoteReference w:id="76"/>
      </w:r>
      <w:r w:rsidR="001745A2">
        <w:t>; with planter interests greatly weakened within the reformed House of Commons</w:t>
      </w:r>
      <w:r w:rsidR="005B74A2">
        <w:t xml:space="preserve"> by the obliteration of the </w:t>
      </w:r>
      <w:r w:rsidR="006F19B9">
        <w:t>rotten borough system</w:t>
      </w:r>
      <w:r w:rsidR="001745A2">
        <w:t xml:space="preserve">, they successfully </w:t>
      </w:r>
      <w:r w:rsidR="00D835ED">
        <w:t>got their way</w:t>
      </w:r>
      <w:r w:rsidR="003933AE">
        <w:t xml:space="preserve">. </w:t>
      </w:r>
      <w:r w:rsidR="00F66F93">
        <w:t>And it did not take long for the British abolitionist movement to</w:t>
      </w:r>
      <w:r w:rsidR="00602D0B">
        <w:t xml:space="preserve"> point to America</w:t>
      </w:r>
      <w:r w:rsidR="004F5474">
        <w:t>:</w:t>
      </w:r>
      <w:r w:rsidR="00602D0B">
        <w:t xml:space="preserve"> the Free Produce movement, </w:t>
      </w:r>
      <w:r w:rsidR="004F5474">
        <w:t xml:space="preserve">an influential movement within Dissenting Protestant circles </w:t>
      </w:r>
      <w:r w:rsidR="00602D0B">
        <w:t>which advocated an economic boycott of slave-produced goods</w:t>
      </w:r>
      <w:r w:rsidR="004F5474">
        <w:t xml:space="preserve">, now </w:t>
      </w:r>
      <w:r w:rsidR="00773571">
        <w:t>won support within the halls of Parliament</w:t>
      </w:r>
      <w:r w:rsidR="004F5474">
        <w:t xml:space="preserve">; </w:t>
      </w:r>
      <w:r w:rsidR="002601E1">
        <w:t xml:space="preserve">the writer and journalist Harriet Martineau, returning from a trip </w:t>
      </w:r>
      <w:r w:rsidR="00791212">
        <w:t>to the United States</w:t>
      </w:r>
      <w:r w:rsidR="002601E1">
        <w:t xml:space="preserve">, published </w:t>
      </w:r>
      <w:r w:rsidR="002601E1" w:rsidRPr="002601E1">
        <w:rPr>
          <w:i/>
          <w:iCs/>
        </w:rPr>
        <w:t>Society in America</w:t>
      </w:r>
      <w:r w:rsidR="002601E1">
        <w:t xml:space="preserve"> (1837) on her observations, including a damning critique of slavery; and O’Connell himself damned </w:t>
      </w:r>
      <w:r w:rsidR="00E13C06">
        <w:t>American freedom</w:t>
      </w:r>
      <w:r w:rsidR="002601E1">
        <w:t xml:space="preserve"> as a fraud for its </w:t>
      </w:r>
      <w:r w:rsidR="00E13C06">
        <w:t xml:space="preserve">acceptance of </w:t>
      </w:r>
      <w:r w:rsidR="002601E1">
        <w:t xml:space="preserve">slavery, </w:t>
      </w:r>
      <w:r w:rsidR="008B5289">
        <w:t xml:space="preserve">he refused donations to the Irish nationalist movement by Irish-American slaveowners, </w:t>
      </w:r>
      <w:r w:rsidR="002601E1">
        <w:t xml:space="preserve">and </w:t>
      </w:r>
      <w:r w:rsidR="008B5289">
        <w:t xml:space="preserve">he declared he would never visit the United States so long as its soil was tarnished by slavery. </w:t>
      </w:r>
      <w:r w:rsidR="00791212">
        <w:t xml:space="preserve">Though most Britons still regarded </w:t>
      </w:r>
      <w:r w:rsidR="00FF150F">
        <w:t>America</w:t>
      </w:r>
      <w:r w:rsidR="00791212">
        <w:t xml:space="preserve"> as a venerable</w:t>
      </w:r>
      <w:r w:rsidR="00FF150F">
        <w:t xml:space="preserve"> example of a </w:t>
      </w:r>
      <w:r w:rsidR="00FF150F">
        <w:lastRenderedPageBreak/>
        <w:t xml:space="preserve">brother republic, its revolution as a predecessor of the British Isles’ own, and indeed both countries as sharing a single concept of liberty, this was beginning to change. And even in the United States itself, abolitionists pointed to the British example </w:t>
      </w:r>
      <w:r w:rsidR="00FF1AD4">
        <w:t xml:space="preserve">of emancipation; several abolitionists even went as far as to abandon celebration of the Fourth of July in favor of Britain’s own festival of national liberation, the Twenty-Sixth of January. </w:t>
      </w:r>
    </w:p>
    <w:p w14:paraId="24494C25" w14:textId="659AF1B5" w:rsidR="00F14B67" w:rsidRDefault="005A4C5D" w:rsidP="00DE7E1E">
      <w:r>
        <w:t xml:space="preserve">Suddenly, to the Planter Ascendancy, positive </w:t>
      </w:r>
      <w:r w:rsidR="009E3F89">
        <w:t>relations</w:t>
      </w:r>
      <w:r>
        <w:t xml:space="preserve"> with the British Isles seemed less solidarity with</w:t>
      </w:r>
      <w:r w:rsidR="009E3F89">
        <w:t xml:space="preserve"> revolutionary kin and more an abolitionist conspiracy to </w:t>
      </w:r>
      <w:r w:rsidR="003A5E0F">
        <w:t>destroy slavery</w:t>
      </w:r>
      <w:r w:rsidR="005A365A">
        <w:rPr>
          <w:rStyle w:val="EndnoteReference"/>
        </w:rPr>
        <w:endnoteReference w:id="77"/>
      </w:r>
      <w:r w:rsidR="00BA70A1">
        <w:t>.</w:t>
      </w:r>
      <w:r w:rsidR="00BD0EC7">
        <w:t xml:space="preserve"> This additionally led to new links between the South and the pro-Guelph</w:t>
      </w:r>
      <w:r w:rsidR="00714B40">
        <w:t xml:space="preserve"> administration of Jamaica, as it seemed less the remnant of a</w:t>
      </w:r>
      <w:r w:rsidR="00040B01">
        <w:t xml:space="preserve"> dying</w:t>
      </w:r>
      <w:r w:rsidR="00855541">
        <w:t xml:space="preserve"> monarchical</w:t>
      </w:r>
      <w:r w:rsidR="00040B01">
        <w:t xml:space="preserve"> order and more the</w:t>
      </w:r>
      <w:r w:rsidR="00855541">
        <w:t xml:space="preserve"> last, best, hope for West Indies slavery; American </w:t>
      </w:r>
      <w:r w:rsidR="00CA4630">
        <w:t>freebooters became crucial to maintaining order against slave revolts</w:t>
      </w:r>
      <w:r w:rsidR="00872CB2">
        <w:t>,</w:t>
      </w:r>
      <w:r w:rsidR="00CA4630">
        <w:t xml:space="preserve"> and</w:t>
      </w:r>
      <w:r w:rsidR="00872CB2">
        <w:t xml:space="preserve"> freebooting leaders were praised as heroes,</w:t>
      </w:r>
      <w:r w:rsidR="00CA4630">
        <w:t xml:space="preserve"> prevent</w:t>
      </w:r>
      <w:r w:rsidR="00872CB2">
        <w:t>ing</w:t>
      </w:r>
      <w:r w:rsidR="00CA4630">
        <w:t xml:space="preserve"> Jamaica from becoming a new Haiti. </w:t>
      </w:r>
      <w:r w:rsidR="007A1A05">
        <w:t>And it suddenly provided credence to the idea that</w:t>
      </w:r>
      <w:r w:rsidR="00EA16D2">
        <w:t>, despite President Harrison being Virginia-born</w:t>
      </w:r>
      <w:r w:rsidR="00C830DE">
        <w:t xml:space="preserve">, and Secretary of State Clay a Kentuckian slaveowner, they were part of a </w:t>
      </w:r>
      <w:r w:rsidR="00A40EA0">
        <w:t xml:space="preserve">Northern conspiracy to work with British and Irish abolitionists to </w:t>
      </w:r>
      <w:r w:rsidR="004C12F6">
        <w:t>incite a race war to destroy slavery. Suddenly, the tariff seemed less bad policy and more a tool in this conspiracy</w:t>
      </w:r>
      <w:r w:rsidR="00D854C2">
        <w:t>, to replace the American cotton exported to British factories with cotton grown in India</w:t>
      </w:r>
      <w:r w:rsidR="006412EB">
        <w:t xml:space="preserve"> – and thus destroy the American cotton market</w:t>
      </w:r>
      <w:r w:rsidR="004C12F6">
        <w:t xml:space="preserve">. </w:t>
      </w:r>
      <w:r w:rsidR="00CC2379">
        <w:t xml:space="preserve">Vice President Lowndes attempted to get the government to agree to </w:t>
      </w:r>
      <w:r w:rsidR="00075F9E">
        <w:t>a tariff reduction to cool these tensions; however, the ensuing Tariff of 1830 ended up</w:t>
      </w:r>
      <w:r w:rsidR="002D352C">
        <w:t xml:space="preserve"> a </w:t>
      </w:r>
      <w:r w:rsidR="00DA05DA">
        <w:t xml:space="preserve">rather </w:t>
      </w:r>
      <w:r w:rsidR="00883171">
        <w:t>modest</w:t>
      </w:r>
      <w:r w:rsidR="00DA05DA">
        <w:t xml:space="preserve"> reduction,</w:t>
      </w:r>
      <w:r w:rsidR="00883171">
        <w:t xml:space="preserve"> protectionist interests successfully watering</w:t>
      </w:r>
      <w:r w:rsidR="00086077">
        <w:t xml:space="preserve"> down</w:t>
      </w:r>
      <w:r w:rsidR="00883171">
        <w:t xml:space="preserve"> </w:t>
      </w:r>
      <w:r w:rsidR="00FD00AC">
        <w:t xml:space="preserve">a higher initial reduction. </w:t>
      </w:r>
      <w:r w:rsidR="005250EF">
        <w:t>It did not take long for Lowndes to definitively break with the government, and though at this point he did not resign from the vice presidency, he became the leader of an opposition effort</w:t>
      </w:r>
      <w:r w:rsidR="00185223">
        <w:t xml:space="preserve"> within the halls of power. </w:t>
      </w:r>
    </w:p>
    <w:p w14:paraId="5A6C2B26" w14:textId="7091996A" w:rsidR="00107403" w:rsidRDefault="00107403" w:rsidP="00DE7E1E">
      <w:r>
        <w:t>Within the halls of Congress</w:t>
      </w:r>
      <w:r w:rsidR="00FA3DB4">
        <w:t xml:space="preserve">, Senator John C. Calhoun of South Carolina, who had initially been a New School Republican, had been brought to the extremes over slavery and the tariff to </w:t>
      </w:r>
      <w:r w:rsidR="00FA3DB4">
        <w:lastRenderedPageBreak/>
        <w:t xml:space="preserve">such an extent that </w:t>
      </w:r>
      <w:proofErr w:type="gramStart"/>
      <w:r w:rsidR="00FA3DB4">
        <w:t>he</w:t>
      </w:r>
      <w:proofErr w:type="gramEnd"/>
      <w:r w:rsidR="00FA3DB4">
        <w:t xml:space="preserve"> </w:t>
      </w:r>
      <w:r w:rsidR="00180568">
        <w:t>spoke</w:t>
      </w:r>
      <w:r w:rsidR="00FA3DB4">
        <w:t xml:space="preserve"> </w:t>
      </w:r>
      <w:r w:rsidR="00180568">
        <w:t>of</w:t>
      </w:r>
      <w:r w:rsidR="00FA3DB4">
        <w:t xml:space="preserve"> reviv</w:t>
      </w:r>
      <w:r w:rsidR="00180568">
        <w:t>ing</w:t>
      </w:r>
      <w:r w:rsidR="00FA3DB4">
        <w:t xml:space="preserve"> the </w:t>
      </w:r>
      <w:proofErr w:type="gramStart"/>
      <w:r w:rsidR="00FA3DB4">
        <w:t>Principles</w:t>
      </w:r>
      <w:proofErr w:type="gramEnd"/>
      <w:r w:rsidR="00FA3DB4">
        <w:t xml:space="preserve"> of ’98. </w:t>
      </w:r>
      <w:r w:rsidR="00025953">
        <w:t>Pushing forward the anti-tariff effort within the halls of Congress</w:t>
      </w:r>
      <w:r w:rsidR="00967BBE">
        <w:t>, Calhoun gave several speeches towards this end – and his considerable powers of oratory impressed many. It became increasingly</w:t>
      </w:r>
      <w:r w:rsidR="00025953">
        <w:t xml:space="preserve"> to establish a coalition between the South and the West in the name of </w:t>
      </w:r>
      <w:r w:rsidR="003931CA">
        <w:t>a small federal</w:t>
      </w:r>
      <w:r w:rsidR="00025953">
        <w:t xml:space="preserve"> government</w:t>
      </w:r>
      <w:r w:rsidR="005D597F">
        <w:t xml:space="preserve">; in the act, he sought to make Harrison and Clay out to be traitors to western interests. It is one </w:t>
      </w:r>
      <w:proofErr w:type="gramStart"/>
      <w:r w:rsidR="005D597F">
        <w:t>particular speech</w:t>
      </w:r>
      <w:proofErr w:type="gramEnd"/>
      <w:r w:rsidR="005D597F">
        <w:t xml:space="preserve"> that grabbed attention, in which</w:t>
      </w:r>
      <w:r w:rsidR="003931CA">
        <w:t xml:space="preserve"> the Northeast of </w:t>
      </w:r>
      <w:r w:rsidR="003871DC">
        <w:t xml:space="preserve">plotting to, at once, </w:t>
      </w:r>
      <w:r w:rsidR="0089514A">
        <w:t>crush the South</w:t>
      </w:r>
      <w:r w:rsidR="00967BBE">
        <w:t xml:space="preserve"> </w:t>
      </w:r>
      <w:r w:rsidR="0089514A">
        <w:t>through</w:t>
      </w:r>
      <w:r w:rsidR="005055E4">
        <w:t xml:space="preserve"> a high tariff and </w:t>
      </w:r>
      <w:r w:rsidR="00967BBE">
        <w:t xml:space="preserve">the West through control of the public lands, all for its own personal aggrandizement. </w:t>
      </w:r>
      <w:r w:rsidR="00927F00">
        <w:t>Against this, the great voice of Massachusetts, stood and gave</w:t>
      </w:r>
      <w:r w:rsidR="00BD1993">
        <w:t xml:space="preserve"> a speech of his own. He declared that, contrary to Calhoun’s claims, the Northeast was but the closest friend of the West, </w:t>
      </w:r>
      <w:r w:rsidR="00125621">
        <w:t>that</w:t>
      </w:r>
      <w:r w:rsidR="00BD1993">
        <w:t xml:space="preserve"> they were joined together in a love of free labor</w:t>
      </w:r>
      <w:r w:rsidR="00125621">
        <w:t xml:space="preserve">, and that the tariff was good for the </w:t>
      </w:r>
      <w:proofErr w:type="gramStart"/>
      <w:r w:rsidR="00125621">
        <w:t>nation as a whole</w:t>
      </w:r>
      <w:proofErr w:type="gramEnd"/>
      <w:r w:rsidR="00BD1993">
        <w:t xml:space="preserve">. </w:t>
      </w:r>
      <w:r w:rsidR="00125621">
        <w:t>And he brought the topic towards national unity, and laying aim at Calhoun, he condemned him for seeking to divide the nation</w:t>
      </w:r>
      <w:r w:rsidR="00A750E8">
        <w:t xml:space="preserve"> rather than strengthen its unity</w:t>
      </w:r>
      <w:r w:rsidR="00125621">
        <w:t xml:space="preserve">. </w:t>
      </w:r>
      <w:r w:rsidR="00053E2B">
        <w:t xml:space="preserve">Calhoun replied in kind, condemning Webster and the Northeast as hypocritical. He </w:t>
      </w:r>
      <w:r w:rsidR="00385384">
        <w:t>pointed to New Englander voices that called to secede over the election of Madison, over the Illinois Compromise. He derided Webster for having been a Federalist and ally of Hamilton well after it was respectable, and he pointed to him having opposed the tariff and given several speeches in praise of free trade before, apparently, economic shifts came. And he declared that, at least he and South Carolina were principled. It was a well-written speech, charismatically given which exposed hypocrisy</w:t>
      </w:r>
      <w:r w:rsidR="00AC51B5">
        <w:t xml:space="preserve"> in the most righteous of terms</w:t>
      </w:r>
      <w:r w:rsidR="00385384">
        <w:t xml:space="preserve"> and was undoubtedly a </w:t>
      </w:r>
      <w:r w:rsidR="009C6E06">
        <w:t>strong</w:t>
      </w:r>
      <w:r w:rsidR="00385384">
        <w:t xml:space="preserve"> act to follow. </w:t>
      </w:r>
      <w:r w:rsidR="008F51C6">
        <w:t>But Webster did</w:t>
      </w:r>
      <w:r w:rsidR="00CF29CD">
        <w:t>, in what posterity calls the Second Reply to Calhoun</w:t>
      </w:r>
      <w:r w:rsidR="008F51C6">
        <w:t xml:space="preserve">. </w:t>
      </w:r>
    </w:p>
    <w:p w14:paraId="64081E9E" w14:textId="600A2AA0" w:rsidR="00CF29CD" w:rsidRDefault="00CF29CD" w:rsidP="00DE7E1E">
      <w:r>
        <w:t xml:space="preserve">Webster first disproved the personal claims. He declared that, for all that he considered Hamilton an economic genius, he had not for one second supported </w:t>
      </w:r>
      <w:r w:rsidR="00D03DA8">
        <w:t>his</w:t>
      </w:r>
      <w:r>
        <w:t xml:space="preserve"> </w:t>
      </w:r>
      <w:r w:rsidR="00D03DA8">
        <w:t>conspiracy, he had condemned it immediately,</w:t>
      </w:r>
      <w:r>
        <w:t xml:space="preserve"> and he considered his great idol not Hamilton, but Aaron Burr. </w:t>
      </w:r>
      <w:r w:rsidR="001A294B">
        <w:t xml:space="preserve">He did not deny that he had praised free trade, but with the tariff having been imposed, Massachusetts </w:t>
      </w:r>
      <w:r w:rsidR="001A294B">
        <w:lastRenderedPageBreak/>
        <w:t>had been forced to adapt and had prospered by doing so – and so too should South Carolina. Bringing the topic to</w:t>
      </w:r>
      <w:r w:rsidR="00D007DB">
        <w:t>wards national, Webster brought the topic towards the great struggle for independence and Boston’s great role there, and he declared that, Massachusetts and South Carolina having worked together there, they should do so once more. And reciting a warning of what horrors nullification or secession might lead to, he concluded by declaring, “Liberty and Union, Now and Forever, One and Inseparable”. It was a bombastic end to one of the greatest speeches of history</w:t>
      </w:r>
      <w:r w:rsidR="00463657">
        <w:t xml:space="preserve">. The entire Senate looked stupefied by his furor, </w:t>
      </w:r>
      <w:r w:rsidR="00AC3BD1">
        <w:t xml:space="preserve">the silence </w:t>
      </w:r>
      <w:r w:rsidR="00463657">
        <w:t>only</w:t>
      </w:r>
      <w:r w:rsidR="00AC3BD1">
        <w:t xml:space="preserve"> broken by</w:t>
      </w:r>
      <w:r w:rsidR="00463657">
        <w:t xml:space="preserve"> Vice President Lowndes calling for order</w:t>
      </w:r>
      <w:r w:rsidR="00D007DB">
        <w:t xml:space="preserve">. Almost immediately, the Second Reply to Calhoun became distributed across the nation, </w:t>
      </w:r>
      <w:r w:rsidR="00E278B4">
        <w:t xml:space="preserve">from the manors of New York to the </w:t>
      </w:r>
      <w:r w:rsidR="00852A5D">
        <w:t>log cabins of Tennessee, and it turned Daniel Webster</w:t>
      </w:r>
      <w:r w:rsidR="002E471D">
        <w:t>’s reputation national,</w:t>
      </w:r>
      <w:r w:rsidR="00852A5D">
        <w:t xml:space="preserve"> into the “Expounder of the Constitution”</w:t>
      </w:r>
      <w:r w:rsidR="002E471D">
        <w:t>.</w:t>
      </w:r>
      <w:r w:rsidR="00390E79">
        <w:t xml:space="preserve"> Calhoun would </w:t>
      </w:r>
      <w:proofErr w:type="gramStart"/>
      <w:r w:rsidR="00390E79">
        <w:t>reply</w:t>
      </w:r>
      <w:proofErr w:type="gramEnd"/>
      <w:r w:rsidR="00390E79">
        <w:t xml:space="preserve"> weeks later, but most agreed that it was unsatisfactory, and that Daniel Webster had truly prevailed. </w:t>
      </w:r>
      <w:r w:rsidR="002E471D">
        <w:t xml:space="preserve"> </w:t>
      </w:r>
      <w:r w:rsidR="00AF207E">
        <w:t>Over the decades that followed, the Second Reply to Calhoun became part of the patriotic canon</w:t>
      </w:r>
      <w:r w:rsidR="00AC3BD1">
        <w:t xml:space="preserve">; even today, schoolchildren across the United States recite its final passage, with its famed closing triptych. </w:t>
      </w:r>
    </w:p>
    <w:p w14:paraId="2ECA37BB" w14:textId="2A349CC1" w:rsidR="00171E32" w:rsidRDefault="00E74AD4" w:rsidP="00DE7E1E">
      <w:r>
        <w:t>Calhoun’s efforts to obtain Congressional support for his principles defeated, this</w:t>
      </w:r>
      <w:r w:rsidR="00CA7D25">
        <w:t xml:space="preserve"> resulted in </w:t>
      </w:r>
      <w:r w:rsidR="000E334B">
        <w:t xml:space="preserve">opposition flowing out of Congress and the federal government and </w:t>
      </w:r>
      <w:r w:rsidR="00F22CEA">
        <w:t xml:space="preserve">towards the states. </w:t>
      </w:r>
      <w:r w:rsidR="00025B5F">
        <w:t xml:space="preserve">The </w:t>
      </w:r>
      <w:r w:rsidR="001D7E9D">
        <w:t>failure to reduce the</w:t>
      </w:r>
      <w:r w:rsidR="007F5656">
        <w:t xml:space="preserve"> tariff</w:t>
      </w:r>
      <w:r w:rsidR="001D7E9D">
        <w:t xml:space="preserve"> substantially</w:t>
      </w:r>
      <w:r w:rsidR="007F5656">
        <w:t xml:space="preserve">, combined with </w:t>
      </w:r>
      <w:r w:rsidR="001D7E9D">
        <w:t xml:space="preserve">the abolition of slavery in the British Isles, led to </w:t>
      </w:r>
      <w:r w:rsidR="00455FB6">
        <w:t xml:space="preserve">southern interests reviving the </w:t>
      </w:r>
      <w:proofErr w:type="gramStart"/>
      <w:r w:rsidR="00455FB6">
        <w:t>Principles</w:t>
      </w:r>
      <w:proofErr w:type="gramEnd"/>
      <w:r w:rsidR="00455FB6">
        <w:t xml:space="preserve"> of ’98. </w:t>
      </w:r>
      <w:r w:rsidR="00BC0675">
        <w:t>This</w:t>
      </w:r>
      <w:r w:rsidR="00090720">
        <w:t xml:space="preserve"> </w:t>
      </w:r>
      <w:r w:rsidR="00BC0675">
        <w:t>effort was</w:t>
      </w:r>
      <w:r w:rsidR="00090720">
        <w:t xml:space="preserve"> led by John C. Calhoun, </w:t>
      </w:r>
      <w:r w:rsidR="00BC0675">
        <w:t>who wrote a lengthy political tract declaring</w:t>
      </w:r>
      <w:r w:rsidR="00C77F0F">
        <w:t xml:space="preserve"> that, through a </w:t>
      </w:r>
      <w:r w:rsidR="00331115">
        <w:t xml:space="preserve">constitutional </w:t>
      </w:r>
      <w:r w:rsidR="00C77F0F">
        <w:t>convention, any state could declare laws it deemed unconstitutional</w:t>
      </w:r>
      <w:r w:rsidR="00DB7371">
        <w:t>,</w:t>
      </w:r>
      <w:r w:rsidR="00C77F0F">
        <w:t xml:space="preserve"> null and void</w:t>
      </w:r>
      <w:r w:rsidR="004014E3">
        <w:t>. This was the doctrine of nullification</w:t>
      </w:r>
      <w:r w:rsidR="00B137BF">
        <w:t>, and he aimed it straight at the tariff</w:t>
      </w:r>
      <w:r w:rsidR="004014E3">
        <w:t xml:space="preserve">. </w:t>
      </w:r>
      <w:r w:rsidR="00DC0BE9">
        <w:t>Thus, from initially declaring the tariff simply unconstitutional, following the Tariff of 1830 South Carolina convened a nullification convention</w:t>
      </w:r>
      <w:r w:rsidR="001B7489">
        <w:t xml:space="preserve"> which declared all tariffs </w:t>
      </w:r>
      <w:r w:rsidR="00194C67">
        <w:t>passed after</w:t>
      </w:r>
      <w:r w:rsidR="001B7489">
        <w:t xml:space="preserve"> 1810 unconstitutional</w:t>
      </w:r>
      <w:r w:rsidR="00A739B2">
        <w:t xml:space="preserve">. </w:t>
      </w:r>
      <w:r w:rsidR="00194C67">
        <w:t>Outside of the Republican Party, Calhoun faced off against protectionist</w:t>
      </w:r>
      <w:r w:rsidR="00CF23DF">
        <w:t xml:space="preserve"> interests</w:t>
      </w:r>
      <w:r w:rsidR="00194C67">
        <w:t xml:space="preserve">, while inside it he instead faced off against free traders who, nevertheless, </w:t>
      </w:r>
      <w:r w:rsidR="00194C67">
        <w:lastRenderedPageBreak/>
        <w:t>did not support nullification; it would be the latter who was the strongest obstacle to</w:t>
      </w:r>
      <w:r w:rsidR="00993C4E">
        <w:t xml:space="preserve"> his grand political aim, unifying the South against the tariff</w:t>
      </w:r>
      <w:r w:rsidR="00ED32E2">
        <w:t>, turning the Republican Party into a vehicle of Southern sectionalism,</w:t>
      </w:r>
      <w:r w:rsidR="00993C4E">
        <w:t xml:space="preserve"> and forcing the North and West to concede. </w:t>
      </w:r>
      <w:r w:rsidR="004E0635">
        <w:t xml:space="preserve">The doctrine of nullification failed to make any headway in Kentucky, Tennessee, and Yazoo, which despite being slave states either supported </w:t>
      </w:r>
      <w:r w:rsidR="00C01CC2">
        <w:t>protection out of nationalism</w:t>
      </w:r>
      <w:r w:rsidR="004E0635">
        <w:t xml:space="preserve"> or</w:t>
      </w:r>
      <w:r w:rsidR="00C01CC2">
        <w:t xml:space="preserve"> merely considered a high tariff bad policy; in Mississippi</w:t>
      </w:r>
      <w:r w:rsidR="00DB29A0">
        <w:t xml:space="preserve">, </w:t>
      </w:r>
      <w:r w:rsidR="00B128FC">
        <w:t>it had some support but was a firm minority</w:t>
      </w:r>
      <w:r w:rsidR="00F6033A">
        <w:t>;</w:t>
      </w:r>
      <w:r w:rsidR="00B128FC">
        <w:t xml:space="preserve"> and even in the Southeast</w:t>
      </w:r>
      <w:r w:rsidR="00F6033A">
        <w:t xml:space="preserve"> the issue </w:t>
      </w:r>
      <w:r w:rsidR="009E5579">
        <w:t xml:space="preserve">became heavily contested. </w:t>
      </w:r>
      <w:r w:rsidR="00494029">
        <w:t>N</w:t>
      </w:r>
      <w:r w:rsidR="009E5579">
        <w:t xml:space="preserve">o less </w:t>
      </w:r>
      <w:r w:rsidR="00494029">
        <w:t>than the Republican</w:t>
      </w:r>
      <w:r w:rsidR="009E5579">
        <w:t xml:space="preserve"> grandee James Madison </w:t>
      </w:r>
      <w:r w:rsidR="00494029">
        <w:t>declared that nullification was a perversion of the Virginia and Kentucky Resolutions</w:t>
      </w:r>
      <w:r w:rsidR="00F6033A">
        <w:t xml:space="preserve">. </w:t>
      </w:r>
    </w:p>
    <w:p w14:paraId="6AEF422C" w14:textId="0E1895E1" w:rsidR="00C07577" w:rsidRDefault="007A0430" w:rsidP="00DE7E1E">
      <w:r>
        <w:t xml:space="preserve">In Georgia, this combined with </w:t>
      </w:r>
      <w:r w:rsidR="006E7CC0">
        <w:t>existing tensions over</w:t>
      </w:r>
      <w:r w:rsidR="006A2839">
        <w:t xml:space="preserve"> its Indigenous population</w:t>
      </w:r>
      <w:r w:rsidR="00582230">
        <w:t>; by treaty, large swathes of its territory were</w:t>
      </w:r>
      <w:r w:rsidR="009A66DC">
        <w:t xml:space="preserve"> held by the Creek and the Cherokee, which were governed as nations </w:t>
      </w:r>
      <w:r w:rsidR="00FD565E">
        <w:t>with relations with the federal government –</w:t>
      </w:r>
      <w:r w:rsidR="009A66DC">
        <w:t xml:space="preserve"> but Georgia believed</w:t>
      </w:r>
      <w:r w:rsidR="00FD565E">
        <w:t xml:space="preserve"> that it had authority over Cherokee and Creek land within their borders, and</w:t>
      </w:r>
      <w:r w:rsidR="00DD6E7E">
        <w:t xml:space="preserve"> it sought to force the issue</w:t>
      </w:r>
      <w:r w:rsidR="006A2839">
        <w:t xml:space="preserve">. </w:t>
      </w:r>
      <w:r w:rsidR="00DD6E7E">
        <w:t xml:space="preserve">Harrison, or rather his Secretary of State Henry Clay, </w:t>
      </w:r>
      <w:r w:rsidR="00B12026">
        <w:t>despised</w:t>
      </w:r>
      <w:r w:rsidR="00DA5D6F">
        <w:t xml:space="preserve"> the sectionalist machinations of Georgia’s firebrand governor George Troup</w:t>
      </w:r>
      <w:r w:rsidR="00B12026">
        <w:t xml:space="preserve"> enough to</w:t>
      </w:r>
      <w:r w:rsidR="00DA5D6F">
        <w:t xml:space="preserve"> </w:t>
      </w:r>
      <w:r w:rsidR="003168FD">
        <w:t>sen</w:t>
      </w:r>
      <w:r w:rsidR="00B12026">
        <w:t>d</w:t>
      </w:r>
      <w:r w:rsidR="003168FD">
        <w:t xml:space="preserve"> troops to </w:t>
      </w:r>
      <w:r w:rsidR="00B12026">
        <w:t>protect the Cherokee from Georgian encroachment</w:t>
      </w:r>
      <w:r w:rsidR="00702455">
        <w:t>, but despite this the state government continued to force the issue by laying claim to jurisdiction over the Cherokee</w:t>
      </w:r>
      <w:r w:rsidR="00B12026">
        <w:t>. When a case on the subject travelled up to the Supreme Court</w:t>
      </w:r>
      <w:r w:rsidR="0058740E">
        <w:t xml:space="preserve"> in 1831</w:t>
      </w:r>
      <w:r w:rsidR="00B12026">
        <w:t xml:space="preserve">, </w:t>
      </w:r>
      <w:r w:rsidR="0058740E">
        <w:t>Chief Justice John Marshall declared that Georgia had no authority over the Cherokee</w:t>
      </w:r>
      <w:r w:rsidR="00F458AD">
        <w:t xml:space="preserve">, and that </w:t>
      </w:r>
      <w:r w:rsidR="001750F7">
        <w:t xml:space="preserve">relations between the Cherokee and the United States were international in nature. Despite this, Governor Troup declared that he did not recognize the authority of the Supreme Court over the issue, and he declared his intentions to nullify it. </w:t>
      </w:r>
      <w:r w:rsidR="00C1653B">
        <w:t>It would be after the great furor this caused, that</w:t>
      </w:r>
      <w:r w:rsidR="00072CCA">
        <w:t xml:space="preserve"> Georgia convened a nullification convention, to not only strike down </w:t>
      </w:r>
      <w:r w:rsidR="00072CCA" w:rsidRPr="00072CCA">
        <w:rPr>
          <w:i/>
          <w:iCs/>
        </w:rPr>
        <w:t>Cherokee Nation v. Georgia</w:t>
      </w:r>
      <w:r w:rsidR="00072CCA">
        <w:t>, but also</w:t>
      </w:r>
      <w:r w:rsidR="00CC534D">
        <w:t xml:space="preserve"> the tariff. This finally led to the breakdown of the federal government’s strong position on the </w:t>
      </w:r>
      <w:r w:rsidR="009A0BD3">
        <w:t>Cherokee, a</w:t>
      </w:r>
      <w:r w:rsidR="00D55E62">
        <w:t xml:space="preserve">s they feared driving Georgia into the hands of South Carolina more than they did Troup’s machinations. </w:t>
      </w:r>
    </w:p>
    <w:p w14:paraId="30936D6D" w14:textId="3C77966B" w:rsidR="007A0430" w:rsidRDefault="00D55E62" w:rsidP="00DE7E1E">
      <w:r>
        <w:lastRenderedPageBreak/>
        <w:t xml:space="preserve">In </w:t>
      </w:r>
      <w:proofErr w:type="gramStart"/>
      <w:r>
        <w:t>addition</w:t>
      </w:r>
      <w:proofErr w:type="gramEnd"/>
      <w:r>
        <w:t xml:space="preserve"> came the discovery of gold in land adjacent to the Cherokee, a</w:t>
      </w:r>
      <w:r w:rsidR="007421AA">
        <w:t>n</w:t>
      </w:r>
      <w:r>
        <w:t>d the ensuing</w:t>
      </w:r>
      <w:r w:rsidR="007421AA">
        <w:t xml:space="preserve"> gold rush saw prospectors simply ignore the border and cross over. When </w:t>
      </w:r>
      <w:r w:rsidR="003C3AC4">
        <w:t>prospectors organized themselves into mobs to kill Cherokee and steal their land, the federal army chose not to interfere, on orders of Washington; neither Harrison nor Clay</w:t>
      </w:r>
      <w:r w:rsidR="00CC64D9">
        <w:t xml:space="preserve"> were friends of the Indigenous</w:t>
      </w:r>
      <w:r w:rsidR="00E434B3">
        <w:t>, and th</w:t>
      </w:r>
      <w:r w:rsidR="00664AC3">
        <w:t xml:space="preserve">ough they despised Troup, they were perfectly willing to sell the Cherokee out to prevent the </w:t>
      </w:r>
      <w:r w:rsidR="004B21C8">
        <w:t xml:space="preserve">formation of a nullification bloc. </w:t>
      </w:r>
      <w:proofErr w:type="gramStart"/>
      <w:r w:rsidR="009320F3">
        <w:t>Thus</w:t>
      </w:r>
      <w:proofErr w:type="gramEnd"/>
      <w:r w:rsidR="009320F3">
        <w:t xml:space="preserve"> it was that federal troops departed from the Cherokee Nation’s lowlands and allowed mobs and the state government to do what they would to the Indigenous there. </w:t>
      </w:r>
      <w:r w:rsidR="00A94D2E">
        <w:t xml:space="preserve">Fleeing the ensuing violence, many </w:t>
      </w:r>
      <w:proofErr w:type="gramStart"/>
      <w:r w:rsidR="00A94D2E">
        <w:t>Cherokee</w:t>
      </w:r>
      <w:proofErr w:type="gramEnd"/>
      <w:r w:rsidR="00A94D2E">
        <w:t xml:space="preserve"> fled up to the </w:t>
      </w:r>
      <w:proofErr w:type="gramStart"/>
      <w:r w:rsidR="00A94D2E">
        <w:t>Appalachian mountains</w:t>
      </w:r>
      <w:proofErr w:type="gramEnd"/>
      <w:r w:rsidR="00A94D2E">
        <w:t xml:space="preserve">; still others </w:t>
      </w:r>
      <w:r w:rsidR="00F66AD9">
        <w:t>determined</w:t>
      </w:r>
      <w:r w:rsidR="00A94D2E">
        <w:t xml:space="preserve"> the United States was </w:t>
      </w:r>
      <w:r w:rsidR="00F66AD9">
        <w:t>readying to open their land for settlers</w:t>
      </w:r>
      <w:r w:rsidR="00A94D2E">
        <w:t xml:space="preserve"> and, </w:t>
      </w:r>
      <w:r w:rsidR="00682CBB">
        <w:t>purchasing land to this end,</w:t>
      </w:r>
      <w:r w:rsidR="003576CC">
        <w:t xml:space="preserve"> </w:t>
      </w:r>
      <w:r w:rsidR="00682CBB">
        <w:t xml:space="preserve">moved to Spanish Texas which was only too happy to use them as a buffer against the Americans. </w:t>
      </w:r>
      <w:r w:rsidR="001961A6">
        <w:t>In this, they joined the Red Stick faction of the Creek who had fled there after the end of the Luisiana War</w:t>
      </w:r>
      <w:r w:rsidR="00CE5A09">
        <w:t xml:space="preserve">; coming with them were Chickasaw, Choctaw, and pro-American Creek, who similarly </w:t>
      </w:r>
      <w:r w:rsidR="000F79E5">
        <w:t>fled</w:t>
      </w:r>
      <w:r w:rsidR="00CE5A09">
        <w:t xml:space="preserve"> their reservations to the </w:t>
      </w:r>
      <w:r w:rsidR="00AE3220">
        <w:t xml:space="preserve">expanse </w:t>
      </w:r>
      <w:r w:rsidR="00804ABD">
        <w:t>of</w:t>
      </w:r>
      <w:r w:rsidR="00AE3220">
        <w:t xml:space="preserve"> Spanish</w:t>
      </w:r>
      <w:r w:rsidR="00804ABD">
        <w:t xml:space="preserve"> Texas</w:t>
      </w:r>
      <w:r w:rsidR="000F79E5">
        <w:t xml:space="preserve"> before the government would force them</w:t>
      </w:r>
      <w:r w:rsidR="00804ABD">
        <w:t xml:space="preserve">. </w:t>
      </w:r>
      <w:r w:rsidR="00B0470D">
        <w:t xml:space="preserve">By the time the Indian Removal Act passed Congress and finally proved those who still trusted the federal government wrong, </w:t>
      </w:r>
      <w:r w:rsidR="00CD3428">
        <w:t xml:space="preserve">the bulk of those four nations were already in Spanish Texas, </w:t>
      </w:r>
      <w:r w:rsidR="006628B3">
        <w:t>and the new reservations established for them within the former Luisiana were a much smaller affair</w:t>
      </w:r>
      <w:r w:rsidR="009E684D">
        <w:rPr>
          <w:rStyle w:val="EndnoteReference"/>
        </w:rPr>
        <w:endnoteReference w:id="78"/>
      </w:r>
      <w:r w:rsidR="006628B3">
        <w:t xml:space="preserve">. </w:t>
      </w:r>
    </w:p>
    <w:p w14:paraId="3DE4F3AF" w14:textId="4D5054A0" w:rsidR="00F66AD9" w:rsidRDefault="00F66AD9" w:rsidP="00DE7E1E">
      <w:r>
        <w:t>However, this did not stop</w:t>
      </w:r>
      <w:r w:rsidR="009A6BD8">
        <w:t xml:space="preserve"> Georgia’s drift into </w:t>
      </w:r>
      <w:proofErr w:type="spellStart"/>
      <w:r w:rsidR="009A6BD8">
        <w:t>nullificationism</w:t>
      </w:r>
      <w:proofErr w:type="spellEnd"/>
      <w:r w:rsidR="009A6BD8">
        <w:t>; its convention returned a majority for the nullificationists, even if it prevented them fr</w:t>
      </w:r>
      <w:r w:rsidR="005C6AB5">
        <w:t>om achieving the much-feared</w:t>
      </w:r>
      <w:r w:rsidR="008964DB">
        <w:t xml:space="preserve"> two-thirds majority. It promptly nullified </w:t>
      </w:r>
      <w:r w:rsidR="008964DB" w:rsidRPr="008964DB">
        <w:rPr>
          <w:i/>
          <w:iCs/>
        </w:rPr>
        <w:t>Cherokee Nation v. Georgia</w:t>
      </w:r>
      <w:r w:rsidR="008964DB">
        <w:t xml:space="preserve">, as well as the tariff, although </w:t>
      </w:r>
      <w:r w:rsidR="00021AC2">
        <w:t>the majority was weak enough</w:t>
      </w:r>
      <w:r w:rsidR="008964DB">
        <w:t xml:space="preserve"> failed to push for further action. </w:t>
      </w:r>
      <w:r w:rsidR="006D2A01">
        <w:t xml:space="preserve">Additionally, </w:t>
      </w:r>
      <w:r w:rsidR="00772041">
        <w:t xml:space="preserve">that </w:t>
      </w:r>
      <w:r w:rsidR="006D2A01">
        <w:t>the Harrison administration</w:t>
      </w:r>
      <w:r w:rsidR="00772041">
        <w:t xml:space="preserve"> allowed blatant land-thievery against the Cherokee saw it firmly criticized within the Northeast, including by many of its own Democrats. </w:t>
      </w:r>
      <w:r w:rsidR="006617DE">
        <w:t>Foremost among them was no less than the great Daniel Webster</w:t>
      </w:r>
      <w:r w:rsidR="0084407A">
        <w:t xml:space="preserve"> – although it did not stop him from supporting the administration</w:t>
      </w:r>
      <w:r w:rsidR="006617DE">
        <w:t xml:space="preserve">. </w:t>
      </w:r>
      <w:r w:rsidR="00B0470D">
        <w:t xml:space="preserve">Though </w:t>
      </w:r>
      <w:r w:rsidR="00B0470D">
        <w:lastRenderedPageBreak/>
        <w:t>neither of these</w:t>
      </w:r>
      <w:r w:rsidR="00C5195D">
        <w:t xml:space="preserve"> rifts</w:t>
      </w:r>
      <w:r w:rsidR="00B0470D">
        <w:t xml:space="preserve"> were fatal</w:t>
      </w:r>
      <w:r w:rsidR="00C5195D">
        <w:t>, it demonstrated that the Harrison administration had</w:t>
      </w:r>
      <w:r w:rsidR="00673F12">
        <w:t xml:space="preserve"> laid claim to a very tenuous middle position that left nobody happy. </w:t>
      </w:r>
      <w:r w:rsidR="00D67E86">
        <w:t xml:space="preserve">And it was a victory for John C. Calhoun and his quest to turn the Republican Party into a vehicle for </w:t>
      </w:r>
      <w:r w:rsidR="001877EF">
        <w:t xml:space="preserve">southern sectionalism. </w:t>
      </w:r>
    </w:p>
    <w:p w14:paraId="5E4FD432" w14:textId="77777777" w:rsidR="005D7EF3" w:rsidRDefault="007B4114" w:rsidP="00A8518F">
      <w:r>
        <w:t xml:space="preserve">The next state where the issue of nullification emerged was in </w:t>
      </w:r>
      <w:r w:rsidR="00B31033">
        <w:t>Virginia. This was a momentous state here – it was the state of Thomas Jefferson</w:t>
      </w:r>
      <w:r w:rsidR="00A35EF6">
        <w:t xml:space="preserve">, who had after all wrote the nullificationist Kentucky Resolutions and had additionally called protectionist tariffs unconstitutional. Additionally, </w:t>
      </w:r>
      <w:r w:rsidR="00B31033">
        <w:t xml:space="preserve">it was the state of the </w:t>
      </w:r>
      <w:r w:rsidR="00626262">
        <w:t xml:space="preserve">Richmond Junto which headed the </w:t>
      </w:r>
      <w:r w:rsidR="00A35EF6">
        <w:t>Republican Party, so to Calhoun winning its support was crucial. However, in this it faced strong opposition</w:t>
      </w:r>
      <w:r w:rsidR="006D0B05">
        <w:t xml:space="preserve">; though the compact theory of the constitution which Calhoun advocated was strongly held, the application of this towards nullification, especially of the tariff, </w:t>
      </w:r>
      <w:r w:rsidR="00C41CC3">
        <w:t>was</w:t>
      </w:r>
      <w:r w:rsidR="006D0B05">
        <w:t xml:space="preserve"> strongly disputed. One such voice was</w:t>
      </w:r>
      <w:r w:rsidR="00C41CC3">
        <w:t xml:space="preserve"> James Madison, who from his retirement condemned nullification as contrary to the Virginia and Kentucky Resolutions</w:t>
      </w:r>
      <w:r w:rsidR="00BB0D5F">
        <w:t xml:space="preserve">, and that though he </w:t>
      </w:r>
      <w:r w:rsidR="003300F4">
        <w:t>believed protectionist tariff unconstitutional, he did not believe states could declare laws null and void within their borders</w:t>
      </w:r>
      <w:r w:rsidR="00DA3825">
        <w:t xml:space="preserve">. </w:t>
      </w:r>
      <w:r w:rsidR="00E82CEE">
        <w:t xml:space="preserve">This reflected a civil war within the Virginia Republican Party, which was practically the entire state, as well as </w:t>
      </w:r>
      <w:r w:rsidR="00F308F0">
        <w:t xml:space="preserve">within the Richmond Junto that lay at his head. </w:t>
      </w:r>
    </w:p>
    <w:p w14:paraId="1176EB17" w14:textId="4F1F1BFE" w:rsidR="00A8518F" w:rsidRDefault="00A8518F" w:rsidP="00A8518F">
      <w:r>
        <w:t xml:space="preserve">Though Virginia’s legislature easily passed </w:t>
      </w:r>
      <w:r w:rsidR="005D7EF3">
        <w:t xml:space="preserve">a resolution merely declaring protectionists tariffs unconstitutional – even legislators representing industrial interests believed so – the fight had merely begun. </w:t>
      </w:r>
      <w:r w:rsidR="007C41E1">
        <w:t>The governor, Peter V. Daniel, was a firm nullificationist – believing it a necessary counterweight to the “abolitionist” North</w:t>
      </w:r>
      <w:r w:rsidR="001C19C4">
        <w:t xml:space="preserve"> and regarding </w:t>
      </w:r>
      <w:r w:rsidR="00A615C0">
        <w:t>Calhoun as Jefferson’s latter-day successor</w:t>
      </w:r>
      <w:r w:rsidR="007C41E1">
        <w:t xml:space="preserve"> – and he worked the </w:t>
      </w:r>
      <w:r w:rsidR="001C19C4">
        <w:t xml:space="preserve">legislature to get it to </w:t>
      </w:r>
      <w:r w:rsidR="00FD015B">
        <w:t xml:space="preserve">call a convention for nullification purposes. This issue divided it into two sections, but in the </w:t>
      </w:r>
      <w:proofErr w:type="gramStart"/>
      <w:r w:rsidR="00FD015B">
        <w:t>end</w:t>
      </w:r>
      <w:proofErr w:type="gramEnd"/>
      <w:r w:rsidR="00FD015B">
        <w:t xml:space="preserve"> Governor Daniel successfully obtained enough support within its </w:t>
      </w:r>
      <w:r w:rsidR="003722D3">
        <w:t xml:space="preserve">legislature to call for a nullification convention. </w:t>
      </w:r>
      <w:r w:rsidR="00625ACA">
        <w:t xml:space="preserve">The ensuing </w:t>
      </w:r>
      <w:r w:rsidR="00DD2C7B">
        <w:t>elections to it</w:t>
      </w:r>
      <w:r w:rsidR="00625ACA">
        <w:t xml:space="preserve"> saw a hard fight between pro-nullification and anti-nullification parties – both of which were </w:t>
      </w:r>
      <w:r w:rsidR="00625ACA">
        <w:lastRenderedPageBreak/>
        <w:t xml:space="preserve">broadly factions within the Republican Party – </w:t>
      </w:r>
      <w:r w:rsidR="00DD2C7B">
        <w:t>but the</w:t>
      </w:r>
      <w:r w:rsidR="00EB6F3A">
        <w:t xml:space="preserve"> result was a small majority for nullificationists. By the time the convention met, it formally declared the tariff null and void, and additionally it called for all states who opposed it </w:t>
      </w:r>
      <w:r w:rsidR="00520799">
        <w:t>to send delegates to meet in a</w:t>
      </w:r>
      <w:r w:rsidR="00223D22">
        <w:t xml:space="preserve"> general</w:t>
      </w:r>
      <w:r w:rsidR="00520799">
        <w:t xml:space="preserve"> convention</w:t>
      </w:r>
      <w:r w:rsidR="00223D22">
        <w:t xml:space="preserve"> of the states,</w:t>
      </w:r>
      <w:r w:rsidR="00520799">
        <w:t xml:space="preserve"> in opposition</w:t>
      </w:r>
      <w:r w:rsidR="00223D22">
        <w:t xml:space="preserve"> to protectionism</w:t>
      </w:r>
      <w:r w:rsidR="00520799">
        <w:t xml:space="preserve">. This represented Calhoun’s victory in receiving the headship of the Republican Party – and </w:t>
      </w:r>
      <w:r w:rsidR="00B65D3A">
        <w:t>it was clear he would be</w:t>
      </w:r>
      <w:r w:rsidR="00520799">
        <w:t xml:space="preserve"> the leading personality in </w:t>
      </w:r>
      <w:r w:rsidR="00B65D3A">
        <w:t>ensuing</w:t>
      </w:r>
      <w:r w:rsidR="00520799">
        <w:t xml:space="preserve"> Convention. </w:t>
      </w:r>
    </w:p>
    <w:p w14:paraId="48DB9BB9" w14:textId="6082EA9C" w:rsidR="00627CB2" w:rsidRDefault="00627CB2" w:rsidP="00A8518F">
      <w:r>
        <w:t xml:space="preserve">This additionally resulted in </w:t>
      </w:r>
      <w:r w:rsidR="00B65D3A">
        <w:t xml:space="preserve">calls for the other states to meet at Norfolk, to join Virginia, South Carolina, and Georgia to agree on joint action. </w:t>
      </w:r>
      <w:r w:rsidR="004D5195">
        <w:t xml:space="preserve">In this, they received the concurrence of North Carolina, thus creating a united bloc; out in the Southwest, they additionally received the concurrence of Mississippi. However, by a narrow margin, Yazoo </w:t>
      </w:r>
      <w:r w:rsidR="008D4200">
        <w:t>refused to do so, and by quite strong margins so too did Kentucky and Tennessee. This owed itself to their firm nationalism, and indeed with strong support for Harrison and Clay</w:t>
      </w:r>
      <w:r w:rsidR="00E343D2">
        <w:t xml:space="preserve"> and their economic agenda</w:t>
      </w:r>
      <w:r w:rsidR="008D4200">
        <w:t xml:space="preserve">. </w:t>
      </w:r>
      <w:r w:rsidR="00081F24">
        <w:t xml:space="preserve">And so too did </w:t>
      </w:r>
      <w:r w:rsidR="007E6394">
        <w:t>Orleans, which strongly supported a high tariff to protect its sugar-based economy, and in any case its Franco-Spanish Creole population did not wish to rock the union</w:t>
      </w:r>
      <w:r w:rsidR="00DB7013">
        <w:rPr>
          <w:rStyle w:val="EndnoteReference"/>
        </w:rPr>
        <w:endnoteReference w:id="79"/>
      </w:r>
      <w:r w:rsidR="007E6394">
        <w:t xml:space="preserve">. </w:t>
      </w:r>
      <w:r w:rsidR="00373D92">
        <w:t xml:space="preserve">When the Norfolk Convention did meet, it declared that the tariff was unconstitutional and null and void within their states; however, it did not declare immediate action, and indeed Calhoun successfully got more eager nullificationists to sit tight for the coming election. </w:t>
      </w:r>
    </w:p>
    <w:p w14:paraId="642D202E" w14:textId="0461FE01" w:rsidR="00373D92" w:rsidRDefault="00373D92" w:rsidP="00A8518F">
      <w:r>
        <w:t xml:space="preserve">And thus, coming into 1832 the United States was an immensely divided country. The </w:t>
      </w:r>
      <w:r w:rsidR="000118BD">
        <w:t xml:space="preserve">Republicans had been thoroughly overrun under the spirit of Calhoun, and few disagreed that it would surely be he who would lead their party in the coming election. </w:t>
      </w:r>
      <w:r w:rsidR="00C40E2E">
        <w:t>For Harrison’s part, he believed the tariff was a symptom of the problem, that it was simply a policy which the Republican Party sought to ride to power. For him, the real object was nothing less than the disintegration of the Union and its reconstruction on the principles of the “Virginia and Carolina principles”</w:t>
      </w:r>
      <w:r w:rsidR="0028034C">
        <w:t xml:space="preserve"> of </w:t>
      </w:r>
      <w:r w:rsidR="0028034C">
        <w:lastRenderedPageBreak/>
        <w:t>Jefferson and Calhoun</w:t>
      </w:r>
      <w:r w:rsidR="00C40E2E">
        <w:t xml:space="preserve">. </w:t>
      </w:r>
      <w:r w:rsidR="008D2F0E">
        <w:t xml:space="preserve">And </w:t>
      </w:r>
      <w:proofErr w:type="gramStart"/>
      <w:r w:rsidR="008D2F0E">
        <w:t>thus</w:t>
      </w:r>
      <w:proofErr w:type="gramEnd"/>
      <w:r w:rsidR="008D2F0E">
        <w:t xml:space="preserve"> it was, that coming into the coming elections, he would do whatever he could to ensure the victory of the constitution and cohesion</w:t>
      </w:r>
      <w:r w:rsidR="003E5780">
        <w:t xml:space="preserve"> of the nation</w:t>
      </w:r>
      <w:r w:rsidR="008D2F0E">
        <w:t xml:space="preserve">. </w:t>
      </w:r>
    </w:p>
    <w:p w14:paraId="414E9ED9" w14:textId="77777777" w:rsidR="002816DD" w:rsidRDefault="002816DD" w:rsidP="002816DD">
      <w:r>
        <w:br w:type="page"/>
      </w:r>
    </w:p>
    <w:p w14:paraId="5568AD00" w14:textId="77777777" w:rsidR="00193F08" w:rsidRPr="008B3175" w:rsidRDefault="00193F08" w:rsidP="00193F08"/>
    <w:p w14:paraId="2BC1AF2B" w14:textId="77777777" w:rsidR="00193F08" w:rsidRDefault="00193F08" w:rsidP="00193F08">
      <w:pPr>
        <w:sectPr w:rsidR="00193F08" w:rsidSect="00193F08">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4069DA1D" w14:textId="77777777" w:rsidR="00193F08" w:rsidRDefault="00193F08" w:rsidP="00193F08">
      <w:r>
        <w:br w:type="page"/>
      </w:r>
    </w:p>
    <w:p w14:paraId="105B7E0B" w14:textId="489CE055" w:rsidR="002816DD" w:rsidRDefault="00193F08" w:rsidP="00134E7A">
      <w:pPr>
        <w:pStyle w:val="Heading1"/>
      </w:pPr>
      <w:bookmarkStart w:id="22" w:name="_Toc202006216"/>
      <w:r>
        <w:lastRenderedPageBreak/>
        <w:t xml:space="preserve">17. </w:t>
      </w:r>
      <w:r w:rsidR="003A4B47">
        <w:t>The Power to Destroy</w:t>
      </w:r>
      <w:bookmarkEnd w:id="22"/>
    </w:p>
    <w:p w14:paraId="52F23EBA" w14:textId="151C648B" w:rsidR="00134E7A" w:rsidRDefault="00134E7A" w:rsidP="00134E7A">
      <w:r>
        <w:t xml:space="preserve">For all that Federalism had been swept from Presidency, from Congress, and </w:t>
      </w:r>
      <w:r w:rsidR="000B2555">
        <w:t xml:space="preserve">from the state governments, </w:t>
      </w:r>
      <w:r w:rsidR="00C36687">
        <w:t xml:space="preserve">there was one place it continued to survive – the Supreme Court. </w:t>
      </w:r>
      <w:r w:rsidR="005437FA">
        <w:t>Here, Washington and Adams had constituted a Supreme Court consisting of Federalists, including its Chief Justice, John Marshall</w:t>
      </w:r>
      <w:r w:rsidR="00151F86">
        <w:t>, and given that under the 1787 constitution Supreme Court Justices served for life and could only be removed by impeachment</w:t>
      </w:r>
      <w:r w:rsidR="002D3302">
        <w:t>, there was little the Republicans and Democrats could do to change it</w:t>
      </w:r>
      <w:r w:rsidR="005437FA">
        <w:t>. Marshall dominated the intellectual and political life of the Supreme Court until his death</w:t>
      </w:r>
      <w:r w:rsidR="00FF56E8">
        <w:t xml:space="preserve"> – little wonder we call the entire 1800-1835 era of the Supreme Court the “Marshall Court” – and here, Federalism not only lived, but prospered. </w:t>
      </w:r>
      <w:r w:rsidR="00030E7E">
        <w:t xml:space="preserve">Though President Jefferson wanted </w:t>
      </w:r>
      <w:r w:rsidR="000241C7">
        <w:t>the Federalists purged from the Supreme Court</w:t>
      </w:r>
      <w:r w:rsidR="00030E7E">
        <w:t xml:space="preserve">, </w:t>
      </w:r>
      <w:r w:rsidR="000241C7">
        <w:t xml:space="preserve">this ended up entirely failing after the </w:t>
      </w:r>
      <w:r w:rsidR="009A3E2A">
        <w:t>defeat of the impeachment of Samuel Chase</w:t>
      </w:r>
      <w:r w:rsidR="006A3EC9">
        <w:t>, and instead he sought to slowly undercut</w:t>
      </w:r>
      <w:r w:rsidR="00151F86">
        <w:t xml:space="preserve"> the Supreme Court when it came time to appoint </w:t>
      </w:r>
      <w:r w:rsidR="00454291">
        <w:t xml:space="preserve">new justices. This allowed the Marshall Court some time in the limelight – and he sought to bring its authority as far as possible, without provoking a counterreaction which might lead to a constitutional amendment. </w:t>
      </w:r>
    </w:p>
    <w:p w14:paraId="19615FBC" w14:textId="1D2CDB1E" w:rsidR="00770FD8" w:rsidRDefault="00770FD8" w:rsidP="00134E7A">
      <w:r>
        <w:t xml:space="preserve">The Marshall Court made its mark early in its history. </w:t>
      </w:r>
      <w:r w:rsidR="00353319">
        <w:t>Emerging in the political crisis w</w:t>
      </w:r>
      <w:r w:rsidR="0099429E">
        <w:t>ith Jefferson’s succession to the presidency, John Adams had, as one of the last acts of his presidency</w:t>
      </w:r>
      <w:r w:rsidR="00636989">
        <w:t xml:space="preserve">, appointed several judges to </w:t>
      </w:r>
      <w:r w:rsidR="009955B6">
        <w:t xml:space="preserve">vacant and newly-established posts, and indeed they had done so with such speed that </w:t>
      </w:r>
      <w:r w:rsidR="009B5CDB">
        <w:t xml:space="preserve">the outgoing secretary of state had not been able to hand their commissions in time; by the time Jefferson came into office, </w:t>
      </w:r>
      <w:r w:rsidR="003A5448">
        <w:t>his Secretary of State, Aaron Burr, simply refused to hand them</w:t>
      </w:r>
      <w:r w:rsidR="00E82F02">
        <w:t xml:space="preserve"> to those appointed, declaring them void as that was done improperly. </w:t>
      </w:r>
      <w:r w:rsidR="00E86D2B">
        <w:t xml:space="preserve">One of the commissions set aside was to go to William Marbury, and as he continued to be denied his </w:t>
      </w:r>
      <w:proofErr w:type="gramStart"/>
      <w:r w:rsidR="00E86D2B">
        <w:t>commission</w:t>
      </w:r>
      <w:proofErr w:type="gramEnd"/>
      <w:r w:rsidR="00E86D2B">
        <w:t xml:space="preserve"> he sued Secretary Burr for it. </w:t>
      </w:r>
      <w:r w:rsidR="008F7DE5">
        <w:t xml:space="preserve">The Marshall Court subsequently declared that Burr’s refusal to hand the commission; however, it paired this judgement with a declaration that the </w:t>
      </w:r>
      <w:r w:rsidR="008F7DE5">
        <w:lastRenderedPageBreak/>
        <w:t xml:space="preserve">section of the Judiciary Act of 1789 </w:t>
      </w:r>
      <w:r w:rsidR="00E434A9">
        <w:t>giving the Supreme Court jurisdiction over the case, unconstitutional</w:t>
      </w:r>
      <w:r w:rsidR="00786B20">
        <w:t>, and therefore null and void and therefore it could not force Secretary Burr from offering the</w:t>
      </w:r>
      <w:r w:rsidR="00794010">
        <w:t xml:space="preserve"> commissions</w:t>
      </w:r>
      <w:r w:rsidR="00E434A9">
        <w:t xml:space="preserve">. </w:t>
      </w:r>
      <w:r w:rsidR="00AA33F1">
        <w:t xml:space="preserve">The case of </w:t>
      </w:r>
      <w:r w:rsidR="00AA33F1" w:rsidRPr="00AA33F1">
        <w:rPr>
          <w:i/>
          <w:iCs/>
        </w:rPr>
        <w:t>Marbury v. Burr</w:t>
      </w:r>
      <w:r w:rsidR="00AA33F1">
        <w:t xml:space="preserve"> (1803) was</w:t>
      </w:r>
      <w:r w:rsidR="005225A5">
        <w:t xml:space="preserve"> a decisive one; it established the principle that the courts could strike down unconstitutional federal laws, while also avoiding a collision with the executive that would </w:t>
      </w:r>
      <w:r w:rsidR="00FE124B">
        <w:t xml:space="preserve">doubtless </w:t>
      </w:r>
      <w:r w:rsidR="005225A5">
        <w:t xml:space="preserve">end with the judiciary defeated and impotent. </w:t>
      </w:r>
      <w:r w:rsidR="00950ABA">
        <w:t>The authority of the judiciary</w:t>
      </w:r>
      <w:r w:rsidR="0007622E">
        <w:t xml:space="preserve"> over Congress</w:t>
      </w:r>
      <w:r w:rsidR="00950ABA">
        <w:t xml:space="preserve"> would</w:t>
      </w:r>
      <w:r w:rsidR="00DE7B8F">
        <w:t xml:space="preserve"> thus</w:t>
      </w:r>
      <w:r w:rsidR="00950ABA">
        <w:t xml:space="preserve"> be preserved until</w:t>
      </w:r>
      <w:r w:rsidR="002013C3">
        <w:t xml:space="preserve"> after the Liberty and Union War. </w:t>
      </w:r>
    </w:p>
    <w:p w14:paraId="633B21F4" w14:textId="5252427B" w:rsidR="00027C55" w:rsidRDefault="00950ABA" w:rsidP="00027C55">
      <w:r>
        <w:t xml:space="preserve">Another great episode of the Marshall Court came when the state of New Hampshire attempted to amend the charter of Dartmouth College unilaterally; this resulted in its board of trustees suing over this being against the terms of the </w:t>
      </w:r>
      <w:proofErr w:type="gramStart"/>
      <w:r>
        <w:t>charter, and</w:t>
      </w:r>
      <w:proofErr w:type="gramEnd"/>
      <w:r>
        <w:t xml:space="preserve"> taking the case to the Supreme Court</w:t>
      </w:r>
      <w:r w:rsidR="00571624">
        <w:t xml:space="preserve"> in 1819. Famously, Dartmouth was represented by the great Daniel Webster, who in his </w:t>
      </w:r>
      <w:r w:rsidR="00606CC0">
        <w:t>defence declared, “</w:t>
      </w:r>
      <w:r w:rsidR="00606CC0" w:rsidRPr="00606CC0">
        <w:t>It is, Sir, as I have said, a small college. And yet there are those who love it</w:t>
      </w:r>
      <w:r w:rsidR="00606CC0">
        <w:t xml:space="preserve">”, and whose defence was so moving it brought tears to Marshall’s eyes. </w:t>
      </w:r>
      <w:r w:rsidR="00FF28BB">
        <w:t xml:space="preserve">In the end, the Supreme Court ruled that the college charter was </w:t>
      </w:r>
      <w:r w:rsidR="00346880">
        <w:t xml:space="preserve">binding and reversed New Hampshire’s </w:t>
      </w:r>
      <w:r w:rsidR="007A5E6E">
        <w:t>attempt to amend</w:t>
      </w:r>
      <w:r w:rsidR="0024659E">
        <w:t xml:space="preserve"> it</w:t>
      </w:r>
      <w:r w:rsidR="00204640">
        <w:rPr>
          <w:rStyle w:val="EndnoteReference"/>
        </w:rPr>
        <w:endnoteReference w:id="80"/>
      </w:r>
      <w:r w:rsidR="00346880">
        <w:t xml:space="preserve">. This ended up an important ruling, as it secured the autonomy of corporations from the state; though this </w:t>
      </w:r>
      <w:r w:rsidR="00A27049">
        <w:t>autonomy was swiftly</w:t>
      </w:r>
      <w:r w:rsidR="00346880">
        <w:t xml:space="preserve"> truncated when states simply included articles in corporate charters allowing them to amend them unilaterally</w:t>
      </w:r>
      <w:r w:rsidR="005C10A5">
        <w:t>, it had immense ratifications on the rise of industrial modernity in the years that followed</w:t>
      </w:r>
      <w:r w:rsidR="00346880">
        <w:t xml:space="preserve">. </w:t>
      </w:r>
      <w:r w:rsidR="007C4D46">
        <w:t xml:space="preserve">Even today, </w:t>
      </w:r>
      <w:r w:rsidR="009A6885">
        <w:t>under</w:t>
      </w:r>
      <w:r w:rsidR="007C4D46">
        <w:t xml:space="preserve"> the new constitution, it is only the federal government which may amend corporate charters</w:t>
      </w:r>
      <w:r w:rsidR="00D431DF">
        <w:t xml:space="preserve"> without</w:t>
      </w:r>
      <w:r w:rsidR="00896BC1">
        <w:t xml:space="preserve"> charters having</w:t>
      </w:r>
      <w:r w:rsidR="00D431DF">
        <w:t xml:space="preserve"> relevant articles thereof</w:t>
      </w:r>
      <w:r w:rsidR="007C4D46">
        <w:t xml:space="preserve">. </w:t>
      </w:r>
    </w:p>
    <w:p w14:paraId="2DBF7CC2" w14:textId="24421661" w:rsidR="008E22C8" w:rsidRDefault="007C4D46" w:rsidP="00027C55">
      <w:r>
        <w:t>A</w:t>
      </w:r>
      <w:r w:rsidR="005F4A98">
        <w:t xml:space="preserve">dditionally, the Marshall Court played a quite decisive role </w:t>
      </w:r>
      <w:r w:rsidR="00546595">
        <w:t>in</w:t>
      </w:r>
      <w:r w:rsidR="00CC04E1">
        <w:t xml:space="preserve"> </w:t>
      </w:r>
      <w:r w:rsidR="00546595">
        <w:t xml:space="preserve">establishing a </w:t>
      </w:r>
      <w:r w:rsidR="002F490A">
        <w:t>federalized</w:t>
      </w:r>
      <w:r w:rsidR="00546595">
        <w:t xml:space="preserve"> financial system. </w:t>
      </w:r>
      <w:r w:rsidR="009B58B6">
        <w:t xml:space="preserve">Soon after the </w:t>
      </w:r>
      <w:r w:rsidR="000408A0">
        <w:t>establishment of the Second Bank, several Republican-</w:t>
      </w:r>
      <w:r w:rsidR="0030602F">
        <w:t>aligned</w:t>
      </w:r>
      <w:r w:rsidR="000408A0">
        <w:t xml:space="preserve"> southern states </w:t>
      </w:r>
      <w:r w:rsidR="0030602F">
        <w:t>declared this unconstitutional</w:t>
      </w:r>
      <w:r w:rsidR="00A41A8D">
        <w:t>, but they did not take further action</w:t>
      </w:r>
      <w:r w:rsidR="002643FF">
        <w:t xml:space="preserve"> as they tried to </w:t>
      </w:r>
      <w:r w:rsidR="003D5EA1">
        <w:lastRenderedPageBreak/>
        <w:t xml:space="preserve">instead </w:t>
      </w:r>
      <w:r w:rsidR="00040806">
        <w:t>corral</w:t>
      </w:r>
      <w:r w:rsidR="003D5EA1">
        <w:t xml:space="preserve"> a unified state opposition</w:t>
      </w:r>
      <w:r w:rsidR="00040806">
        <w:t>, and then the Luisiana War</w:t>
      </w:r>
      <w:r w:rsidR="00640EA1">
        <w:t xml:space="preserve"> put an end to such action</w:t>
      </w:r>
      <w:r w:rsidR="00A41A8D">
        <w:t xml:space="preserve">. </w:t>
      </w:r>
      <w:r w:rsidR="00A90AE7">
        <w:t xml:space="preserve">More influential would be when </w:t>
      </w:r>
      <w:r w:rsidR="00D2695D">
        <w:t>Ohio</w:t>
      </w:r>
      <w:r w:rsidR="00817194">
        <w:t xml:space="preserve"> decided to levy a tax against the </w:t>
      </w:r>
      <w:r w:rsidR="002643FF">
        <w:t>B</w:t>
      </w:r>
      <w:r w:rsidR="00817194">
        <w:t>ank</w:t>
      </w:r>
      <w:r w:rsidR="002643FF">
        <w:t xml:space="preserve">, </w:t>
      </w:r>
      <w:r w:rsidR="00667357">
        <w:t xml:space="preserve">in part to discourage its existence but also to </w:t>
      </w:r>
      <w:r w:rsidR="00267187">
        <w:t>get a much-needed tax source</w:t>
      </w:r>
      <w:r w:rsidR="005E6ED2">
        <w:t xml:space="preserve">. </w:t>
      </w:r>
      <w:r w:rsidR="00040806">
        <w:t xml:space="preserve">This </w:t>
      </w:r>
      <w:r w:rsidR="00200E81">
        <w:t>resulted in a suit over its constitutional</w:t>
      </w:r>
      <w:r w:rsidR="00B07F16">
        <w:t xml:space="preserve">ity, and it </w:t>
      </w:r>
      <w:r w:rsidR="000E14F0">
        <w:t>travelled to the Supreme Court. The ensuing cas</w:t>
      </w:r>
      <w:r w:rsidR="00667357">
        <w:t>e saw the Bank represented by Daniel Webster, and it</w:t>
      </w:r>
      <w:r w:rsidR="000E14F0">
        <w:t xml:space="preserve"> resulted in th</w:t>
      </w:r>
      <w:r w:rsidR="00667357">
        <w:t>e Supreme Court ruling the tax unconstitutional</w:t>
      </w:r>
      <w:r w:rsidR="00267187">
        <w:t>, with Marshall memorably declaring, “</w:t>
      </w:r>
      <w:r w:rsidR="00267187" w:rsidRPr="00267187">
        <w:t>the power to tax involves the power to destroy</w:t>
      </w:r>
      <w:r w:rsidR="00267187">
        <w:t xml:space="preserve">”. </w:t>
      </w:r>
      <w:r w:rsidR="009E20F0">
        <w:t xml:space="preserve">With the Bank of the United States being the only </w:t>
      </w:r>
      <w:r w:rsidR="00142A31">
        <w:t>bank</w:t>
      </w:r>
      <w:r w:rsidR="009E20F0">
        <w:t xml:space="preserve"> with branches in every state, </w:t>
      </w:r>
      <w:r w:rsidR="00FB678C">
        <w:t xml:space="preserve">this meant that </w:t>
      </w:r>
      <w:r w:rsidR="00142A31">
        <w:t xml:space="preserve">it was practically supreme over </w:t>
      </w:r>
      <w:r w:rsidR="00CC39FD">
        <w:t xml:space="preserve">all </w:t>
      </w:r>
      <w:r w:rsidR="00142A31">
        <w:t xml:space="preserve">the </w:t>
      </w:r>
      <w:r w:rsidR="005B419F">
        <w:t>other</w:t>
      </w:r>
      <w:r w:rsidR="00CC39FD">
        <w:t>s</w:t>
      </w:r>
      <w:r w:rsidR="00142A31">
        <w:t xml:space="preserve">. </w:t>
      </w:r>
    </w:p>
    <w:p w14:paraId="76F42BBD" w14:textId="5DDBF22C" w:rsidR="00B62EAA" w:rsidRDefault="00AF0959" w:rsidP="00B62EAA">
      <w:r>
        <w:t xml:space="preserve">Additionally, </w:t>
      </w:r>
      <w:r w:rsidR="009E722B">
        <w:t xml:space="preserve">the banks of the several states were also issuing notes, backed by their </w:t>
      </w:r>
      <w:r w:rsidR="00530BAB">
        <w:t>deposits</w:t>
      </w:r>
      <w:r w:rsidR="00653596">
        <w:t xml:space="preserve">; many believed this </w:t>
      </w:r>
      <w:r w:rsidR="00BE1614">
        <w:t xml:space="preserve">violated the Constitution’s prohibition on </w:t>
      </w:r>
      <w:r w:rsidR="00D570F1">
        <w:t>states issuing bills of credit</w:t>
      </w:r>
      <w:r w:rsidR="00DF1624">
        <w:t xml:space="preserve"> as their charters derived from state power</w:t>
      </w:r>
      <w:r w:rsidR="00D570F1">
        <w:t xml:space="preserve">, and </w:t>
      </w:r>
      <w:r w:rsidR="00A438B7">
        <w:t>a</w:t>
      </w:r>
      <w:r w:rsidR="00B81D18">
        <w:t xml:space="preserve"> </w:t>
      </w:r>
      <w:r w:rsidR="00D570F1">
        <w:t>case</w:t>
      </w:r>
      <w:r w:rsidR="00A438B7">
        <w:t xml:space="preserve"> on the subject</w:t>
      </w:r>
      <w:r w:rsidR="00D570F1">
        <w:t xml:space="preserve"> </w:t>
      </w:r>
      <w:r w:rsidR="00DF1624">
        <w:t>travelled to</w:t>
      </w:r>
      <w:r w:rsidR="00D570F1">
        <w:t xml:space="preserve"> the Supreme Court</w:t>
      </w:r>
      <w:r w:rsidR="00DD3073">
        <w:t xml:space="preserve">. </w:t>
      </w:r>
      <w:r w:rsidR="003A4AB8">
        <w:t xml:space="preserve">The ensuing case, </w:t>
      </w:r>
      <w:r w:rsidR="003A4AB8" w:rsidRPr="003A4AB8">
        <w:rPr>
          <w:i/>
          <w:iCs/>
        </w:rPr>
        <w:t>Clark v. Illinois</w:t>
      </w:r>
      <w:r w:rsidR="003A4AB8" w:rsidRPr="003A4AB8">
        <w:t xml:space="preserve"> (</w:t>
      </w:r>
      <w:r w:rsidR="003A4AB8">
        <w:t xml:space="preserve">1830), </w:t>
      </w:r>
      <w:r w:rsidR="00E22BEC">
        <w:t xml:space="preserve">saw Marshall and the majority rule that </w:t>
      </w:r>
      <w:r w:rsidR="00BD73B6">
        <w:t xml:space="preserve">states and banks chartered </w:t>
      </w:r>
      <w:r w:rsidR="00F5762B">
        <w:t>by</w:t>
      </w:r>
      <w:r w:rsidR="00BD73B6">
        <w:t xml:space="preserve"> them could not </w:t>
      </w:r>
      <w:r w:rsidR="00F5762B">
        <w:t>issue notes; this</w:t>
      </w:r>
      <w:r w:rsidR="005103F4">
        <w:t xml:space="preserve"> did not immediately cause a </w:t>
      </w:r>
      <w:r w:rsidR="00F940F7">
        <w:t>collapse of</w:t>
      </w:r>
      <w:r w:rsidR="005103F4">
        <w:t xml:space="preserve"> state banks, as Congress issued a law declaring that </w:t>
      </w:r>
      <w:r w:rsidR="00153D49">
        <w:t xml:space="preserve">there would be a </w:t>
      </w:r>
      <w:r w:rsidR="00856955">
        <w:t>one</w:t>
      </w:r>
      <w:r w:rsidR="00153D49">
        <w:t xml:space="preserve">-year </w:t>
      </w:r>
      <w:r w:rsidR="00856955">
        <w:t>period</w:t>
      </w:r>
      <w:r w:rsidR="00153D49">
        <w:t xml:space="preserve"> </w:t>
      </w:r>
      <w:r w:rsidR="00856955">
        <w:t>where notes would continue to be valid, before they’d be converted</w:t>
      </w:r>
      <w:r w:rsidR="00153D49">
        <w:t xml:space="preserve"> </w:t>
      </w:r>
      <w:r w:rsidR="00856955">
        <w:t>into loans</w:t>
      </w:r>
      <w:r w:rsidR="00FD341D">
        <w:t xml:space="preserve">, but it did result in </w:t>
      </w:r>
      <w:r w:rsidR="0087296D">
        <w:t>the positions of the state banks being greatly weakened</w:t>
      </w:r>
      <w:r w:rsidR="008801CA">
        <w:t xml:space="preserve"> and</w:t>
      </w:r>
      <w:r w:rsidR="00301F22">
        <w:t>, for the next year, there was a</w:t>
      </w:r>
      <w:r w:rsidR="008801CA">
        <w:t xml:space="preserve"> mad rush to exchange them for National Bank notes</w:t>
      </w:r>
      <w:r w:rsidR="007A07BC">
        <w:rPr>
          <w:rStyle w:val="EndnoteReference"/>
        </w:rPr>
        <w:endnoteReference w:id="81"/>
      </w:r>
      <w:r w:rsidR="0087296D">
        <w:t xml:space="preserve">. </w:t>
      </w:r>
      <w:r w:rsidR="008465EC">
        <w:t>This</w:t>
      </w:r>
      <w:r w:rsidR="0087296D">
        <w:t xml:space="preserve"> led to </w:t>
      </w:r>
      <w:r w:rsidR="008465EC">
        <w:t xml:space="preserve">New York City’s exchange declining as state banknotes </w:t>
      </w:r>
      <w:r w:rsidR="00B22CED">
        <w:t>fell in value and got traded away</w:t>
      </w:r>
      <w:r w:rsidR="00BA741F">
        <w:t>; this meant there were fewer securities to trade on it</w:t>
      </w:r>
      <w:r w:rsidR="00B22CED">
        <w:t>. Additionally, it helped boost the economy of Washington</w:t>
      </w:r>
      <w:r w:rsidR="00A00E60">
        <w:t xml:space="preserve"> and the whole federal district</w:t>
      </w:r>
      <w:r w:rsidR="00B22CED">
        <w:t xml:space="preserve">, as the Fiscal Bank of Washington being </w:t>
      </w:r>
      <w:proofErr w:type="gramStart"/>
      <w:r w:rsidR="00B22CED">
        <w:t>federally-chartered</w:t>
      </w:r>
      <w:proofErr w:type="gramEnd"/>
      <w:r w:rsidR="00B22CED">
        <w:t xml:space="preserve"> meant it</w:t>
      </w:r>
      <w:r w:rsidR="0014470A">
        <w:t>s notes were not struck down</w:t>
      </w:r>
      <w:r w:rsidR="00A00E60">
        <w:t>, and that as a result the district</w:t>
      </w:r>
      <w:r w:rsidR="00296567">
        <w:t xml:space="preserve"> saw an impressive boom from the ensuing </w:t>
      </w:r>
      <w:r w:rsidR="003849DE">
        <w:t>ease of credit</w:t>
      </w:r>
      <w:r w:rsidR="001515C9">
        <w:t xml:space="preserve"> relative to the rest of the nation</w:t>
      </w:r>
      <w:r w:rsidR="003849DE">
        <w:t xml:space="preserve">. </w:t>
      </w:r>
    </w:p>
    <w:p w14:paraId="7E561CD7" w14:textId="5B32F81D" w:rsidR="00B62EAA" w:rsidRDefault="00B62EAA" w:rsidP="00B62EAA">
      <w:r>
        <w:lastRenderedPageBreak/>
        <w:t xml:space="preserve">Another ruling which enlarged the power of the federal government was over the Bill of Rights and their applicability to the state governments. </w:t>
      </w:r>
      <w:r w:rsidR="003119DC">
        <w:t>Beginning over a dispute on</w:t>
      </w:r>
      <w:r w:rsidR="00721C18">
        <w:t xml:space="preserve"> state</w:t>
      </w:r>
      <w:r w:rsidR="003119DC">
        <w:t xml:space="preserve"> adjustments to the harbor of Baltimore which destroyed the business of a wharf owner, and the wharf owner </w:t>
      </w:r>
      <w:r w:rsidR="00202A05">
        <w:t>suing</w:t>
      </w:r>
      <w:r w:rsidR="003119DC">
        <w:t xml:space="preserve"> that this </w:t>
      </w:r>
      <w:r w:rsidR="00202A05">
        <w:t>destroyed his business without due process</w:t>
      </w:r>
      <w:r w:rsidR="00721C18">
        <w:t xml:space="preserve"> under the Bill of Rights. The ensuing case, </w:t>
      </w:r>
      <w:r w:rsidR="00721C18" w:rsidRPr="00721C18">
        <w:rPr>
          <w:i/>
          <w:iCs/>
        </w:rPr>
        <w:t>Barron v. Baltimore</w:t>
      </w:r>
      <w:r w:rsidR="00721C18">
        <w:t xml:space="preserve"> (1833), saw the Supreme Court rule that the Bill of Rights did apply to the states. Th</w:t>
      </w:r>
      <w:r w:rsidR="00981AFC">
        <w:t>e results of this were not quite immediate – but it did immediately expand the authority of the Supreme Court</w:t>
      </w:r>
      <w:r w:rsidR="00934D16">
        <w:t>. The largest impact of this was that due process meant two different things to the North and South</w:t>
      </w:r>
      <w:r w:rsidR="005C5DC4">
        <w:t>:</w:t>
      </w:r>
      <w:r w:rsidR="00934D16">
        <w:t xml:space="preserve"> to the South</w:t>
      </w:r>
      <w:r w:rsidR="005C5DC4">
        <w:t>, due process included the right to own slaves and have that right recognized; while to sections of the North, due process meant the right to be free. This tension, whether due process meant freedom or slavery, did not go to the federal level right away as the Marshall, Story,</w:t>
      </w:r>
      <w:r w:rsidR="002354A3">
        <w:t xml:space="preserve"> Spencer,</w:t>
      </w:r>
      <w:r w:rsidR="005C5DC4">
        <w:t xml:space="preserve"> and Van Buren Courts all successfully</w:t>
      </w:r>
      <w:r w:rsidR="00567B5E">
        <w:t xml:space="preserve"> kept it out of the arena</w:t>
      </w:r>
      <w:r w:rsidR="00F6786F">
        <w:t>.</w:t>
      </w:r>
      <w:r w:rsidR="00567B5E">
        <w:t xml:space="preserve"> </w:t>
      </w:r>
      <w:r w:rsidR="00F6786F">
        <w:t>T</w:t>
      </w:r>
      <w:r w:rsidR="00567B5E">
        <w:t xml:space="preserve">he issue </w:t>
      </w:r>
      <w:r w:rsidR="00F6786F">
        <w:t>lay</w:t>
      </w:r>
      <w:r w:rsidR="00567B5E">
        <w:t xml:space="preserve"> </w:t>
      </w:r>
      <w:r w:rsidR="00F6786F">
        <w:t>in</w:t>
      </w:r>
      <w:r w:rsidR="00567B5E">
        <w:t xml:space="preserve"> slumber</w:t>
      </w:r>
      <w:r w:rsidR="00F6786F">
        <w:t>, but in time</w:t>
      </w:r>
      <w:r w:rsidR="00567B5E">
        <w:t xml:space="preserve"> it</w:t>
      </w:r>
      <w:r w:rsidR="00F6786F">
        <w:t xml:space="preserve"> would</w:t>
      </w:r>
      <w:r w:rsidR="00567B5E">
        <w:t xml:space="preserve"> </w:t>
      </w:r>
      <w:r w:rsidR="0040588F">
        <w:t xml:space="preserve">upend the United States as a whole. </w:t>
      </w:r>
    </w:p>
    <w:p w14:paraId="68D6D38D" w14:textId="28888B1E" w:rsidR="00DB36AE" w:rsidRDefault="00DB36AE" w:rsidP="00B62EAA">
      <w:r>
        <w:t xml:space="preserve">But the issue that has given the Marshall Court the most fame and glory today is </w:t>
      </w:r>
      <w:r w:rsidR="004F03B1">
        <w:t xml:space="preserve">its dealings on Indigenous Americans. </w:t>
      </w:r>
      <w:r w:rsidR="00B26E8C">
        <w:t xml:space="preserve">When the </w:t>
      </w:r>
      <w:r w:rsidR="00C87CB8">
        <w:t>state government of Georgia attempted to</w:t>
      </w:r>
      <w:r w:rsidR="00702604">
        <w:t xml:space="preserve"> unilaterally</w:t>
      </w:r>
      <w:r w:rsidR="00C87CB8">
        <w:t xml:space="preserve"> lay claim to </w:t>
      </w:r>
      <w:r w:rsidR="00702604">
        <w:t xml:space="preserve">Cherokee and Creek territory within its borders, </w:t>
      </w:r>
      <w:r w:rsidR="00213E4B">
        <w:t xml:space="preserve">several court cases on the subject travelled up to the Supreme Court. And here, the Marshall Court was unabashedly in opposition to Georgia’s encroachment. In a series of cases, it ruled that settlers could not purchase land from </w:t>
      </w:r>
      <w:r w:rsidR="00870E20">
        <w:t>the Cherokee, that they could not imprison people engaged in commerce with the Cherokee, and finally, in 1830, in Cherokee Nation v. Georgia, it declared that Georgia had no authority over the Cherokee, and that relations between the Cherokee and the United States were international in nature. This was a stunning declaration of the supremacy of the federal government</w:t>
      </w:r>
      <w:r w:rsidR="009A4F03">
        <w:t>, and initially the federal government sent troops to protect the Cherokee from encroachment</w:t>
      </w:r>
      <w:r w:rsidR="00870E20">
        <w:t xml:space="preserve">; however, on the ground, the Harrison administration was unwilling to </w:t>
      </w:r>
      <w:r w:rsidR="009A4F03">
        <w:t xml:space="preserve">help nullificationists make ground, and upon the Georgia Gold Rush (1831), it forced the Cherokee to abandon claims to the lowlands and it </w:t>
      </w:r>
      <w:r w:rsidR="009A4F03">
        <w:lastRenderedPageBreak/>
        <w:t>subsequently led to settlers violently storming those lands and, assisted by the state militia, settler mobs destroyed Cherokee society within these lowlands. And though Marshall was dead by the time Indian Removal</w:t>
      </w:r>
      <w:r w:rsidR="00EF7423">
        <w:t xml:space="preserve"> passed Congress, his rulings were already a dead letter. </w:t>
      </w:r>
    </w:p>
    <w:p w14:paraId="4744559D" w14:textId="180C13E1" w:rsidR="00576173" w:rsidRDefault="00576173" w:rsidP="00B62EAA">
      <w:r>
        <w:t xml:space="preserve">The Marshall Court nevertheless had a great impact on American jurisprudence; by the time Marshall died in 1835, his successor as Chief Justice, Joseph Story, continued much of this nationalist jurisprudence. The Story Court represented the high tide of old Democratic Party influence in the judiciary, and </w:t>
      </w:r>
      <w:r w:rsidR="008C6694">
        <w:t xml:space="preserve">that </w:t>
      </w:r>
      <w:r>
        <w:t xml:space="preserve">for its own reasons </w:t>
      </w:r>
      <w:r w:rsidR="00FA0181">
        <w:t>the Democratic Party</w:t>
      </w:r>
      <w:r>
        <w:t xml:space="preserve"> defended a strong federal government</w:t>
      </w:r>
      <w:r w:rsidR="008C6694">
        <w:t xml:space="preserve">, meant that it continued </w:t>
      </w:r>
      <w:r w:rsidR="00FA0181">
        <w:t>his legacy of judicial nationalism</w:t>
      </w:r>
      <w:r>
        <w:t xml:space="preserve">. </w:t>
      </w:r>
      <w:r w:rsidR="00B57FC6">
        <w:t xml:space="preserve">But it did inspire a backlash, and this backlash ultimately became a moving force behind the Republican opposition. </w:t>
      </w:r>
    </w:p>
    <w:p w14:paraId="528869FC" w14:textId="30DFDCB9" w:rsidR="00562113" w:rsidRDefault="00562113" w:rsidP="00562113">
      <w:r>
        <w:br w:type="page"/>
      </w:r>
    </w:p>
    <w:p w14:paraId="1667FCC0" w14:textId="77777777" w:rsidR="00562113" w:rsidRPr="00134E7A" w:rsidRDefault="00562113" w:rsidP="00027C55"/>
    <w:p w14:paraId="4D6792E7" w14:textId="77777777" w:rsidR="00717A42" w:rsidRDefault="00717A42" w:rsidP="00717A42">
      <w:pPr>
        <w:sectPr w:rsidR="00717A42" w:rsidSect="00717A42">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97B928B" w14:textId="77777777" w:rsidR="00717A42" w:rsidRDefault="00717A42" w:rsidP="00717A42">
      <w:r>
        <w:br w:type="page"/>
      </w:r>
    </w:p>
    <w:p w14:paraId="139A0052" w14:textId="70DFCC9C" w:rsidR="005B4C14" w:rsidRDefault="005B4C14" w:rsidP="005B4C14">
      <w:pPr>
        <w:pStyle w:val="Heading1"/>
      </w:pPr>
      <w:bookmarkStart w:id="23" w:name="_Toc202006217"/>
      <w:r>
        <w:lastRenderedPageBreak/>
        <w:t xml:space="preserve">18. </w:t>
      </w:r>
      <w:r w:rsidR="0069128D">
        <w:t>Towards the Verge</w:t>
      </w:r>
      <w:bookmarkEnd w:id="23"/>
    </w:p>
    <w:p w14:paraId="229D2BBB" w14:textId="48588B6D" w:rsidR="007610E6" w:rsidRDefault="005751E9" w:rsidP="007610E6">
      <w:r>
        <w:t>Coming in to</w:t>
      </w:r>
      <w:r w:rsidR="00C255AD">
        <w:t>wards</w:t>
      </w:r>
      <w:r>
        <w:t xml:space="preserve"> the 1832 election, the United States was a divided nation. The Democrats nominated William Henry Harrison for a third term with little controversy – Aaron Burr having totally upended the </w:t>
      </w:r>
      <w:r w:rsidR="00B723A0">
        <w:t xml:space="preserve">Washington precedent of the two-term limit, although some argued that this was merely Harrison’s second </w:t>
      </w:r>
      <w:r w:rsidR="0065026D">
        <w:t xml:space="preserve">elective </w:t>
      </w:r>
      <w:r w:rsidR="00B723A0">
        <w:t>term – despite an attempt by some Kentuckian interests to put forward Henry Clay</w:t>
      </w:r>
      <w:r w:rsidR="00B76505">
        <w:t xml:space="preserve"> in his place which floundered</w:t>
      </w:r>
      <w:r w:rsidR="00CF74BC">
        <w:t>. With Vice President Lowndes having left the Democratic Party in the name of nullification, however, the party instead selected</w:t>
      </w:r>
      <w:r w:rsidR="0052225B">
        <w:t xml:space="preserve"> Joseph Alston, the son-in-law of Aaron Burr and a Mississippian</w:t>
      </w:r>
      <w:r w:rsidR="0041629C">
        <w:rPr>
          <w:rStyle w:val="EndnoteReference"/>
        </w:rPr>
        <w:endnoteReference w:id="82"/>
      </w:r>
      <w:r w:rsidR="00B76505">
        <w:t xml:space="preserve">. </w:t>
      </w:r>
      <w:r w:rsidR="009E380F">
        <w:t>Both the Republicans and Anti-Catholics attempted to out-democracy the Democratic Party in that</w:t>
      </w:r>
      <w:r w:rsidR="007738E4">
        <w:t xml:space="preserve"> their convention’s delegates were elected directly from the members of </w:t>
      </w:r>
      <w:r w:rsidR="00EA4314">
        <w:t>local</w:t>
      </w:r>
      <w:r w:rsidR="007738E4">
        <w:t xml:space="preserve"> organizations, rather than </w:t>
      </w:r>
      <w:r w:rsidR="00322AB3">
        <w:t xml:space="preserve">indirectly by </w:t>
      </w:r>
      <w:r w:rsidR="00EA4314">
        <w:t>them</w:t>
      </w:r>
      <w:r w:rsidR="00322AB3">
        <w:t xml:space="preserve">. </w:t>
      </w:r>
      <w:r w:rsidR="003600E9">
        <w:t>Unsurprisingly, the Republican</w:t>
      </w:r>
      <w:r w:rsidR="00F67340">
        <w:t xml:space="preserve"> Party</w:t>
      </w:r>
      <w:r w:rsidR="003600E9">
        <w:t xml:space="preserve"> easily </w:t>
      </w:r>
      <w:r w:rsidR="00F67340">
        <w:t xml:space="preserve">selected John C. Calhoun as their nominee, on a platform of </w:t>
      </w:r>
      <w:r w:rsidR="000022B9">
        <w:t>free trade and nullification</w:t>
      </w:r>
      <w:r w:rsidR="00AF5E6C">
        <w:t xml:space="preserve">, and it declared him the flag-bearer of Jeffersonianism; though they nominated a New Englander, Levi Woodbury, as its </w:t>
      </w:r>
      <w:proofErr w:type="gramStart"/>
      <w:r w:rsidR="00AF5E6C">
        <w:t>vice presidential</w:t>
      </w:r>
      <w:proofErr w:type="gramEnd"/>
      <w:r w:rsidR="00AF5E6C">
        <w:t xml:space="preserve"> candidate, several Republicans broke from this and instead nominated Harrison or the Anti-Catholic candidate. </w:t>
      </w:r>
      <w:r w:rsidR="00B24D0D">
        <w:t xml:space="preserve">Meanwhile, the Anti-Catholics selected </w:t>
      </w:r>
      <w:r w:rsidR="007756C7">
        <w:t xml:space="preserve">the </w:t>
      </w:r>
      <w:r w:rsidR="007D091B">
        <w:t xml:space="preserve">ambitious Supreme Court Justice John McLean; he represented the extent to which the party had become a vehicle of opposition, of politicians who wanted to </w:t>
      </w:r>
      <w:r w:rsidR="00EA0A84">
        <w:t xml:space="preserve">ride the </w:t>
      </w:r>
      <w:r w:rsidR="00761F74">
        <w:t xml:space="preserve">nativist mob to power, although a truly committed Anti-Catholic, Samuel Morse, was selected as </w:t>
      </w:r>
      <w:r w:rsidR="00D71D68">
        <w:t>its</w:t>
      </w:r>
      <w:r w:rsidR="00761F74">
        <w:t xml:space="preserve"> </w:t>
      </w:r>
      <w:proofErr w:type="gramStart"/>
      <w:r w:rsidR="00D71D68">
        <w:t>vice presidential</w:t>
      </w:r>
      <w:proofErr w:type="gramEnd"/>
      <w:r w:rsidR="00D71D68">
        <w:t xml:space="preserve"> candidate</w:t>
      </w:r>
      <w:r w:rsidR="00761F74">
        <w:t xml:space="preserve">. </w:t>
      </w:r>
    </w:p>
    <w:p w14:paraId="2188E075" w14:textId="387DBF68" w:rsidR="007610E6" w:rsidRDefault="007610E6" w:rsidP="007610E6">
      <w:r>
        <w:t xml:space="preserve">The ensuing election saw President Harrison anointed </w:t>
      </w:r>
      <w:r w:rsidR="008D4C8F">
        <w:t xml:space="preserve">by Democratic organizations as the Washington of the West, and the symbol of national unity. Although he did not campaign (aside from some vague, presidential speeches </w:t>
      </w:r>
      <w:r w:rsidR="000F0515">
        <w:t>as he went on a</w:t>
      </w:r>
      <w:r w:rsidR="008D4C8F">
        <w:t xml:space="preserve"> national tour), </w:t>
      </w:r>
      <w:r w:rsidR="00F238CF">
        <w:t>the campaign the</w:t>
      </w:r>
      <w:r w:rsidR="000F0515">
        <w:t xml:space="preserve"> party went on focused</w:t>
      </w:r>
      <w:r w:rsidR="00F238CF">
        <w:t xml:space="preserve"> </w:t>
      </w:r>
      <w:r w:rsidR="000F0515">
        <w:t xml:space="preserve">on such themes as national unity. </w:t>
      </w:r>
      <w:r w:rsidR="00093525">
        <w:t xml:space="preserve">In contrast, Calhoun went on a national tour in the name of the principle of free trade and small government, and he attempted to add western </w:t>
      </w:r>
      <w:r w:rsidR="00093525">
        <w:lastRenderedPageBreak/>
        <w:t xml:space="preserve">and even Northeastern votes to his southern base; his appeals to appeal to </w:t>
      </w:r>
      <w:r w:rsidR="00933043">
        <w:t xml:space="preserve">mechanics and </w:t>
      </w:r>
      <w:r w:rsidR="00093525">
        <w:t xml:space="preserve">the working classes in the name of nativism and </w:t>
      </w:r>
      <w:r w:rsidR="00933043">
        <w:t>in opposition to “abolitionist industrial</w:t>
      </w:r>
      <w:r w:rsidR="00670835">
        <w:t xml:space="preserve"> bosses</w:t>
      </w:r>
      <w:r w:rsidR="00933043">
        <w:t xml:space="preserve">” generally failed, however, as they rallied behind the tariff in the name of their livelihoods. </w:t>
      </w:r>
      <w:r w:rsidR="00627619">
        <w:t>While in contrast, the Anti-Catholic campaign focused less on the “threat to liberty” that Catholic immigrants posed, and more on a general message of national unity</w:t>
      </w:r>
      <w:r w:rsidR="00072CEB">
        <w:t xml:space="preserve"> against the divisiveness of both the Democrats and the Republicans, though they did </w:t>
      </w:r>
      <w:r w:rsidR="00354340">
        <w:t>bring to the surface</w:t>
      </w:r>
      <w:r w:rsidR="00072CEB">
        <w:t xml:space="preserve"> nativism in an attempt to attract both northern and southern votes to the cause</w:t>
      </w:r>
      <w:r w:rsidR="00354340">
        <w:t xml:space="preserve"> – in the North, it could appeal to workers </w:t>
      </w:r>
      <w:r w:rsidR="00F23D31">
        <w:t>who regard immigrants as depressing their wages, and in the South, it could appeal to the longstanding fear of “foreign</w:t>
      </w:r>
      <w:r w:rsidR="007772F1">
        <w:t>-born</w:t>
      </w:r>
      <w:r w:rsidR="00F23D31">
        <w:t xml:space="preserve"> abolitionists” weakening slavery</w:t>
      </w:r>
      <w:r w:rsidR="00627619">
        <w:t xml:space="preserve">. </w:t>
      </w:r>
    </w:p>
    <w:p w14:paraId="3B2912B4" w14:textId="0FA8B236" w:rsidR="00024859" w:rsidRDefault="00024859" w:rsidP="007610E6">
      <w:r>
        <w:t>The resulting election would leave Harrison with a decisive victory</w:t>
      </w:r>
      <w:r w:rsidR="00912C90">
        <w:rPr>
          <w:rStyle w:val="EndnoteReference"/>
        </w:rPr>
        <w:endnoteReference w:id="83"/>
      </w:r>
      <w:r>
        <w:t>:</w:t>
      </w:r>
    </w:p>
    <w:p w14:paraId="6C70A79E" w14:textId="13F3E089" w:rsidR="00024859" w:rsidRDefault="00024859">
      <w:pPr>
        <w:spacing w:before="0" w:line="259" w:lineRule="auto"/>
        <w:ind w:firstLine="0"/>
      </w:pPr>
      <w:r>
        <w:br w:type="page"/>
      </w:r>
    </w:p>
    <w:p w14:paraId="72F215E3" w14:textId="1FA9E920" w:rsidR="00024859" w:rsidRDefault="00024859" w:rsidP="00024859">
      <w:pPr>
        <w:pStyle w:val="Caption"/>
      </w:pPr>
      <w:bookmarkStart w:id="24" w:name="_Toc202006263"/>
      <w:r>
        <w:lastRenderedPageBreak/>
        <w:t xml:space="preserve">Figure </w:t>
      </w:r>
      <w:fldSimple w:instr=" SEQ Figure \* ARABIC ">
        <w:r w:rsidR="00567D66">
          <w:rPr>
            <w:noProof/>
          </w:rPr>
          <w:t>7</w:t>
        </w:r>
      </w:fldSimple>
      <w:r>
        <w:t>: The 1832 election, by state</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024859" w:rsidRPr="000E727C" w14:paraId="07DD8D7E" w14:textId="77777777" w:rsidTr="004F36D5">
        <w:tc>
          <w:tcPr>
            <w:tcW w:w="1870" w:type="dxa"/>
            <w:tcBorders>
              <w:bottom w:val="single" w:sz="4" w:space="0" w:color="auto"/>
              <w:right w:val="single" w:sz="4" w:space="0" w:color="auto"/>
            </w:tcBorders>
          </w:tcPr>
          <w:p w14:paraId="414769C9" w14:textId="5841415B" w:rsidR="00024859" w:rsidRPr="000E727C" w:rsidRDefault="008C14CF" w:rsidP="00AF4CAA">
            <w:pPr>
              <w:pStyle w:val="NoSpacing"/>
              <w:rPr>
                <w:b/>
                <w:bCs/>
              </w:rPr>
            </w:pPr>
            <w:r w:rsidRPr="000E727C">
              <w:rPr>
                <w:b/>
                <w:bCs/>
              </w:rPr>
              <w:t>State</w:t>
            </w:r>
          </w:p>
        </w:tc>
        <w:tc>
          <w:tcPr>
            <w:tcW w:w="1870" w:type="dxa"/>
            <w:tcBorders>
              <w:left w:val="single" w:sz="4" w:space="0" w:color="auto"/>
              <w:bottom w:val="single" w:sz="4" w:space="0" w:color="auto"/>
              <w:right w:val="single" w:sz="4" w:space="0" w:color="auto"/>
            </w:tcBorders>
          </w:tcPr>
          <w:p w14:paraId="6BB22845" w14:textId="515B9CAE" w:rsidR="00024859" w:rsidRPr="000E727C" w:rsidRDefault="008C14CF" w:rsidP="00AF4CAA">
            <w:pPr>
              <w:pStyle w:val="NoSpacing"/>
              <w:rPr>
                <w:b/>
                <w:bCs/>
              </w:rPr>
            </w:pPr>
            <w:r w:rsidRPr="000E727C">
              <w:rPr>
                <w:b/>
                <w:bCs/>
              </w:rPr>
              <w:t>Electors</w:t>
            </w:r>
          </w:p>
        </w:tc>
        <w:tc>
          <w:tcPr>
            <w:tcW w:w="1870" w:type="dxa"/>
            <w:tcBorders>
              <w:left w:val="single" w:sz="4" w:space="0" w:color="auto"/>
              <w:bottom w:val="single" w:sz="4" w:space="0" w:color="auto"/>
            </w:tcBorders>
          </w:tcPr>
          <w:p w14:paraId="2CBFE09E" w14:textId="7C7A0D4F" w:rsidR="00024859" w:rsidRPr="000E727C" w:rsidRDefault="00024859" w:rsidP="00AF4CAA">
            <w:pPr>
              <w:pStyle w:val="NoSpacing"/>
              <w:rPr>
                <w:b/>
                <w:bCs/>
              </w:rPr>
            </w:pPr>
            <w:r w:rsidRPr="000E727C">
              <w:rPr>
                <w:b/>
                <w:bCs/>
              </w:rPr>
              <w:t>Harrison</w:t>
            </w:r>
          </w:p>
        </w:tc>
        <w:tc>
          <w:tcPr>
            <w:tcW w:w="1870" w:type="dxa"/>
            <w:tcBorders>
              <w:bottom w:val="single" w:sz="4" w:space="0" w:color="auto"/>
            </w:tcBorders>
          </w:tcPr>
          <w:p w14:paraId="5818E97C" w14:textId="715D9884" w:rsidR="00024859" w:rsidRPr="000E727C" w:rsidRDefault="00024859" w:rsidP="00AF4CAA">
            <w:pPr>
              <w:pStyle w:val="NoSpacing"/>
              <w:rPr>
                <w:b/>
                <w:bCs/>
              </w:rPr>
            </w:pPr>
            <w:r w:rsidRPr="000E727C">
              <w:rPr>
                <w:b/>
                <w:bCs/>
              </w:rPr>
              <w:t>Calhoun</w:t>
            </w:r>
          </w:p>
        </w:tc>
        <w:tc>
          <w:tcPr>
            <w:tcW w:w="1870" w:type="dxa"/>
            <w:tcBorders>
              <w:bottom w:val="single" w:sz="4" w:space="0" w:color="auto"/>
            </w:tcBorders>
          </w:tcPr>
          <w:p w14:paraId="4EC21CF4" w14:textId="2EB0F3DE" w:rsidR="00024859" w:rsidRPr="000E727C" w:rsidRDefault="00024859" w:rsidP="00AF4CAA">
            <w:pPr>
              <w:pStyle w:val="NoSpacing"/>
              <w:rPr>
                <w:b/>
                <w:bCs/>
              </w:rPr>
            </w:pPr>
            <w:r w:rsidRPr="000E727C">
              <w:rPr>
                <w:b/>
                <w:bCs/>
              </w:rPr>
              <w:t>McLean</w:t>
            </w:r>
          </w:p>
        </w:tc>
      </w:tr>
      <w:tr w:rsidR="00024859" w14:paraId="7AE797B8" w14:textId="77777777" w:rsidTr="004F36D5">
        <w:tc>
          <w:tcPr>
            <w:tcW w:w="1870" w:type="dxa"/>
            <w:tcBorders>
              <w:top w:val="single" w:sz="4" w:space="0" w:color="auto"/>
              <w:right w:val="single" w:sz="4" w:space="0" w:color="auto"/>
            </w:tcBorders>
          </w:tcPr>
          <w:p w14:paraId="5989CDE0" w14:textId="68221FAC" w:rsidR="00024859" w:rsidRDefault="00024859" w:rsidP="00AF4CAA">
            <w:pPr>
              <w:pStyle w:val="NoSpacing"/>
            </w:pPr>
            <w:r w:rsidRPr="00F330C5">
              <w:t>Mass</w:t>
            </w:r>
            <w:r w:rsidR="008C14CF">
              <w:t>achusetts</w:t>
            </w:r>
          </w:p>
        </w:tc>
        <w:tc>
          <w:tcPr>
            <w:tcW w:w="1870" w:type="dxa"/>
            <w:tcBorders>
              <w:top w:val="single" w:sz="4" w:space="0" w:color="auto"/>
              <w:left w:val="single" w:sz="4" w:space="0" w:color="auto"/>
              <w:right w:val="single" w:sz="4" w:space="0" w:color="auto"/>
            </w:tcBorders>
          </w:tcPr>
          <w:p w14:paraId="16ABDF92" w14:textId="6CAA3E14" w:rsidR="00024859" w:rsidRDefault="00024859" w:rsidP="00AF4CAA">
            <w:pPr>
              <w:pStyle w:val="NoSpacing"/>
            </w:pPr>
            <w:r w:rsidRPr="00F330C5">
              <w:t>23</w:t>
            </w:r>
          </w:p>
        </w:tc>
        <w:tc>
          <w:tcPr>
            <w:tcW w:w="1870" w:type="dxa"/>
            <w:tcBorders>
              <w:top w:val="single" w:sz="4" w:space="0" w:color="auto"/>
              <w:left w:val="single" w:sz="4" w:space="0" w:color="auto"/>
            </w:tcBorders>
          </w:tcPr>
          <w:p w14:paraId="5AACABAB" w14:textId="5A1C8504" w:rsidR="00024859" w:rsidRDefault="00024859" w:rsidP="00AF4CAA">
            <w:pPr>
              <w:pStyle w:val="NoSpacing"/>
            </w:pPr>
            <w:r w:rsidRPr="00F330C5">
              <w:t>12</w:t>
            </w:r>
          </w:p>
        </w:tc>
        <w:tc>
          <w:tcPr>
            <w:tcW w:w="1870" w:type="dxa"/>
            <w:tcBorders>
              <w:top w:val="single" w:sz="4" w:space="0" w:color="auto"/>
            </w:tcBorders>
          </w:tcPr>
          <w:p w14:paraId="2D42B1D6" w14:textId="1327DF1F" w:rsidR="00024859" w:rsidRDefault="00024859" w:rsidP="00AF4CAA">
            <w:pPr>
              <w:pStyle w:val="NoSpacing"/>
            </w:pPr>
            <w:r w:rsidRPr="00F330C5">
              <w:t>0</w:t>
            </w:r>
          </w:p>
        </w:tc>
        <w:tc>
          <w:tcPr>
            <w:tcW w:w="1870" w:type="dxa"/>
            <w:tcBorders>
              <w:top w:val="single" w:sz="4" w:space="0" w:color="auto"/>
            </w:tcBorders>
          </w:tcPr>
          <w:p w14:paraId="72AD3C1A" w14:textId="7BA7549E" w:rsidR="00024859" w:rsidRDefault="00024859" w:rsidP="00AF4CAA">
            <w:pPr>
              <w:pStyle w:val="NoSpacing"/>
            </w:pPr>
            <w:r w:rsidRPr="00F330C5">
              <w:t>11</w:t>
            </w:r>
          </w:p>
        </w:tc>
      </w:tr>
      <w:tr w:rsidR="00024859" w14:paraId="75068628" w14:textId="77777777" w:rsidTr="004F36D5">
        <w:tc>
          <w:tcPr>
            <w:tcW w:w="1870" w:type="dxa"/>
            <w:tcBorders>
              <w:right w:val="single" w:sz="4" w:space="0" w:color="auto"/>
            </w:tcBorders>
          </w:tcPr>
          <w:p w14:paraId="21B46BCD" w14:textId="5EB67B99" w:rsidR="00024859" w:rsidRDefault="00024859" w:rsidP="00AF4CAA">
            <w:pPr>
              <w:pStyle w:val="NoSpacing"/>
            </w:pPr>
            <w:r w:rsidRPr="00F330C5">
              <w:t>New Hamp</w:t>
            </w:r>
            <w:r w:rsidR="008C14CF">
              <w:t>shire</w:t>
            </w:r>
          </w:p>
        </w:tc>
        <w:tc>
          <w:tcPr>
            <w:tcW w:w="1870" w:type="dxa"/>
            <w:tcBorders>
              <w:left w:val="single" w:sz="4" w:space="0" w:color="auto"/>
              <w:right w:val="single" w:sz="4" w:space="0" w:color="auto"/>
            </w:tcBorders>
          </w:tcPr>
          <w:p w14:paraId="219857FD" w14:textId="31D7D1BB" w:rsidR="00024859" w:rsidRDefault="00024859" w:rsidP="00AF4CAA">
            <w:pPr>
              <w:pStyle w:val="NoSpacing"/>
            </w:pPr>
            <w:r w:rsidRPr="00F330C5">
              <w:t>8</w:t>
            </w:r>
          </w:p>
        </w:tc>
        <w:tc>
          <w:tcPr>
            <w:tcW w:w="1870" w:type="dxa"/>
            <w:tcBorders>
              <w:left w:val="single" w:sz="4" w:space="0" w:color="auto"/>
            </w:tcBorders>
          </w:tcPr>
          <w:p w14:paraId="6C744772" w14:textId="3F95CAE6" w:rsidR="00024859" w:rsidRDefault="00024859" w:rsidP="00AF4CAA">
            <w:pPr>
              <w:pStyle w:val="NoSpacing"/>
            </w:pPr>
            <w:r w:rsidRPr="00F330C5">
              <w:t>6</w:t>
            </w:r>
          </w:p>
        </w:tc>
        <w:tc>
          <w:tcPr>
            <w:tcW w:w="1870" w:type="dxa"/>
          </w:tcPr>
          <w:p w14:paraId="43E5C5A4" w14:textId="7095BCD5" w:rsidR="00024859" w:rsidRDefault="00024859" w:rsidP="00AF4CAA">
            <w:pPr>
              <w:pStyle w:val="NoSpacing"/>
            </w:pPr>
            <w:r w:rsidRPr="00F330C5">
              <w:t>1</w:t>
            </w:r>
          </w:p>
        </w:tc>
        <w:tc>
          <w:tcPr>
            <w:tcW w:w="1870" w:type="dxa"/>
          </w:tcPr>
          <w:p w14:paraId="60DC0DB3" w14:textId="3B7A2B12" w:rsidR="00024859" w:rsidRDefault="00024859" w:rsidP="00AF4CAA">
            <w:pPr>
              <w:pStyle w:val="NoSpacing"/>
            </w:pPr>
            <w:r w:rsidRPr="00F330C5">
              <w:t>1</w:t>
            </w:r>
          </w:p>
        </w:tc>
      </w:tr>
      <w:tr w:rsidR="00024859" w14:paraId="5F1DB4DD" w14:textId="77777777" w:rsidTr="004F36D5">
        <w:tc>
          <w:tcPr>
            <w:tcW w:w="1870" w:type="dxa"/>
            <w:tcBorders>
              <w:right w:val="single" w:sz="4" w:space="0" w:color="auto"/>
            </w:tcBorders>
          </w:tcPr>
          <w:p w14:paraId="1655AF95" w14:textId="58D31666" w:rsidR="00024859" w:rsidRDefault="00024859" w:rsidP="00AF4CAA">
            <w:pPr>
              <w:pStyle w:val="NoSpacing"/>
            </w:pPr>
            <w:r w:rsidRPr="00F330C5">
              <w:t>Vermont</w:t>
            </w:r>
          </w:p>
        </w:tc>
        <w:tc>
          <w:tcPr>
            <w:tcW w:w="1870" w:type="dxa"/>
            <w:tcBorders>
              <w:left w:val="single" w:sz="4" w:space="0" w:color="auto"/>
              <w:right w:val="single" w:sz="4" w:space="0" w:color="auto"/>
            </w:tcBorders>
          </w:tcPr>
          <w:p w14:paraId="703DB520" w14:textId="350F1E1F" w:rsidR="00024859" w:rsidRDefault="00024859" w:rsidP="00AF4CAA">
            <w:pPr>
              <w:pStyle w:val="NoSpacing"/>
            </w:pPr>
            <w:r w:rsidRPr="00F330C5">
              <w:t>7</w:t>
            </w:r>
          </w:p>
        </w:tc>
        <w:tc>
          <w:tcPr>
            <w:tcW w:w="1870" w:type="dxa"/>
            <w:tcBorders>
              <w:left w:val="single" w:sz="4" w:space="0" w:color="auto"/>
            </w:tcBorders>
          </w:tcPr>
          <w:p w14:paraId="0A5A9034" w14:textId="200367A7" w:rsidR="00024859" w:rsidRDefault="00024859" w:rsidP="00AF4CAA">
            <w:pPr>
              <w:pStyle w:val="NoSpacing"/>
            </w:pPr>
            <w:r w:rsidRPr="00F330C5">
              <w:t>5</w:t>
            </w:r>
          </w:p>
        </w:tc>
        <w:tc>
          <w:tcPr>
            <w:tcW w:w="1870" w:type="dxa"/>
          </w:tcPr>
          <w:p w14:paraId="4F5ACCDE" w14:textId="3DAC23B8" w:rsidR="00024859" w:rsidRDefault="00024859" w:rsidP="00AF4CAA">
            <w:pPr>
              <w:pStyle w:val="NoSpacing"/>
            </w:pPr>
            <w:r w:rsidRPr="00F330C5">
              <w:t>0</w:t>
            </w:r>
          </w:p>
        </w:tc>
        <w:tc>
          <w:tcPr>
            <w:tcW w:w="1870" w:type="dxa"/>
          </w:tcPr>
          <w:p w14:paraId="69724068" w14:textId="0FE33093" w:rsidR="00024859" w:rsidRDefault="00024859" w:rsidP="00AF4CAA">
            <w:pPr>
              <w:pStyle w:val="NoSpacing"/>
            </w:pPr>
            <w:r w:rsidRPr="00F330C5">
              <w:t>2</w:t>
            </w:r>
          </w:p>
        </w:tc>
      </w:tr>
      <w:tr w:rsidR="00024859" w14:paraId="2DB4C975" w14:textId="77777777" w:rsidTr="004F36D5">
        <w:tc>
          <w:tcPr>
            <w:tcW w:w="1870" w:type="dxa"/>
            <w:tcBorders>
              <w:right w:val="single" w:sz="4" w:space="0" w:color="auto"/>
            </w:tcBorders>
          </w:tcPr>
          <w:p w14:paraId="11B06F62" w14:textId="19CB2C01" w:rsidR="00024859" w:rsidRDefault="00024859" w:rsidP="00AF4CAA">
            <w:pPr>
              <w:pStyle w:val="NoSpacing"/>
            </w:pPr>
            <w:r w:rsidRPr="00F330C5">
              <w:t>Rhode Is.</w:t>
            </w:r>
          </w:p>
        </w:tc>
        <w:tc>
          <w:tcPr>
            <w:tcW w:w="1870" w:type="dxa"/>
            <w:tcBorders>
              <w:left w:val="single" w:sz="4" w:space="0" w:color="auto"/>
              <w:right w:val="single" w:sz="4" w:space="0" w:color="auto"/>
            </w:tcBorders>
          </w:tcPr>
          <w:p w14:paraId="38ADC810" w14:textId="2263E979" w:rsidR="00024859" w:rsidRDefault="00024859" w:rsidP="00AF4CAA">
            <w:pPr>
              <w:pStyle w:val="NoSpacing"/>
            </w:pPr>
            <w:r w:rsidRPr="00F330C5">
              <w:t>5</w:t>
            </w:r>
          </w:p>
        </w:tc>
        <w:tc>
          <w:tcPr>
            <w:tcW w:w="1870" w:type="dxa"/>
            <w:tcBorders>
              <w:left w:val="single" w:sz="4" w:space="0" w:color="auto"/>
            </w:tcBorders>
          </w:tcPr>
          <w:p w14:paraId="7DE0CFE5" w14:textId="6E0088E4" w:rsidR="00024859" w:rsidRDefault="00024859" w:rsidP="00AF4CAA">
            <w:pPr>
              <w:pStyle w:val="NoSpacing"/>
            </w:pPr>
            <w:r w:rsidRPr="00F330C5">
              <w:t>3</w:t>
            </w:r>
          </w:p>
        </w:tc>
        <w:tc>
          <w:tcPr>
            <w:tcW w:w="1870" w:type="dxa"/>
          </w:tcPr>
          <w:p w14:paraId="34948C56" w14:textId="25908D0A" w:rsidR="00024859" w:rsidRDefault="00024859" w:rsidP="00AF4CAA">
            <w:pPr>
              <w:pStyle w:val="NoSpacing"/>
            </w:pPr>
            <w:r w:rsidRPr="00F330C5">
              <w:t>0</w:t>
            </w:r>
          </w:p>
        </w:tc>
        <w:tc>
          <w:tcPr>
            <w:tcW w:w="1870" w:type="dxa"/>
          </w:tcPr>
          <w:p w14:paraId="41D89ABB" w14:textId="357F7600" w:rsidR="00024859" w:rsidRDefault="00024859" w:rsidP="00AF4CAA">
            <w:pPr>
              <w:pStyle w:val="NoSpacing"/>
            </w:pPr>
            <w:r w:rsidRPr="00F330C5">
              <w:t>2</w:t>
            </w:r>
          </w:p>
        </w:tc>
      </w:tr>
      <w:tr w:rsidR="00024859" w14:paraId="72CB1382" w14:textId="77777777" w:rsidTr="004F36D5">
        <w:tc>
          <w:tcPr>
            <w:tcW w:w="1870" w:type="dxa"/>
            <w:tcBorders>
              <w:right w:val="single" w:sz="4" w:space="0" w:color="auto"/>
            </w:tcBorders>
          </w:tcPr>
          <w:p w14:paraId="0BA158F6" w14:textId="75DEAEC5" w:rsidR="00024859" w:rsidRDefault="00024859" w:rsidP="00AF4CAA">
            <w:pPr>
              <w:pStyle w:val="NoSpacing"/>
            </w:pPr>
            <w:r w:rsidRPr="00F330C5">
              <w:t>Conn.</w:t>
            </w:r>
          </w:p>
        </w:tc>
        <w:tc>
          <w:tcPr>
            <w:tcW w:w="1870" w:type="dxa"/>
            <w:tcBorders>
              <w:left w:val="single" w:sz="4" w:space="0" w:color="auto"/>
              <w:right w:val="single" w:sz="4" w:space="0" w:color="auto"/>
            </w:tcBorders>
          </w:tcPr>
          <w:p w14:paraId="47DE8579" w14:textId="7AE3B46C" w:rsidR="00024859" w:rsidRDefault="00024859" w:rsidP="00AF4CAA">
            <w:pPr>
              <w:pStyle w:val="NoSpacing"/>
            </w:pPr>
            <w:r w:rsidRPr="00F330C5">
              <w:t>10</w:t>
            </w:r>
          </w:p>
        </w:tc>
        <w:tc>
          <w:tcPr>
            <w:tcW w:w="1870" w:type="dxa"/>
            <w:tcBorders>
              <w:left w:val="single" w:sz="4" w:space="0" w:color="auto"/>
            </w:tcBorders>
          </w:tcPr>
          <w:p w14:paraId="3EB33DF6" w14:textId="0C8D92FE" w:rsidR="00024859" w:rsidRDefault="00024859" w:rsidP="00AF4CAA">
            <w:pPr>
              <w:pStyle w:val="NoSpacing"/>
            </w:pPr>
            <w:r w:rsidRPr="00F330C5">
              <w:t>6</w:t>
            </w:r>
          </w:p>
        </w:tc>
        <w:tc>
          <w:tcPr>
            <w:tcW w:w="1870" w:type="dxa"/>
          </w:tcPr>
          <w:p w14:paraId="7D5CD962" w14:textId="2E4CC236" w:rsidR="00024859" w:rsidRDefault="00024859" w:rsidP="00AF4CAA">
            <w:pPr>
              <w:pStyle w:val="NoSpacing"/>
            </w:pPr>
            <w:r w:rsidRPr="00F330C5">
              <w:t>1</w:t>
            </w:r>
          </w:p>
        </w:tc>
        <w:tc>
          <w:tcPr>
            <w:tcW w:w="1870" w:type="dxa"/>
          </w:tcPr>
          <w:p w14:paraId="6E0C8EB1" w14:textId="51C36456" w:rsidR="00024859" w:rsidRDefault="00024859" w:rsidP="00AF4CAA">
            <w:pPr>
              <w:pStyle w:val="NoSpacing"/>
            </w:pPr>
            <w:r w:rsidRPr="00F330C5">
              <w:t>3</w:t>
            </w:r>
          </w:p>
        </w:tc>
      </w:tr>
      <w:tr w:rsidR="00024859" w14:paraId="094E4649" w14:textId="77777777" w:rsidTr="004F36D5">
        <w:tc>
          <w:tcPr>
            <w:tcW w:w="1870" w:type="dxa"/>
            <w:tcBorders>
              <w:right w:val="single" w:sz="4" w:space="0" w:color="auto"/>
            </w:tcBorders>
          </w:tcPr>
          <w:p w14:paraId="4FB30C7B" w14:textId="4FED2576" w:rsidR="00024859" w:rsidRDefault="00024859" w:rsidP="00AF4CAA">
            <w:pPr>
              <w:pStyle w:val="NoSpacing"/>
            </w:pPr>
            <w:r w:rsidRPr="00F330C5">
              <w:t>New York</w:t>
            </w:r>
          </w:p>
        </w:tc>
        <w:tc>
          <w:tcPr>
            <w:tcW w:w="1870" w:type="dxa"/>
            <w:tcBorders>
              <w:left w:val="single" w:sz="4" w:space="0" w:color="auto"/>
              <w:right w:val="single" w:sz="4" w:space="0" w:color="auto"/>
            </w:tcBorders>
          </w:tcPr>
          <w:p w14:paraId="22F2BCBA" w14:textId="57C3011F" w:rsidR="00024859" w:rsidRDefault="00024859" w:rsidP="00AF4CAA">
            <w:pPr>
              <w:pStyle w:val="NoSpacing"/>
            </w:pPr>
            <w:r w:rsidRPr="00F330C5">
              <w:t>44</w:t>
            </w:r>
          </w:p>
        </w:tc>
        <w:tc>
          <w:tcPr>
            <w:tcW w:w="1870" w:type="dxa"/>
            <w:tcBorders>
              <w:left w:val="single" w:sz="4" w:space="0" w:color="auto"/>
            </w:tcBorders>
          </w:tcPr>
          <w:p w14:paraId="553EF094" w14:textId="6F0EF99F" w:rsidR="00024859" w:rsidRDefault="00024859" w:rsidP="00AF4CAA">
            <w:pPr>
              <w:pStyle w:val="NoSpacing"/>
            </w:pPr>
            <w:r w:rsidRPr="00F330C5">
              <w:t>36</w:t>
            </w:r>
          </w:p>
        </w:tc>
        <w:tc>
          <w:tcPr>
            <w:tcW w:w="1870" w:type="dxa"/>
          </w:tcPr>
          <w:p w14:paraId="6AA042C4" w14:textId="2C8B302A" w:rsidR="00024859" w:rsidRDefault="00024859" w:rsidP="00AF4CAA">
            <w:pPr>
              <w:pStyle w:val="NoSpacing"/>
            </w:pPr>
            <w:r w:rsidRPr="00F330C5">
              <w:t>0</w:t>
            </w:r>
          </w:p>
        </w:tc>
        <w:tc>
          <w:tcPr>
            <w:tcW w:w="1870" w:type="dxa"/>
          </w:tcPr>
          <w:p w14:paraId="212E53B7" w14:textId="72C38835" w:rsidR="00024859" w:rsidRDefault="00024859" w:rsidP="00AF4CAA">
            <w:pPr>
              <w:pStyle w:val="NoSpacing"/>
            </w:pPr>
            <w:r w:rsidRPr="00F330C5">
              <w:t>8</w:t>
            </w:r>
          </w:p>
        </w:tc>
      </w:tr>
      <w:tr w:rsidR="00024859" w14:paraId="73AD44C7" w14:textId="77777777" w:rsidTr="004F36D5">
        <w:tc>
          <w:tcPr>
            <w:tcW w:w="1870" w:type="dxa"/>
            <w:tcBorders>
              <w:right w:val="single" w:sz="4" w:space="0" w:color="auto"/>
            </w:tcBorders>
          </w:tcPr>
          <w:p w14:paraId="1AEB17D8" w14:textId="4C290DDA" w:rsidR="00024859" w:rsidRDefault="00024859" w:rsidP="00AF4CAA">
            <w:pPr>
              <w:pStyle w:val="NoSpacing"/>
            </w:pPr>
            <w:r w:rsidRPr="00F330C5">
              <w:t>Penn</w:t>
            </w:r>
            <w:r w:rsidR="008C14CF">
              <w:t>sylvania</w:t>
            </w:r>
          </w:p>
        </w:tc>
        <w:tc>
          <w:tcPr>
            <w:tcW w:w="1870" w:type="dxa"/>
            <w:tcBorders>
              <w:left w:val="single" w:sz="4" w:space="0" w:color="auto"/>
              <w:right w:val="single" w:sz="4" w:space="0" w:color="auto"/>
            </w:tcBorders>
          </w:tcPr>
          <w:p w14:paraId="47FE6B39" w14:textId="79CFED75" w:rsidR="00024859" w:rsidRDefault="00024859" w:rsidP="00AF4CAA">
            <w:pPr>
              <w:pStyle w:val="NoSpacing"/>
            </w:pPr>
            <w:r w:rsidRPr="00F330C5">
              <w:t>32</w:t>
            </w:r>
          </w:p>
        </w:tc>
        <w:tc>
          <w:tcPr>
            <w:tcW w:w="1870" w:type="dxa"/>
            <w:tcBorders>
              <w:left w:val="single" w:sz="4" w:space="0" w:color="auto"/>
            </w:tcBorders>
          </w:tcPr>
          <w:p w14:paraId="06643490" w14:textId="38D589F4" w:rsidR="00024859" w:rsidRDefault="00024859" w:rsidP="00AF4CAA">
            <w:pPr>
              <w:pStyle w:val="NoSpacing"/>
            </w:pPr>
            <w:r w:rsidRPr="00F330C5">
              <w:t>29</w:t>
            </w:r>
          </w:p>
        </w:tc>
        <w:tc>
          <w:tcPr>
            <w:tcW w:w="1870" w:type="dxa"/>
          </w:tcPr>
          <w:p w14:paraId="4D413D65" w14:textId="731A3792" w:rsidR="00024859" w:rsidRDefault="00024859" w:rsidP="00AF4CAA">
            <w:pPr>
              <w:pStyle w:val="NoSpacing"/>
            </w:pPr>
            <w:r w:rsidRPr="00F330C5">
              <w:t>0</w:t>
            </w:r>
          </w:p>
        </w:tc>
        <w:tc>
          <w:tcPr>
            <w:tcW w:w="1870" w:type="dxa"/>
          </w:tcPr>
          <w:p w14:paraId="5ADD37A9" w14:textId="4FD2C563" w:rsidR="00024859" w:rsidRDefault="00024859" w:rsidP="00AF4CAA">
            <w:pPr>
              <w:pStyle w:val="NoSpacing"/>
            </w:pPr>
            <w:r w:rsidRPr="00F330C5">
              <w:t>3</w:t>
            </w:r>
          </w:p>
        </w:tc>
      </w:tr>
      <w:tr w:rsidR="00024859" w14:paraId="141B8853" w14:textId="77777777" w:rsidTr="004F36D5">
        <w:tc>
          <w:tcPr>
            <w:tcW w:w="1870" w:type="dxa"/>
            <w:tcBorders>
              <w:right w:val="single" w:sz="4" w:space="0" w:color="auto"/>
            </w:tcBorders>
          </w:tcPr>
          <w:p w14:paraId="59348632" w14:textId="63EB4FCA" w:rsidR="00024859" w:rsidRDefault="00024859" w:rsidP="00AF4CAA">
            <w:pPr>
              <w:pStyle w:val="NoSpacing"/>
            </w:pPr>
            <w:r w:rsidRPr="00F330C5">
              <w:t>New Jersey</w:t>
            </w:r>
          </w:p>
        </w:tc>
        <w:tc>
          <w:tcPr>
            <w:tcW w:w="1870" w:type="dxa"/>
            <w:tcBorders>
              <w:left w:val="single" w:sz="4" w:space="0" w:color="auto"/>
              <w:right w:val="single" w:sz="4" w:space="0" w:color="auto"/>
            </w:tcBorders>
          </w:tcPr>
          <w:p w14:paraId="4F0D0866" w14:textId="5560D6A4" w:rsidR="00024859" w:rsidRDefault="00024859" w:rsidP="00AF4CAA">
            <w:pPr>
              <w:pStyle w:val="NoSpacing"/>
            </w:pPr>
            <w:r w:rsidRPr="00F330C5">
              <w:t>9</w:t>
            </w:r>
          </w:p>
        </w:tc>
        <w:tc>
          <w:tcPr>
            <w:tcW w:w="1870" w:type="dxa"/>
            <w:tcBorders>
              <w:left w:val="single" w:sz="4" w:space="0" w:color="auto"/>
            </w:tcBorders>
          </w:tcPr>
          <w:p w14:paraId="420821E6" w14:textId="7F173EBF" w:rsidR="00024859" w:rsidRDefault="00024859" w:rsidP="00AF4CAA">
            <w:pPr>
              <w:pStyle w:val="NoSpacing"/>
            </w:pPr>
            <w:r w:rsidRPr="00F330C5">
              <w:t>6</w:t>
            </w:r>
          </w:p>
        </w:tc>
        <w:tc>
          <w:tcPr>
            <w:tcW w:w="1870" w:type="dxa"/>
          </w:tcPr>
          <w:p w14:paraId="4D093D29" w14:textId="39CF182D" w:rsidR="00024859" w:rsidRDefault="00024859" w:rsidP="00AF4CAA">
            <w:pPr>
              <w:pStyle w:val="NoSpacing"/>
            </w:pPr>
            <w:r w:rsidRPr="00F330C5">
              <w:t>3</w:t>
            </w:r>
          </w:p>
        </w:tc>
        <w:tc>
          <w:tcPr>
            <w:tcW w:w="1870" w:type="dxa"/>
          </w:tcPr>
          <w:p w14:paraId="767C281B" w14:textId="58DF5AAD" w:rsidR="00024859" w:rsidRDefault="00024859" w:rsidP="00AF4CAA">
            <w:pPr>
              <w:pStyle w:val="NoSpacing"/>
            </w:pPr>
            <w:r w:rsidRPr="00F330C5">
              <w:t>0</w:t>
            </w:r>
          </w:p>
        </w:tc>
      </w:tr>
      <w:tr w:rsidR="00024859" w14:paraId="22AFB7C2" w14:textId="77777777" w:rsidTr="004F36D5">
        <w:tc>
          <w:tcPr>
            <w:tcW w:w="1870" w:type="dxa"/>
            <w:tcBorders>
              <w:right w:val="single" w:sz="4" w:space="0" w:color="auto"/>
            </w:tcBorders>
          </w:tcPr>
          <w:p w14:paraId="7F499D02" w14:textId="0BA68102" w:rsidR="00024859" w:rsidRDefault="00024859" w:rsidP="00AF4CAA">
            <w:pPr>
              <w:pStyle w:val="NoSpacing"/>
            </w:pPr>
            <w:r w:rsidRPr="00F330C5">
              <w:t>Delaware</w:t>
            </w:r>
          </w:p>
        </w:tc>
        <w:tc>
          <w:tcPr>
            <w:tcW w:w="1870" w:type="dxa"/>
            <w:tcBorders>
              <w:left w:val="single" w:sz="4" w:space="0" w:color="auto"/>
              <w:right w:val="single" w:sz="4" w:space="0" w:color="auto"/>
            </w:tcBorders>
          </w:tcPr>
          <w:p w14:paraId="46195328" w14:textId="0DAFDB42" w:rsidR="00024859" w:rsidRDefault="00024859" w:rsidP="00AF4CAA">
            <w:pPr>
              <w:pStyle w:val="NoSpacing"/>
            </w:pPr>
            <w:r w:rsidRPr="00F330C5">
              <w:t>3</w:t>
            </w:r>
          </w:p>
        </w:tc>
        <w:tc>
          <w:tcPr>
            <w:tcW w:w="1870" w:type="dxa"/>
            <w:tcBorders>
              <w:left w:val="single" w:sz="4" w:space="0" w:color="auto"/>
            </w:tcBorders>
          </w:tcPr>
          <w:p w14:paraId="54980211" w14:textId="2E7B28ED" w:rsidR="00024859" w:rsidRDefault="00024859" w:rsidP="00AF4CAA">
            <w:pPr>
              <w:pStyle w:val="NoSpacing"/>
            </w:pPr>
            <w:r w:rsidRPr="00F330C5">
              <w:t>2</w:t>
            </w:r>
          </w:p>
        </w:tc>
        <w:tc>
          <w:tcPr>
            <w:tcW w:w="1870" w:type="dxa"/>
          </w:tcPr>
          <w:p w14:paraId="66942C87" w14:textId="45DDDD8B" w:rsidR="00024859" w:rsidRDefault="00024859" w:rsidP="00AF4CAA">
            <w:pPr>
              <w:pStyle w:val="NoSpacing"/>
            </w:pPr>
            <w:r w:rsidRPr="00F330C5">
              <w:t>1</w:t>
            </w:r>
          </w:p>
        </w:tc>
        <w:tc>
          <w:tcPr>
            <w:tcW w:w="1870" w:type="dxa"/>
          </w:tcPr>
          <w:p w14:paraId="5D7D1587" w14:textId="6B890857" w:rsidR="00024859" w:rsidRDefault="00024859" w:rsidP="00AF4CAA">
            <w:pPr>
              <w:pStyle w:val="NoSpacing"/>
            </w:pPr>
            <w:r w:rsidRPr="00F330C5">
              <w:t>0</w:t>
            </w:r>
          </w:p>
        </w:tc>
      </w:tr>
      <w:tr w:rsidR="00024859" w14:paraId="6E342F2D" w14:textId="77777777" w:rsidTr="004F36D5">
        <w:tc>
          <w:tcPr>
            <w:tcW w:w="1870" w:type="dxa"/>
            <w:tcBorders>
              <w:right w:val="single" w:sz="4" w:space="0" w:color="auto"/>
            </w:tcBorders>
          </w:tcPr>
          <w:p w14:paraId="4A294D8A" w14:textId="0311F290" w:rsidR="00024859" w:rsidRDefault="00024859" w:rsidP="00AF4CAA">
            <w:pPr>
              <w:pStyle w:val="NoSpacing"/>
            </w:pPr>
            <w:r w:rsidRPr="00F330C5">
              <w:t>Maryland</w:t>
            </w:r>
          </w:p>
        </w:tc>
        <w:tc>
          <w:tcPr>
            <w:tcW w:w="1870" w:type="dxa"/>
            <w:tcBorders>
              <w:left w:val="single" w:sz="4" w:space="0" w:color="auto"/>
              <w:right w:val="single" w:sz="4" w:space="0" w:color="auto"/>
            </w:tcBorders>
          </w:tcPr>
          <w:p w14:paraId="2D908C96" w14:textId="629322A7" w:rsidR="00024859" w:rsidRDefault="00024859" w:rsidP="00AF4CAA">
            <w:pPr>
              <w:pStyle w:val="NoSpacing"/>
            </w:pPr>
            <w:r w:rsidRPr="00F330C5">
              <w:t>8</w:t>
            </w:r>
          </w:p>
        </w:tc>
        <w:tc>
          <w:tcPr>
            <w:tcW w:w="1870" w:type="dxa"/>
            <w:tcBorders>
              <w:left w:val="single" w:sz="4" w:space="0" w:color="auto"/>
            </w:tcBorders>
          </w:tcPr>
          <w:p w14:paraId="1D6E2E16" w14:textId="41A53E2E" w:rsidR="00024859" w:rsidRDefault="00024859" w:rsidP="00AF4CAA">
            <w:pPr>
              <w:pStyle w:val="NoSpacing"/>
            </w:pPr>
            <w:r w:rsidRPr="00F330C5">
              <w:t>6</w:t>
            </w:r>
          </w:p>
        </w:tc>
        <w:tc>
          <w:tcPr>
            <w:tcW w:w="1870" w:type="dxa"/>
          </w:tcPr>
          <w:p w14:paraId="26EAC26F" w14:textId="7B4F4F90" w:rsidR="00024859" w:rsidRDefault="00024859" w:rsidP="00AF4CAA">
            <w:pPr>
              <w:pStyle w:val="NoSpacing"/>
            </w:pPr>
            <w:r w:rsidRPr="00F330C5">
              <w:t>2</w:t>
            </w:r>
          </w:p>
        </w:tc>
        <w:tc>
          <w:tcPr>
            <w:tcW w:w="1870" w:type="dxa"/>
          </w:tcPr>
          <w:p w14:paraId="1731D7E5" w14:textId="2CAC33E3" w:rsidR="00024859" w:rsidRDefault="00024859" w:rsidP="00AF4CAA">
            <w:pPr>
              <w:pStyle w:val="NoSpacing"/>
            </w:pPr>
            <w:r w:rsidRPr="00F330C5">
              <w:t>0</w:t>
            </w:r>
          </w:p>
        </w:tc>
      </w:tr>
      <w:tr w:rsidR="00024859" w14:paraId="0CE72729" w14:textId="77777777" w:rsidTr="004F36D5">
        <w:tc>
          <w:tcPr>
            <w:tcW w:w="1870" w:type="dxa"/>
            <w:tcBorders>
              <w:right w:val="single" w:sz="4" w:space="0" w:color="auto"/>
            </w:tcBorders>
          </w:tcPr>
          <w:p w14:paraId="6302BA05" w14:textId="654F4695" w:rsidR="00024859" w:rsidRDefault="00024859" w:rsidP="00AF4CAA">
            <w:pPr>
              <w:pStyle w:val="NoSpacing"/>
            </w:pPr>
            <w:r w:rsidRPr="00F330C5">
              <w:t>Ohio</w:t>
            </w:r>
          </w:p>
        </w:tc>
        <w:tc>
          <w:tcPr>
            <w:tcW w:w="1870" w:type="dxa"/>
            <w:tcBorders>
              <w:left w:val="single" w:sz="4" w:space="0" w:color="auto"/>
              <w:right w:val="single" w:sz="4" w:space="0" w:color="auto"/>
            </w:tcBorders>
          </w:tcPr>
          <w:p w14:paraId="7AA74893" w14:textId="2D53A808" w:rsidR="00024859" w:rsidRDefault="00024859" w:rsidP="00AF4CAA">
            <w:pPr>
              <w:pStyle w:val="NoSpacing"/>
            </w:pPr>
            <w:r w:rsidRPr="00F330C5">
              <w:t>22</w:t>
            </w:r>
          </w:p>
        </w:tc>
        <w:tc>
          <w:tcPr>
            <w:tcW w:w="1870" w:type="dxa"/>
            <w:tcBorders>
              <w:left w:val="single" w:sz="4" w:space="0" w:color="auto"/>
            </w:tcBorders>
          </w:tcPr>
          <w:p w14:paraId="7E982BC8" w14:textId="7D6215F1" w:rsidR="00024859" w:rsidRDefault="00024859" w:rsidP="00AF4CAA">
            <w:pPr>
              <w:pStyle w:val="NoSpacing"/>
            </w:pPr>
            <w:r w:rsidRPr="00F330C5">
              <w:t>17</w:t>
            </w:r>
          </w:p>
        </w:tc>
        <w:tc>
          <w:tcPr>
            <w:tcW w:w="1870" w:type="dxa"/>
          </w:tcPr>
          <w:p w14:paraId="2ED48594" w14:textId="36F0B2FE" w:rsidR="00024859" w:rsidRDefault="00024859" w:rsidP="00AF4CAA">
            <w:pPr>
              <w:pStyle w:val="NoSpacing"/>
            </w:pPr>
            <w:r w:rsidRPr="00F330C5">
              <w:t>0</w:t>
            </w:r>
          </w:p>
        </w:tc>
        <w:tc>
          <w:tcPr>
            <w:tcW w:w="1870" w:type="dxa"/>
          </w:tcPr>
          <w:p w14:paraId="2A15443A" w14:textId="4B0F783D" w:rsidR="00024859" w:rsidRDefault="00024859" w:rsidP="00AF4CAA">
            <w:pPr>
              <w:pStyle w:val="NoSpacing"/>
            </w:pPr>
            <w:r w:rsidRPr="00F330C5">
              <w:t>5</w:t>
            </w:r>
          </w:p>
        </w:tc>
      </w:tr>
      <w:tr w:rsidR="00024859" w14:paraId="1E7234C4" w14:textId="77777777" w:rsidTr="004F36D5">
        <w:tc>
          <w:tcPr>
            <w:tcW w:w="1870" w:type="dxa"/>
            <w:tcBorders>
              <w:right w:val="single" w:sz="4" w:space="0" w:color="auto"/>
            </w:tcBorders>
          </w:tcPr>
          <w:p w14:paraId="43E64BC7" w14:textId="2B849E51" w:rsidR="00024859" w:rsidRDefault="00024859" w:rsidP="00AF4CAA">
            <w:pPr>
              <w:pStyle w:val="NoSpacing"/>
            </w:pPr>
            <w:r w:rsidRPr="00F330C5">
              <w:t>New Ireland</w:t>
            </w:r>
          </w:p>
        </w:tc>
        <w:tc>
          <w:tcPr>
            <w:tcW w:w="1870" w:type="dxa"/>
            <w:tcBorders>
              <w:left w:val="single" w:sz="4" w:space="0" w:color="auto"/>
              <w:right w:val="single" w:sz="4" w:space="0" w:color="auto"/>
            </w:tcBorders>
          </w:tcPr>
          <w:p w14:paraId="74F5F0AC" w14:textId="19BA6152" w:rsidR="00024859" w:rsidRDefault="00024859" w:rsidP="00AF4CAA">
            <w:pPr>
              <w:pStyle w:val="NoSpacing"/>
            </w:pPr>
            <w:r w:rsidRPr="00F330C5">
              <w:t>3</w:t>
            </w:r>
          </w:p>
        </w:tc>
        <w:tc>
          <w:tcPr>
            <w:tcW w:w="1870" w:type="dxa"/>
            <w:tcBorders>
              <w:left w:val="single" w:sz="4" w:space="0" w:color="auto"/>
            </w:tcBorders>
          </w:tcPr>
          <w:p w14:paraId="1A1EFF75" w14:textId="1E343CBD" w:rsidR="00024859" w:rsidRDefault="00024859" w:rsidP="00AF4CAA">
            <w:pPr>
              <w:pStyle w:val="NoSpacing"/>
            </w:pPr>
            <w:r w:rsidRPr="00F330C5">
              <w:t>3</w:t>
            </w:r>
          </w:p>
        </w:tc>
        <w:tc>
          <w:tcPr>
            <w:tcW w:w="1870" w:type="dxa"/>
          </w:tcPr>
          <w:p w14:paraId="323AE07B" w14:textId="550AF01B" w:rsidR="00024859" w:rsidRDefault="00024859" w:rsidP="00AF4CAA">
            <w:pPr>
              <w:pStyle w:val="NoSpacing"/>
            </w:pPr>
            <w:r w:rsidRPr="00F330C5">
              <w:t>0</w:t>
            </w:r>
          </w:p>
        </w:tc>
        <w:tc>
          <w:tcPr>
            <w:tcW w:w="1870" w:type="dxa"/>
          </w:tcPr>
          <w:p w14:paraId="17C29246" w14:textId="1FAA26A9" w:rsidR="00024859" w:rsidRDefault="00024859" w:rsidP="00AF4CAA">
            <w:pPr>
              <w:pStyle w:val="NoSpacing"/>
            </w:pPr>
            <w:r w:rsidRPr="00F330C5">
              <w:t>0</w:t>
            </w:r>
          </w:p>
        </w:tc>
      </w:tr>
      <w:tr w:rsidR="00024859" w14:paraId="02B9BC3E" w14:textId="77777777" w:rsidTr="004F36D5">
        <w:tc>
          <w:tcPr>
            <w:tcW w:w="1870" w:type="dxa"/>
            <w:tcBorders>
              <w:right w:val="single" w:sz="4" w:space="0" w:color="auto"/>
            </w:tcBorders>
          </w:tcPr>
          <w:p w14:paraId="1E5EF28F" w14:textId="5D99D59E" w:rsidR="00024859" w:rsidRDefault="00024859" w:rsidP="00AF4CAA">
            <w:pPr>
              <w:pStyle w:val="NoSpacing"/>
            </w:pPr>
            <w:r w:rsidRPr="00F330C5">
              <w:t>Indiana</w:t>
            </w:r>
          </w:p>
        </w:tc>
        <w:tc>
          <w:tcPr>
            <w:tcW w:w="1870" w:type="dxa"/>
            <w:tcBorders>
              <w:left w:val="single" w:sz="4" w:space="0" w:color="auto"/>
              <w:right w:val="single" w:sz="4" w:space="0" w:color="auto"/>
            </w:tcBorders>
          </w:tcPr>
          <w:p w14:paraId="3B8C29FF" w14:textId="71A4FF63" w:rsidR="00024859" w:rsidRDefault="00024859" w:rsidP="00AF4CAA">
            <w:pPr>
              <w:pStyle w:val="NoSpacing"/>
            </w:pPr>
            <w:r w:rsidRPr="00F330C5">
              <w:t>10</w:t>
            </w:r>
          </w:p>
        </w:tc>
        <w:tc>
          <w:tcPr>
            <w:tcW w:w="1870" w:type="dxa"/>
            <w:tcBorders>
              <w:left w:val="single" w:sz="4" w:space="0" w:color="auto"/>
            </w:tcBorders>
          </w:tcPr>
          <w:p w14:paraId="0B33F182" w14:textId="61E675DE" w:rsidR="00024859" w:rsidRDefault="00024859" w:rsidP="00AF4CAA">
            <w:pPr>
              <w:pStyle w:val="NoSpacing"/>
            </w:pPr>
            <w:r w:rsidRPr="00F330C5">
              <w:t>8</w:t>
            </w:r>
          </w:p>
        </w:tc>
        <w:tc>
          <w:tcPr>
            <w:tcW w:w="1870" w:type="dxa"/>
          </w:tcPr>
          <w:p w14:paraId="62C4C1D8" w14:textId="6144BE0E" w:rsidR="00024859" w:rsidRDefault="00024859" w:rsidP="00AF4CAA">
            <w:pPr>
              <w:pStyle w:val="NoSpacing"/>
            </w:pPr>
            <w:r w:rsidRPr="00F330C5">
              <w:t>1</w:t>
            </w:r>
          </w:p>
        </w:tc>
        <w:tc>
          <w:tcPr>
            <w:tcW w:w="1870" w:type="dxa"/>
          </w:tcPr>
          <w:p w14:paraId="314D6F75" w14:textId="253C1B52" w:rsidR="00024859" w:rsidRDefault="00024859" w:rsidP="00AF4CAA">
            <w:pPr>
              <w:pStyle w:val="NoSpacing"/>
            </w:pPr>
            <w:r w:rsidRPr="00F330C5">
              <w:t>1</w:t>
            </w:r>
          </w:p>
        </w:tc>
      </w:tr>
      <w:tr w:rsidR="00024859" w14:paraId="59FE7A4C" w14:textId="77777777" w:rsidTr="004F36D5">
        <w:tc>
          <w:tcPr>
            <w:tcW w:w="1870" w:type="dxa"/>
            <w:tcBorders>
              <w:right w:val="single" w:sz="4" w:space="0" w:color="auto"/>
            </w:tcBorders>
          </w:tcPr>
          <w:p w14:paraId="2A7736BF" w14:textId="0DF0D26A" w:rsidR="00024859" w:rsidRDefault="00024859" w:rsidP="00AF4CAA">
            <w:pPr>
              <w:pStyle w:val="NoSpacing"/>
            </w:pPr>
            <w:r w:rsidRPr="00F330C5">
              <w:t>Illinois</w:t>
            </w:r>
          </w:p>
        </w:tc>
        <w:tc>
          <w:tcPr>
            <w:tcW w:w="1870" w:type="dxa"/>
            <w:tcBorders>
              <w:left w:val="single" w:sz="4" w:space="0" w:color="auto"/>
              <w:right w:val="single" w:sz="4" w:space="0" w:color="auto"/>
            </w:tcBorders>
          </w:tcPr>
          <w:p w14:paraId="3A7BF4E9" w14:textId="6AC4D3C5" w:rsidR="00024859" w:rsidRDefault="00024859" w:rsidP="00AF4CAA">
            <w:pPr>
              <w:pStyle w:val="NoSpacing"/>
            </w:pPr>
            <w:r w:rsidRPr="00F330C5">
              <w:t>5</w:t>
            </w:r>
          </w:p>
        </w:tc>
        <w:tc>
          <w:tcPr>
            <w:tcW w:w="1870" w:type="dxa"/>
            <w:tcBorders>
              <w:left w:val="single" w:sz="4" w:space="0" w:color="auto"/>
            </w:tcBorders>
          </w:tcPr>
          <w:p w14:paraId="406F6FFA" w14:textId="1BFD0D4D" w:rsidR="00024859" w:rsidRDefault="00024859" w:rsidP="00AF4CAA">
            <w:pPr>
              <w:pStyle w:val="NoSpacing"/>
            </w:pPr>
            <w:r w:rsidRPr="00F330C5">
              <w:t>4</w:t>
            </w:r>
          </w:p>
        </w:tc>
        <w:tc>
          <w:tcPr>
            <w:tcW w:w="1870" w:type="dxa"/>
          </w:tcPr>
          <w:p w14:paraId="0E27A1CA" w14:textId="55F409A1" w:rsidR="00024859" w:rsidRDefault="00024859" w:rsidP="00AF4CAA">
            <w:pPr>
              <w:pStyle w:val="NoSpacing"/>
            </w:pPr>
            <w:r w:rsidRPr="00F330C5">
              <w:t>1</w:t>
            </w:r>
          </w:p>
        </w:tc>
        <w:tc>
          <w:tcPr>
            <w:tcW w:w="1870" w:type="dxa"/>
          </w:tcPr>
          <w:p w14:paraId="21767F4D" w14:textId="0E224A58" w:rsidR="00024859" w:rsidRDefault="00024859" w:rsidP="00AF4CAA">
            <w:pPr>
              <w:pStyle w:val="NoSpacing"/>
            </w:pPr>
            <w:r w:rsidRPr="00F330C5">
              <w:t>0</w:t>
            </w:r>
          </w:p>
        </w:tc>
      </w:tr>
      <w:tr w:rsidR="00024859" w14:paraId="42BDD8D7" w14:textId="77777777" w:rsidTr="004F36D5">
        <w:tc>
          <w:tcPr>
            <w:tcW w:w="1870" w:type="dxa"/>
            <w:tcBorders>
              <w:right w:val="single" w:sz="4" w:space="0" w:color="auto"/>
            </w:tcBorders>
          </w:tcPr>
          <w:p w14:paraId="12A6A0D6" w14:textId="548AD82D" w:rsidR="00024859" w:rsidRDefault="00024859" w:rsidP="00AF4CAA">
            <w:pPr>
              <w:pStyle w:val="NoSpacing"/>
            </w:pPr>
            <w:r w:rsidRPr="00F330C5">
              <w:t>Virginia</w:t>
            </w:r>
          </w:p>
        </w:tc>
        <w:tc>
          <w:tcPr>
            <w:tcW w:w="1870" w:type="dxa"/>
            <w:tcBorders>
              <w:left w:val="single" w:sz="4" w:space="0" w:color="auto"/>
              <w:right w:val="single" w:sz="4" w:space="0" w:color="auto"/>
            </w:tcBorders>
          </w:tcPr>
          <w:p w14:paraId="1D74E273" w14:textId="6D9417C1" w:rsidR="00024859" w:rsidRDefault="00024859" w:rsidP="00AF4CAA">
            <w:pPr>
              <w:pStyle w:val="NoSpacing"/>
            </w:pPr>
            <w:r w:rsidRPr="00F330C5">
              <w:t>23</w:t>
            </w:r>
          </w:p>
        </w:tc>
        <w:tc>
          <w:tcPr>
            <w:tcW w:w="1870" w:type="dxa"/>
            <w:tcBorders>
              <w:left w:val="single" w:sz="4" w:space="0" w:color="auto"/>
            </w:tcBorders>
          </w:tcPr>
          <w:p w14:paraId="28200BCD" w14:textId="605143C6" w:rsidR="00024859" w:rsidRDefault="00395831" w:rsidP="00AF4CAA">
            <w:pPr>
              <w:pStyle w:val="NoSpacing"/>
            </w:pPr>
            <w:r>
              <w:t>1</w:t>
            </w:r>
          </w:p>
        </w:tc>
        <w:tc>
          <w:tcPr>
            <w:tcW w:w="1870" w:type="dxa"/>
          </w:tcPr>
          <w:p w14:paraId="70718FE3" w14:textId="30CD7E60" w:rsidR="00024859" w:rsidRDefault="00395831" w:rsidP="00AF4CAA">
            <w:pPr>
              <w:pStyle w:val="NoSpacing"/>
            </w:pPr>
            <w:r>
              <w:t>22</w:t>
            </w:r>
          </w:p>
        </w:tc>
        <w:tc>
          <w:tcPr>
            <w:tcW w:w="1870" w:type="dxa"/>
          </w:tcPr>
          <w:p w14:paraId="4FA9DE31" w14:textId="0B6590E4" w:rsidR="00024859" w:rsidRDefault="00024859" w:rsidP="00AF4CAA">
            <w:pPr>
              <w:pStyle w:val="NoSpacing"/>
            </w:pPr>
            <w:r w:rsidRPr="00F330C5">
              <w:t>0</w:t>
            </w:r>
          </w:p>
        </w:tc>
      </w:tr>
      <w:tr w:rsidR="00024859" w14:paraId="591259BB" w14:textId="77777777" w:rsidTr="004F36D5">
        <w:tc>
          <w:tcPr>
            <w:tcW w:w="1870" w:type="dxa"/>
            <w:tcBorders>
              <w:right w:val="single" w:sz="4" w:space="0" w:color="auto"/>
            </w:tcBorders>
          </w:tcPr>
          <w:p w14:paraId="08347E2F" w14:textId="5274380B" w:rsidR="00024859" w:rsidRDefault="00024859" w:rsidP="00AF4CAA">
            <w:pPr>
              <w:pStyle w:val="NoSpacing"/>
            </w:pPr>
            <w:r w:rsidRPr="00F330C5">
              <w:t>Kentucky</w:t>
            </w:r>
          </w:p>
        </w:tc>
        <w:tc>
          <w:tcPr>
            <w:tcW w:w="1870" w:type="dxa"/>
            <w:tcBorders>
              <w:left w:val="single" w:sz="4" w:space="0" w:color="auto"/>
              <w:right w:val="single" w:sz="4" w:space="0" w:color="auto"/>
            </w:tcBorders>
          </w:tcPr>
          <w:p w14:paraId="60D98EE3" w14:textId="4F96E732" w:rsidR="00024859" w:rsidRDefault="00024859" w:rsidP="00AF4CAA">
            <w:pPr>
              <w:pStyle w:val="NoSpacing"/>
            </w:pPr>
            <w:r w:rsidRPr="00F330C5">
              <w:t>15</w:t>
            </w:r>
          </w:p>
        </w:tc>
        <w:tc>
          <w:tcPr>
            <w:tcW w:w="1870" w:type="dxa"/>
            <w:tcBorders>
              <w:left w:val="single" w:sz="4" w:space="0" w:color="auto"/>
            </w:tcBorders>
          </w:tcPr>
          <w:p w14:paraId="154B950D" w14:textId="6B3043E6" w:rsidR="00024859" w:rsidRDefault="00024859" w:rsidP="00AF4CAA">
            <w:pPr>
              <w:pStyle w:val="NoSpacing"/>
            </w:pPr>
            <w:r w:rsidRPr="00F330C5">
              <w:t>14</w:t>
            </w:r>
          </w:p>
        </w:tc>
        <w:tc>
          <w:tcPr>
            <w:tcW w:w="1870" w:type="dxa"/>
          </w:tcPr>
          <w:p w14:paraId="0FA1CD7F" w14:textId="35A9CD7C" w:rsidR="00024859" w:rsidRDefault="00024859" w:rsidP="00AF4CAA">
            <w:pPr>
              <w:pStyle w:val="NoSpacing"/>
            </w:pPr>
            <w:r w:rsidRPr="00F330C5">
              <w:t>1</w:t>
            </w:r>
          </w:p>
        </w:tc>
        <w:tc>
          <w:tcPr>
            <w:tcW w:w="1870" w:type="dxa"/>
          </w:tcPr>
          <w:p w14:paraId="4D553656" w14:textId="4E3CDC7F" w:rsidR="00024859" w:rsidRDefault="00024859" w:rsidP="00AF4CAA">
            <w:pPr>
              <w:pStyle w:val="NoSpacing"/>
            </w:pPr>
            <w:r w:rsidRPr="00F330C5">
              <w:t>0</w:t>
            </w:r>
          </w:p>
        </w:tc>
      </w:tr>
      <w:tr w:rsidR="00024859" w14:paraId="0B9F4E4D" w14:textId="77777777" w:rsidTr="004F36D5">
        <w:tc>
          <w:tcPr>
            <w:tcW w:w="1870" w:type="dxa"/>
            <w:tcBorders>
              <w:right w:val="single" w:sz="4" w:space="0" w:color="auto"/>
            </w:tcBorders>
          </w:tcPr>
          <w:p w14:paraId="300948A1" w14:textId="0FE3D4CC" w:rsidR="00024859" w:rsidRDefault="00024859" w:rsidP="00AF4CAA">
            <w:pPr>
              <w:pStyle w:val="NoSpacing"/>
            </w:pPr>
            <w:r w:rsidRPr="00F330C5">
              <w:t>Tennessee</w:t>
            </w:r>
          </w:p>
        </w:tc>
        <w:tc>
          <w:tcPr>
            <w:tcW w:w="1870" w:type="dxa"/>
            <w:tcBorders>
              <w:left w:val="single" w:sz="4" w:space="0" w:color="auto"/>
              <w:right w:val="single" w:sz="4" w:space="0" w:color="auto"/>
            </w:tcBorders>
          </w:tcPr>
          <w:p w14:paraId="6F341F54" w14:textId="326755BA" w:rsidR="00024859" w:rsidRDefault="00024859" w:rsidP="00AF4CAA">
            <w:pPr>
              <w:pStyle w:val="NoSpacing"/>
            </w:pPr>
            <w:r w:rsidRPr="00F330C5">
              <w:t>15</w:t>
            </w:r>
          </w:p>
        </w:tc>
        <w:tc>
          <w:tcPr>
            <w:tcW w:w="1870" w:type="dxa"/>
            <w:tcBorders>
              <w:left w:val="single" w:sz="4" w:space="0" w:color="auto"/>
            </w:tcBorders>
          </w:tcPr>
          <w:p w14:paraId="3DA2C75C" w14:textId="2E54576C" w:rsidR="00024859" w:rsidRDefault="00395831" w:rsidP="00AF4CAA">
            <w:pPr>
              <w:pStyle w:val="NoSpacing"/>
            </w:pPr>
            <w:r>
              <w:t>10</w:t>
            </w:r>
          </w:p>
        </w:tc>
        <w:tc>
          <w:tcPr>
            <w:tcW w:w="1870" w:type="dxa"/>
          </w:tcPr>
          <w:p w14:paraId="28C6F95A" w14:textId="50E3E465" w:rsidR="00024859" w:rsidRDefault="00395831" w:rsidP="00AF4CAA">
            <w:pPr>
              <w:pStyle w:val="NoSpacing"/>
            </w:pPr>
            <w:r>
              <w:t>5</w:t>
            </w:r>
          </w:p>
        </w:tc>
        <w:tc>
          <w:tcPr>
            <w:tcW w:w="1870" w:type="dxa"/>
          </w:tcPr>
          <w:p w14:paraId="7458BEDE" w14:textId="489B9C61" w:rsidR="00024859" w:rsidRDefault="00024859" w:rsidP="00AF4CAA">
            <w:pPr>
              <w:pStyle w:val="NoSpacing"/>
            </w:pPr>
            <w:r w:rsidRPr="00F330C5">
              <w:t>0</w:t>
            </w:r>
          </w:p>
        </w:tc>
      </w:tr>
      <w:tr w:rsidR="00024859" w14:paraId="7CAEA366" w14:textId="77777777" w:rsidTr="004F36D5">
        <w:tc>
          <w:tcPr>
            <w:tcW w:w="1870" w:type="dxa"/>
            <w:tcBorders>
              <w:right w:val="single" w:sz="4" w:space="0" w:color="auto"/>
            </w:tcBorders>
          </w:tcPr>
          <w:p w14:paraId="6F3EDDEF" w14:textId="14CB05F0" w:rsidR="00024859" w:rsidRDefault="00024859" w:rsidP="00AF4CAA">
            <w:pPr>
              <w:pStyle w:val="NoSpacing"/>
            </w:pPr>
            <w:r w:rsidRPr="00F330C5">
              <w:t>North Carolina</w:t>
            </w:r>
          </w:p>
        </w:tc>
        <w:tc>
          <w:tcPr>
            <w:tcW w:w="1870" w:type="dxa"/>
            <w:tcBorders>
              <w:left w:val="single" w:sz="4" w:space="0" w:color="auto"/>
              <w:right w:val="single" w:sz="4" w:space="0" w:color="auto"/>
            </w:tcBorders>
          </w:tcPr>
          <w:p w14:paraId="59D51993" w14:textId="4BAF93B7" w:rsidR="00024859" w:rsidRDefault="00024859" w:rsidP="00AF4CAA">
            <w:pPr>
              <w:pStyle w:val="NoSpacing"/>
            </w:pPr>
            <w:r w:rsidRPr="00F330C5">
              <w:t>15</w:t>
            </w:r>
          </w:p>
        </w:tc>
        <w:tc>
          <w:tcPr>
            <w:tcW w:w="1870" w:type="dxa"/>
            <w:tcBorders>
              <w:left w:val="single" w:sz="4" w:space="0" w:color="auto"/>
            </w:tcBorders>
          </w:tcPr>
          <w:p w14:paraId="5F431110" w14:textId="6DC47463" w:rsidR="00024859" w:rsidRDefault="00395831" w:rsidP="00AF4CAA">
            <w:pPr>
              <w:pStyle w:val="NoSpacing"/>
            </w:pPr>
            <w:r>
              <w:t>3</w:t>
            </w:r>
          </w:p>
        </w:tc>
        <w:tc>
          <w:tcPr>
            <w:tcW w:w="1870" w:type="dxa"/>
          </w:tcPr>
          <w:p w14:paraId="2AF28BE6" w14:textId="68F46DA0" w:rsidR="00024859" w:rsidRDefault="00395831" w:rsidP="00AF4CAA">
            <w:pPr>
              <w:pStyle w:val="NoSpacing"/>
            </w:pPr>
            <w:r>
              <w:t>12</w:t>
            </w:r>
          </w:p>
        </w:tc>
        <w:tc>
          <w:tcPr>
            <w:tcW w:w="1870" w:type="dxa"/>
          </w:tcPr>
          <w:p w14:paraId="35EDBE69" w14:textId="71060701" w:rsidR="00024859" w:rsidRDefault="00024859" w:rsidP="00AF4CAA">
            <w:pPr>
              <w:pStyle w:val="NoSpacing"/>
            </w:pPr>
            <w:r w:rsidRPr="00F330C5">
              <w:t>0</w:t>
            </w:r>
          </w:p>
        </w:tc>
      </w:tr>
      <w:tr w:rsidR="00024859" w14:paraId="31302A84" w14:textId="77777777" w:rsidTr="004F36D5">
        <w:tc>
          <w:tcPr>
            <w:tcW w:w="1870" w:type="dxa"/>
            <w:tcBorders>
              <w:right w:val="single" w:sz="4" w:space="0" w:color="auto"/>
            </w:tcBorders>
          </w:tcPr>
          <w:p w14:paraId="52BF776A" w14:textId="0F47B7F0" w:rsidR="00024859" w:rsidRDefault="00024859" w:rsidP="00AF4CAA">
            <w:pPr>
              <w:pStyle w:val="NoSpacing"/>
            </w:pPr>
            <w:r w:rsidRPr="00F330C5">
              <w:t>South Carolina</w:t>
            </w:r>
          </w:p>
        </w:tc>
        <w:tc>
          <w:tcPr>
            <w:tcW w:w="1870" w:type="dxa"/>
            <w:tcBorders>
              <w:left w:val="single" w:sz="4" w:space="0" w:color="auto"/>
              <w:right w:val="single" w:sz="4" w:space="0" w:color="auto"/>
            </w:tcBorders>
          </w:tcPr>
          <w:p w14:paraId="165504FD" w14:textId="4D682E5B" w:rsidR="00024859" w:rsidRDefault="00024859" w:rsidP="00AF4CAA">
            <w:pPr>
              <w:pStyle w:val="NoSpacing"/>
            </w:pPr>
            <w:r w:rsidRPr="00F330C5">
              <w:t>11</w:t>
            </w:r>
          </w:p>
        </w:tc>
        <w:tc>
          <w:tcPr>
            <w:tcW w:w="1870" w:type="dxa"/>
            <w:tcBorders>
              <w:left w:val="single" w:sz="4" w:space="0" w:color="auto"/>
            </w:tcBorders>
          </w:tcPr>
          <w:p w14:paraId="56AD0B77" w14:textId="30C72D6E" w:rsidR="00024859" w:rsidRDefault="00024859" w:rsidP="00AF4CAA">
            <w:pPr>
              <w:pStyle w:val="NoSpacing"/>
            </w:pPr>
            <w:r w:rsidRPr="00F330C5">
              <w:t>0</w:t>
            </w:r>
          </w:p>
        </w:tc>
        <w:tc>
          <w:tcPr>
            <w:tcW w:w="1870" w:type="dxa"/>
          </w:tcPr>
          <w:p w14:paraId="479DBEDA" w14:textId="64269CAA" w:rsidR="00024859" w:rsidRDefault="00024859" w:rsidP="00AF4CAA">
            <w:pPr>
              <w:pStyle w:val="NoSpacing"/>
            </w:pPr>
            <w:r w:rsidRPr="00F330C5">
              <w:t>11</w:t>
            </w:r>
          </w:p>
        </w:tc>
        <w:tc>
          <w:tcPr>
            <w:tcW w:w="1870" w:type="dxa"/>
          </w:tcPr>
          <w:p w14:paraId="09AF9D3F" w14:textId="38551F71" w:rsidR="00024859" w:rsidRDefault="00024859" w:rsidP="00AF4CAA">
            <w:pPr>
              <w:pStyle w:val="NoSpacing"/>
            </w:pPr>
            <w:r w:rsidRPr="00F330C5">
              <w:t>0</w:t>
            </w:r>
          </w:p>
        </w:tc>
      </w:tr>
      <w:tr w:rsidR="00024859" w14:paraId="069F8076" w14:textId="77777777" w:rsidTr="004F36D5">
        <w:tc>
          <w:tcPr>
            <w:tcW w:w="1870" w:type="dxa"/>
            <w:tcBorders>
              <w:right w:val="single" w:sz="4" w:space="0" w:color="auto"/>
            </w:tcBorders>
          </w:tcPr>
          <w:p w14:paraId="1FDBDF60" w14:textId="34A40B4B" w:rsidR="00024859" w:rsidRDefault="00024859" w:rsidP="00AF4CAA">
            <w:pPr>
              <w:pStyle w:val="NoSpacing"/>
            </w:pPr>
            <w:r w:rsidRPr="00F330C5">
              <w:t>Georgia</w:t>
            </w:r>
          </w:p>
        </w:tc>
        <w:tc>
          <w:tcPr>
            <w:tcW w:w="1870" w:type="dxa"/>
            <w:tcBorders>
              <w:left w:val="single" w:sz="4" w:space="0" w:color="auto"/>
              <w:right w:val="single" w:sz="4" w:space="0" w:color="auto"/>
            </w:tcBorders>
          </w:tcPr>
          <w:p w14:paraId="51151C0C" w14:textId="1451FC8A" w:rsidR="00024859" w:rsidRDefault="00024859" w:rsidP="00AF4CAA">
            <w:pPr>
              <w:pStyle w:val="NoSpacing"/>
            </w:pPr>
            <w:r w:rsidRPr="00F330C5">
              <w:t>11</w:t>
            </w:r>
          </w:p>
        </w:tc>
        <w:tc>
          <w:tcPr>
            <w:tcW w:w="1870" w:type="dxa"/>
            <w:tcBorders>
              <w:left w:val="single" w:sz="4" w:space="0" w:color="auto"/>
            </w:tcBorders>
          </w:tcPr>
          <w:p w14:paraId="31E1DEB6" w14:textId="2851E7C4" w:rsidR="00024859" w:rsidRDefault="00024859" w:rsidP="00AF4CAA">
            <w:pPr>
              <w:pStyle w:val="NoSpacing"/>
            </w:pPr>
            <w:r w:rsidRPr="00F330C5">
              <w:t>0</w:t>
            </w:r>
          </w:p>
        </w:tc>
        <w:tc>
          <w:tcPr>
            <w:tcW w:w="1870" w:type="dxa"/>
          </w:tcPr>
          <w:p w14:paraId="4129CA9A" w14:textId="6935156E" w:rsidR="00024859" w:rsidRDefault="00024859" w:rsidP="00AF4CAA">
            <w:pPr>
              <w:pStyle w:val="NoSpacing"/>
            </w:pPr>
            <w:r w:rsidRPr="00F330C5">
              <w:t>11</w:t>
            </w:r>
          </w:p>
        </w:tc>
        <w:tc>
          <w:tcPr>
            <w:tcW w:w="1870" w:type="dxa"/>
          </w:tcPr>
          <w:p w14:paraId="7B4E51A7" w14:textId="348404E3" w:rsidR="00024859" w:rsidRDefault="00024859" w:rsidP="00AF4CAA">
            <w:pPr>
              <w:pStyle w:val="NoSpacing"/>
            </w:pPr>
            <w:r w:rsidRPr="00F330C5">
              <w:t>0</w:t>
            </w:r>
          </w:p>
        </w:tc>
      </w:tr>
      <w:tr w:rsidR="00024859" w14:paraId="753A3950" w14:textId="77777777" w:rsidTr="004F36D5">
        <w:tc>
          <w:tcPr>
            <w:tcW w:w="1870" w:type="dxa"/>
            <w:tcBorders>
              <w:right w:val="single" w:sz="4" w:space="0" w:color="auto"/>
            </w:tcBorders>
          </w:tcPr>
          <w:p w14:paraId="130B52FA" w14:textId="47BC4FD5" w:rsidR="00024859" w:rsidRDefault="00024859" w:rsidP="00AF4CAA">
            <w:pPr>
              <w:pStyle w:val="NoSpacing"/>
            </w:pPr>
            <w:r w:rsidRPr="00F330C5">
              <w:t>Yazoo</w:t>
            </w:r>
          </w:p>
        </w:tc>
        <w:tc>
          <w:tcPr>
            <w:tcW w:w="1870" w:type="dxa"/>
            <w:tcBorders>
              <w:left w:val="single" w:sz="4" w:space="0" w:color="auto"/>
              <w:right w:val="single" w:sz="4" w:space="0" w:color="auto"/>
            </w:tcBorders>
          </w:tcPr>
          <w:p w14:paraId="347B07B4" w14:textId="1E4F7047" w:rsidR="00024859" w:rsidRDefault="00024859" w:rsidP="00AF4CAA">
            <w:pPr>
              <w:pStyle w:val="NoSpacing"/>
            </w:pPr>
            <w:r w:rsidRPr="00F330C5">
              <w:t>8</w:t>
            </w:r>
          </w:p>
        </w:tc>
        <w:tc>
          <w:tcPr>
            <w:tcW w:w="1870" w:type="dxa"/>
            <w:tcBorders>
              <w:left w:val="single" w:sz="4" w:space="0" w:color="auto"/>
            </w:tcBorders>
          </w:tcPr>
          <w:p w14:paraId="6EE357C9" w14:textId="68931BB9" w:rsidR="00024859" w:rsidRDefault="00024859" w:rsidP="00AF4CAA">
            <w:pPr>
              <w:pStyle w:val="NoSpacing"/>
            </w:pPr>
            <w:r w:rsidRPr="00F330C5">
              <w:t>5</w:t>
            </w:r>
          </w:p>
        </w:tc>
        <w:tc>
          <w:tcPr>
            <w:tcW w:w="1870" w:type="dxa"/>
          </w:tcPr>
          <w:p w14:paraId="22AB9A3B" w14:textId="6E9B706E" w:rsidR="00024859" w:rsidRDefault="00024859" w:rsidP="00AF4CAA">
            <w:pPr>
              <w:pStyle w:val="NoSpacing"/>
            </w:pPr>
            <w:r w:rsidRPr="00F330C5">
              <w:t>3</w:t>
            </w:r>
          </w:p>
        </w:tc>
        <w:tc>
          <w:tcPr>
            <w:tcW w:w="1870" w:type="dxa"/>
          </w:tcPr>
          <w:p w14:paraId="2C48859A" w14:textId="5C351F33" w:rsidR="00024859" w:rsidRDefault="00024859" w:rsidP="00AF4CAA">
            <w:pPr>
              <w:pStyle w:val="NoSpacing"/>
            </w:pPr>
            <w:r w:rsidRPr="00F330C5">
              <w:t>0</w:t>
            </w:r>
          </w:p>
        </w:tc>
      </w:tr>
      <w:tr w:rsidR="00024859" w14:paraId="29A985F8" w14:textId="77777777" w:rsidTr="004F36D5">
        <w:tc>
          <w:tcPr>
            <w:tcW w:w="1870" w:type="dxa"/>
            <w:tcBorders>
              <w:right w:val="single" w:sz="4" w:space="0" w:color="auto"/>
            </w:tcBorders>
          </w:tcPr>
          <w:p w14:paraId="55B5A022" w14:textId="7CFACF73" w:rsidR="00024859" w:rsidRDefault="00024859" w:rsidP="00AF4CAA">
            <w:pPr>
              <w:pStyle w:val="NoSpacing"/>
            </w:pPr>
            <w:r w:rsidRPr="00F330C5">
              <w:t>Mississippi</w:t>
            </w:r>
          </w:p>
        </w:tc>
        <w:tc>
          <w:tcPr>
            <w:tcW w:w="1870" w:type="dxa"/>
            <w:tcBorders>
              <w:left w:val="single" w:sz="4" w:space="0" w:color="auto"/>
              <w:right w:val="single" w:sz="4" w:space="0" w:color="auto"/>
            </w:tcBorders>
          </w:tcPr>
          <w:p w14:paraId="33CD0BBF" w14:textId="3CF56C82" w:rsidR="00024859" w:rsidRDefault="00024859" w:rsidP="00AF4CAA">
            <w:pPr>
              <w:pStyle w:val="NoSpacing"/>
            </w:pPr>
            <w:r w:rsidRPr="00F330C5">
              <w:t>4</w:t>
            </w:r>
          </w:p>
        </w:tc>
        <w:tc>
          <w:tcPr>
            <w:tcW w:w="1870" w:type="dxa"/>
            <w:tcBorders>
              <w:left w:val="single" w:sz="4" w:space="0" w:color="auto"/>
            </w:tcBorders>
          </w:tcPr>
          <w:p w14:paraId="5C487E98" w14:textId="2E508946" w:rsidR="00024859" w:rsidRDefault="00024859" w:rsidP="00AF4CAA">
            <w:pPr>
              <w:pStyle w:val="NoSpacing"/>
            </w:pPr>
            <w:r w:rsidRPr="00F330C5">
              <w:t>1</w:t>
            </w:r>
          </w:p>
        </w:tc>
        <w:tc>
          <w:tcPr>
            <w:tcW w:w="1870" w:type="dxa"/>
          </w:tcPr>
          <w:p w14:paraId="642D6FBF" w14:textId="62AF184C" w:rsidR="00024859" w:rsidRDefault="00024859" w:rsidP="00AF4CAA">
            <w:pPr>
              <w:pStyle w:val="NoSpacing"/>
            </w:pPr>
            <w:r w:rsidRPr="00F330C5">
              <w:t>3</w:t>
            </w:r>
          </w:p>
        </w:tc>
        <w:tc>
          <w:tcPr>
            <w:tcW w:w="1870" w:type="dxa"/>
          </w:tcPr>
          <w:p w14:paraId="3E24ED1F" w14:textId="7243FB97" w:rsidR="00024859" w:rsidRDefault="00024859" w:rsidP="00AF4CAA">
            <w:pPr>
              <w:pStyle w:val="NoSpacing"/>
            </w:pPr>
            <w:r w:rsidRPr="00F330C5">
              <w:t>0</w:t>
            </w:r>
          </w:p>
        </w:tc>
      </w:tr>
      <w:tr w:rsidR="00024859" w14:paraId="6F044493" w14:textId="77777777" w:rsidTr="004F36D5">
        <w:tc>
          <w:tcPr>
            <w:tcW w:w="1870" w:type="dxa"/>
            <w:tcBorders>
              <w:bottom w:val="single" w:sz="4" w:space="0" w:color="auto"/>
              <w:right w:val="single" w:sz="4" w:space="0" w:color="auto"/>
            </w:tcBorders>
          </w:tcPr>
          <w:p w14:paraId="67854E69" w14:textId="3517C3D8" w:rsidR="00024859" w:rsidRDefault="00024859" w:rsidP="00AF4CAA">
            <w:pPr>
              <w:pStyle w:val="NoSpacing"/>
            </w:pPr>
            <w:r w:rsidRPr="00F330C5">
              <w:t>Orleans</w:t>
            </w:r>
          </w:p>
        </w:tc>
        <w:tc>
          <w:tcPr>
            <w:tcW w:w="1870" w:type="dxa"/>
            <w:tcBorders>
              <w:left w:val="single" w:sz="4" w:space="0" w:color="auto"/>
              <w:bottom w:val="single" w:sz="4" w:space="0" w:color="auto"/>
              <w:right w:val="single" w:sz="4" w:space="0" w:color="auto"/>
            </w:tcBorders>
          </w:tcPr>
          <w:p w14:paraId="001E11C0" w14:textId="6BC11633" w:rsidR="00024859" w:rsidRDefault="00024859" w:rsidP="00AF4CAA">
            <w:pPr>
              <w:pStyle w:val="NoSpacing"/>
            </w:pPr>
            <w:r w:rsidRPr="00F330C5">
              <w:t>5</w:t>
            </w:r>
          </w:p>
        </w:tc>
        <w:tc>
          <w:tcPr>
            <w:tcW w:w="1870" w:type="dxa"/>
            <w:tcBorders>
              <w:left w:val="single" w:sz="4" w:space="0" w:color="auto"/>
              <w:bottom w:val="single" w:sz="4" w:space="0" w:color="auto"/>
            </w:tcBorders>
          </w:tcPr>
          <w:p w14:paraId="1C9BB30A" w14:textId="697D8F79" w:rsidR="00024859" w:rsidRDefault="00024859" w:rsidP="00AF4CAA">
            <w:pPr>
              <w:pStyle w:val="NoSpacing"/>
            </w:pPr>
            <w:r w:rsidRPr="00F330C5">
              <w:t>4</w:t>
            </w:r>
          </w:p>
        </w:tc>
        <w:tc>
          <w:tcPr>
            <w:tcW w:w="1870" w:type="dxa"/>
            <w:tcBorders>
              <w:bottom w:val="single" w:sz="4" w:space="0" w:color="auto"/>
            </w:tcBorders>
          </w:tcPr>
          <w:p w14:paraId="1C305AA2" w14:textId="10F5F2FF" w:rsidR="00024859" w:rsidRDefault="00024859" w:rsidP="00AF4CAA">
            <w:pPr>
              <w:pStyle w:val="NoSpacing"/>
            </w:pPr>
            <w:r w:rsidRPr="00F330C5">
              <w:t>1</w:t>
            </w:r>
          </w:p>
        </w:tc>
        <w:tc>
          <w:tcPr>
            <w:tcW w:w="1870" w:type="dxa"/>
            <w:tcBorders>
              <w:bottom w:val="single" w:sz="4" w:space="0" w:color="auto"/>
            </w:tcBorders>
          </w:tcPr>
          <w:p w14:paraId="0611AC1B" w14:textId="4677D28A" w:rsidR="00024859" w:rsidRDefault="00024859" w:rsidP="00AF4CAA">
            <w:pPr>
              <w:pStyle w:val="NoSpacing"/>
            </w:pPr>
            <w:r w:rsidRPr="00F330C5">
              <w:t>0</w:t>
            </w:r>
          </w:p>
        </w:tc>
      </w:tr>
      <w:tr w:rsidR="00024859" w:rsidRPr="000E727C" w14:paraId="17A3E445" w14:textId="77777777" w:rsidTr="004F36D5">
        <w:tc>
          <w:tcPr>
            <w:tcW w:w="1870" w:type="dxa"/>
            <w:tcBorders>
              <w:top w:val="single" w:sz="4" w:space="0" w:color="auto"/>
              <w:right w:val="single" w:sz="4" w:space="0" w:color="auto"/>
            </w:tcBorders>
          </w:tcPr>
          <w:p w14:paraId="11C7A128" w14:textId="7723DF57" w:rsidR="00024859" w:rsidRPr="000E727C" w:rsidRDefault="008C14CF" w:rsidP="00AF4CAA">
            <w:pPr>
              <w:pStyle w:val="NoSpacing"/>
              <w:rPr>
                <w:b/>
                <w:bCs/>
              </w:rPr>
            </w:pPr>
            <w:r w:rsidRPr="000E727C">
              <w:rPr>
                <w:b/>
                <w:bCs/>
              </w:rPr>
              <w:t>Total</w:t>
            </w:r>
          </w:p>
        </w:tc>
        <w:tc>
          <w:tcPr>
            <w:tcW w:w="1870" w:type="dxa"/>
            <w:tcBorders>
              <w:top w:val="single" w:sz="4" w:space="0" w:color="auto"/>
              <w:left w:val="single" w:sz="4" w:space="0" w:color="auto"/>
              <w:right w:val="single" w:sz="4" w:space="0" w:color="auto"/>
            </w:tcBorders>
          </w:tcPr>
          <w:p w14:paraId="327E48C9" w14:textId="7DD4D0EB" w:rsidR="00024859" w:rsidRPr="000E727C" w:rsidRDefault="00024859" w:rsidP="00AF4CAA">
            <w:pPr>
              <w:pStyle w:val="NoSpacing"/>
              <w:rPr>
                <w:b/>
                <w:bCs/>
              </w:rPr>
            </w:pPr>
            <w:r w:rsidRPr="000E727C">
              <w:rPr>
                <w:b/>
                <w:bCs/>
              </w:rPr>
              <w:t>296</w:t>
            </w:r>
          </w:p>
        </w:tc>
        <w:tc>
          <w:tcPr>
            <w:tcW w:w="1870" w:type="dxa"/>
            <w:tcBorders>
              <w:top w:val="single" w:sz="4" w:space="0" w:color="auto"/>
              <w:left w:val="single" w:sz="4" w:space="0" w:color="auto"/>
            </w:tcBorders>
          </w:tcPr>
          <w:p w14:paraId="31BB04E9" w14:textId="685FD0F0" w:rsidR="00024859" w:rsidRPr="000E727C" w:rsidRDefault="00024859" w:rsidP="00AF4CAA">
            <w:pPr>
              <w:pStyle w:val="NoSpacing"/>
              <w:rPr>
                <w:b/>
                <w:bCs/>
                <w:u w:val="single"/>
              </w:rPr>
            </w:pPr>
            <w:r w:rsidRPr="000E727C">
              <w:rPr>
                <w:b/>
                <w:bCs/>
                <w:u w:val="single"/>
              </w:rPr>
              <w:t>181</w:t>
            </w:r>
          </w:p>
        </w:tc>
        <w:tc>
          <w:tcPr>
            <w:tcW w:w="1870" w:type="dxa"/>
            <w:tcBorders>
              <w:top w:val="single" w:sz="4" w:space="0" w:color="auto"/>
            </w:tcBorders>
          </w:tcPr>
          <w:p w14:paraId="6EB839D4" w14:textId="3EDF73E9" w:rsidR="00024859" w:rsidRPr="000E727C" w:rsidRDefault="00024859" w:rsidP="00AF4CAA">
            <w:pPr>
              <w:pStyle w:val="NoSpacing"/>
              <w:rPr>
                <w:b/>
                <w:bCs/>
              </w:rPr>
            </w:pPr>
            <w:r w:rsidRPr="000E727C">
              <w:rPr>
                <w:b/>
                <w:bCs/>
              </w:rPr>
              <w:t>79</w:t>
            </w:r>
          </w:p>
        </w:tc>
        <w:tc>
          <w:tcPr>
            <w:tcW w:w="1870" w:type="dxa"/>
            <w:tcBorders>
              <w:top w:val="single" w:sz="4" w:space="0" w:color="auto"/>
            </w:tcBorders>
          </w:tcPr>
          <w:p w14:paraId="2C8F7C64" w14:textId="1D6E7AA1" w:rsidR="00024859" w:rsidRPr="000E727C" w:rsidRDefault="00024859" w:rsidP="00AF4CAA">
            <w:pPr>
              <w:pStyle w:val="NoSpacing"/>
              <w:rPr>
                <w:b/>
                <w:bCs/>
              </w:rPr>
            </w:pPr>
            <w:r w:rsidRPr="000E727C">
              <w:rPr>
                <w:b/>
                <w:bCs/>
              </w:rPr>
              <w:t>36</w:t>
            </w:r>
          </w:p>
        </w:tc>
      </w:tr>
    </w:tbl>
    <w:p w14:paraId="527B4DD7" w14:textId="77777777" w:rsidR="00024859" w:rsidRDefault="00024859" w:rsidP="007610E6"/>
    <w:p w14:paraId="726C2F90" w14:textId="693BC9E3" w:rsidR="00B24C59" w:rsidRDefault="00B24C59" w:rsidP="007610E6">
      <w:r>
        <w:t xml:space="preserve">Though decisive, and that this showed the Democrats would easily prevail over a divided opposition led to an effort to consolidate and unify it, </w:t>
      </w:r>
      <w:r w:rsidR="006E5434">
        <w:t>the victory for Harrison meant a defeat for Calhoun – and with it clear he would not be the next president,</w:t>
      </w:r>
      <w:r w:rsidR="00345995">
        <w:t xml:space="preserve"> the nullification movement that he had hitherto </w:t>
      </w:r>
      <w:r w:rsidR="00867455">
        <w:t xml:space="preserve">put the brakes upon suddenly escalated. </w:t>
      </w:r>
      <w:r w:rsidR="00F57BF1">
        <w:t xml:space="preserve">The Norfolk Convention issued an ultimatum declaring </w:t>
      </w:r>
      <w:r w:rsidR="00D63ED2">
        <w:t xml:space="preserve">the protectionist tariffs nullified, and </w:t>
      </w:r>
      <w:r w:rsidR="001B2AD6">
        <w:t xml:space="preserve">it issued an ultimatum declaring that the represented states would not allow the collection of these tariffs. </w:t>
      </w:r>
      <w:r w:rsidR="005E0202">
        <w:t xml:space="preserve">This sudden escalation travelled to the states, and </w:t>
      </w:r>
      <w:r w:rsidR="006A3236">
        <w:t xml:space="preserve">one by one their nullification conventions talked this over. This ultimatum was passed by the conventions of South Carolina, then Georgia, and then more narrowly Virginia. The Harrison administration, despite its decisively protectionist leanings and its firm support of </w:t>
      </w:r>
      <w:r w:rsidR="006A3236">
        <w:lastRenderedPageBreak/>
        <w:t>nationalism and a strong central government, wanted a divided nation or a civil war even less, and</w:t>
      </w:r>
      <w:r w:rsidR="00EE05F7">
        <w:t xml:space="preserve"> it issued a conciliatory proclamation declaring that, though it believed the tariff both constitutional and good policy, it did not wish for disputes over the Constitution to turn into civil war.</w:t>
      </w:r>
      <w:r w:rsidR="006A3236">
        <w:t xml:space="preserve"> </w:t>
      </w:r>
      <w:r w:rsidR="00EE05F7">
        <w:t>T</w:t>
      </w:r>
      <w:r w:rsidR="006A3236">
        <w:t xml:space="preserve">his in turn resulted in </w:t>
      </w:r>
      <w:r w:rsidR="00EE05F7">
        <w:t xml:space="preserve">Secretary </w:t>
      </w:r>
      <w:r w:rsidR="00A16763">
        <w:t xml:space="preserve">Clay finally bringing Calhoun to the table for negotiation. </w:t>
      </w:r>
    </w:p>
    <w:p w14:paraId="5D66EE2C" w14:textId="38FC33FB" w:rsidR="0010658A" w:rsidRDefault="004D054C" w:rsidP="0010658A">
      <w:r>
        <w:t xml:space="preserve">Despite Calhoun’s </w:t>
      </w:r>
      <w:r w:rsidR="00BB7343">
        <w:t>quite</w:t>
      </w:r>
      <w:r>
        <w:t xml:space="preserve"> extreme rhetoric on the issue, </w:t>
      </w:r>
      <w:r w:rsidR="0071395A">
        <w:t xml:space="preserve">he too wanted to avoid the crisis over nullification </w:t>
      </w:r>
      <w:r w:rsidR="00310F50">
        <w:t xml:space="preserve">turning into a civil war. </w:t>
      </w:r>
      <w:r w:rsidR="00A0360D">
        <w:t xml:space="preserve">He did not want to divide the United States – rather, he wanted to establish a unity, on Southern terms. </w:t>
      </w:r>
      <w:r w:rsidR="00EE05F7">
        <w:t xml:space="preserve">And so, when Clay brought out feelers to negotiate with him, Calhoun accepted. </w:t>
      </w:r>
      <w:r w:rsidR="00F417CE">
        <w:t>The ensuing deal they hammered ou</w:t>
      </w:r>
      <w:r w:rsidR="00860E21">
        <w:t xml:space="preserve">t was a curious win for both protection and free trade: the Compromise Tariff of 1833 would reduce the tariff by tenths until, by 1842, it would be reduced to the level of the Tariff of 1810 and thus it would exist for revenue purposes. </w:t>
      </w:r>
      <w:r w:rsidR="007D1666">
        <w:t>This was a win for Harrison, Clay, and the protectionists since it would still</w:t>
      </w:r>
      <w:r w:rsidR="00F07752">
        <w:t xml:space="preserve"> maintain a protectionist tariff for the next decade by which time it could be renegotiated; it was also a win for Calhoun, Lowndes, and the nullifiers since it was an example in action of the principle of nullification used to force the government to back down</w:t>
      </w:r>
      <w:r w:rsidR="00124DA7">
        <w:t>. Both sides thought they’d be vindicated</w:t>
      </w:r>
      <w:r w:rsidR="00F07752">
        <w:t xml:space="preserve">. </w:t>
      </w:r>
      <w:r w:rsidR="00124DA7">
        <w:t>However, in its passage through Congress, its passage was not a wholly harmonious affair, as</w:t>
      </w:r>
      <w:r w:rsidR="002A08F9">
        <w:t xml:space="preserve"> from the Senate</w:t>
      </w:r>
      <w:r w:rsidR="00124DA7">
        <w:t xml:space="preserve"> </w:t>
      </w:r>
      <w:r w:rsidR="002A08F9">
        <w:t xml:space="preserve">Daniel Webster declared this nothing short of surrender to </w:t>
      </w:r>
      <w:proofErr w:type="spellStart"/>
      <w:r w:rsidR="002A08F9">
        <w:t>disunionists</w:t>
      </w:r>
      <w:proofErr w:type="spellEnd"/>
      <w:r w:rsidR="002A08F9">
        <w:t xml:space="preserve">. But despite his furious speeches against it, which made him more of a Democratic Party icon, the Compromise Tariff passed by large margins through Congress unamended. </w:t>
      </w:r>
      <w:r w:rsidR="001C0F02">
        <w:t>And President Harrison happily signed it into law. The Norfolk Convention dissolved, and so too did the several nullification conventions</w:t>
      </w:r>
      <w:r w:rsidR="0010658A">
        <w:t xml:space="preserve"> of th</w:t>
      </w:r>
      <w:r w:rsidR="00FA24B5">
        <w:t xml:space="preserve">e Southern states. </w:t>
      </w:r>
      <w:r w:rsidR="001E5473">
        <w:t xml:space="preserve">The crisis had come to an end, and the Union was salvaged from the breaking point into sectional peace. </w:t>
      </w:r>
      <w:r w:rsidR="00B62DD5">
        <w:t>But it was a fragile peace that had solved</w:t>
      </w:r>
      <w:r w:rsidR="000A2AEE">
        <w:t xml:space="preserve"> and answered</w:t>
      </w:r>
      <w:r w:rsidR="00B62DD5">
        <w:t xml:space="preserve"> nothing; there is a reason we call this merely the First Nullification Crisis. </w:t>
      </w:r>
    </w:p>
    <w:p w14:paraId="3401CA4B" w14:textId="0928F803" w:rsidR="00720F34" w:rsidRDefault="00720F34" w:rsidP="0010658A">
      <w:r>
        <w:lastRenderedPageBreak/>
        <w:t xml:space="preserve">Thus, as Harrison was inaugurated in the halls of the Capitol for a third term, he had protected the nation from ruin. </w:t>
      </w:r>
      <w:r w:rsidR="00395831">
        <w:t>He had prevented a collision of the South against the federal government</w:t>
      </w:r>
      <w:r w:rsidR="00DD239A">
        <w:t xml:space="preserve">, which would </w:t>
      </w:r>
      <w:r w:rsidR="00402346">
        <w:t>surely end with</w:t>
      </w:r>
      <w:r w:rsidR="00DD239A">
        <w:t xml:space="preserve"> </w:t>
      </w:r>
      <w:r w:rsidR="00402346">
        <w:t xml:space="preserve">either disunion or a civil war. </w:t>
      </w:r>
      <w:r w:rsidR="002E71AF">
        <w:t>But it left the wider issues of the difference of the sections unresolved</w:t>
      </w:r>
      <w:r w:rsidR="006D26A4">
        <w:t>, it left the great divergence of the nation’s economy over the issue of slavery still ready to escalate</w:t>
      </w:r>
      <w:r w:rsidR="002E71AF">
        <w:t xml:space="preserve">, and this issue continued to fester. In time, it would reach a breaking point, and </w:t>
      </w:r>
      <w:r w:rsidR="008A5535">
        <w:t xml:space="preserve">it would leave the </w:t>
      </w:r>
      <w:r w:rsidR="00685B96">
        <w:t>nation</w:t>
      </w:r>
      <w:r w:rsidR="008A5535">
        <w:t xml:space="preserve"> ablaze</w:t>
      </w:r>
      <w:r w:rsidR="004F3AC3">
        <w:t xml:space="preserve">. </w:t>
      </w:r>
    </w:p>
    <w:p w14:paraId="2E002EA6" w14:textId="77777777" w:rsidR="00093525" w:rsidRDefault="00093525" w:rsidP="00093525">
      <w:r>
        <w:br w:type="page"/>
      </w:r>
    </w:p>
    <w:p w14:paraId="32B3924C" w14:textId="77777777" w:rsidR="00093525" w:rsidRPr="00134E7A" w:rsidRDefault="00093525" w:rsidP="007610E6"/>
    <w:p w14:paraId="160AFDB8" w14:textId="77777777" w:rsidR="005B4C14" w:rsidRDefault="005B4C14" w:rsidP="005B4C14">
      <w:pPr>
        <w:sectPr w:rsidR="005B4C14" w:rsidSect="005B4C1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37781ED" w14:textId="77777777" w:rsidR="000D2418" w:rsidRPr="00134E7A" w:rsidRDefault="005B4C14" w:rsidP="000D2418">
      <w:r>
        <w:br w:type="page"/>
      </w:r>
    </w:p>
    <w:p w14:paraId="3111E8FF" w14:textId="4BECF6F2" w:rsidR="000D2418" w:rsidRDefault="000D2418" w:rsidP="000D2418">
      <w:pPr>
        <w:pStyle w:val="Heading1"/>
      </w:pPr>
      <w:bookmarkStart w:id="25" w:name="_Toc202006218"/>
      <w:r>
        <w:lastRenderedPageBreak/>
        <w:t xml:space="preserve">19. </w:t>
      </w:r>
      <w:r w:rsidR="00FB2AF9">
        <w:t>Between the Crises</w:t>
      </w:r>
      <w:bookmarkEnd w:id="25"/>
    </w:p>
    <w:p w14:paraId="5E0337E8" w14:textId="1EB7A99C" w:rsidR="00FB2AF9" w:rsidRDefault="0085210C" w:rsidP="00FB2AF9">
      <w:r>
        <w:t xml:space="preserve">For the remainder of Harrison’s third term, the economy mostly continued to prosper. </w:t>
      </w:r>
      <w:r w:rsidR="0030520D">
        <w:t>The tariff continued to be high</w:t>
      </w:r>
      <w:r w:rsidR="002A72B5">
        <w:t>, even if the Compromise Tariff meant that was due to expire</w:t>
      </w:r>
      <w:r w:rsidR="00C62EC4">
        <w:t>;</w:t>
      </w:r>
      <w:r w:rsidR="00F32F0E">
        <w:t xml:space="preserve"> and factories continued to </w:t>
      </w:r>
      <w:r w:rsidR="00F860AF">
        <w:t>prosper under</w:t>
      </w:r>
      <w:r w:rsidR="00900E80">
        <w:t xml:space="preserve"> the tariff</w:t>
      </w:r>
      <w:r w:rsidR="00C62EC4">
        <w:t>, and they prepared to adjust for the new tariff environment due to come</w:t>
      </w:r>
      <w:r w:rsidR="002A72B5">
        <w:t xml:space="preserve">. </w:t>
      </w:r>
      <w:r w:rsidR="00BA7073">
        <w:t xml:space="preserve">With the end of war in Europe in 1832, </w:t>
      </w:r>
      <w:r w:rsidR="00EE1DA8">
        <w:t>immigrants came in huge numbers, as</w:t>
      </w:r>
      <w:r w:rsidR="00097E42">
        <w:t xml:space="preserve"> adding to the numbers of Irish and British immigrants came a lot of Germans. While </w:t>
      </w:r>
      <w:r w:rsidR="00FE00FF">
        <w:t xml:space="preserve">both Irish and British immigrants had a reputation for political radicalism thanks to the large </w:t>
      </w:r>
      <w:r w:rsidR="006B69C2">
        <w:t xml:space="preserve">numbers of radicals who had fled the pre-revolutionary monarchy, </w:t>
      </w:r>
      <w:r w:rsidR="00FD5A01">
        <w:t xml:space="preserve">in contrast Germans had a reputation for being apolitical. It would be an oversimplification to view all German immigrants as moderates, but German radical exiles generally moved to either France or </w:t>
      </w:r>
      <w:r w:rsidR="005274AF">
        <w:t>the</w:t>
      </w:r>
      <w:r w:rsidR="00FD5A01">
        <w:t xml:space="preserve"> sister republic of </w:t>
      </w:r>
      <w:proofErr w:type="spellStart"/>
      <w:r w:rsidR="00FD5A01">
        <w:t>Tell</w:t>
      </w:r>
      <w:r w:rsidR="005274AF">
        <w:t>govie</w:t>
      </w:r>
      <w:proofErr w:type="spellEnd"/>
      <w:r w:rsidR="005274AF">
        <w:t xml:space="preserve"> created during the recent European war. </w:t>
      </w:r>
      <w:r w:rsidR="00AE486F">
        <w:t xml:space="preserve">As such, German immigrants were tolerated in the South in a way that </w:t>
      </w:r>
      <w:r w:rsidR="00BD52A7">
        <w:t xml:space="preserve">Irish and British immigrants were not, as they were considered </w:t>
      </w:r>
      <w:r w:rsidR="00E3284B">
        <w:t xml:space="preserve">proslavery. </w:t>
      </w:r>
    </w:p>
    <w:p w14:paraId="5DF8349E" w14:textId="14AE4937" w:rsidR="00810BDB" w:rsidRDefault="009D643D" w:rsidP="004D2821">
      <w:r>
        <w:t xml:space="preserve">And </w:t>
      </w:r>
      <w:r w:rsidR="00477C59">
        <w:t>thus,</w:t>
      </w:r>
      <w:r>
        <w:t xml:space="preserve"> the nation grew</w:t>
      </w:r>
      <w:r w:rsidR="00477C59">
        <w:t xml:space="preserve"> quietly</w:t>
      </w:r>
      <w:r>
        <w:t xml:space="preserve">. </w:t>
      </w:r>
      <w:r w:rsidR="00FC7D18">
        <w:t>S</w:t>
      </w:r>
      <w:r w:rsidR="00F4411D">
        <w:t xml:space="preserve">ettlers slowly moved into both the Old West, and the New West of </w:t>
      </w:r>
      <w:r w:rsidR="001C0F67">
        <w:t xml:space="preserve">Luisiana, </w:t>
      </w:r>
      <w:r w:rsidR="00FC7D18">
        <w:t>and this resulted in a period of speculation as the land rush allowed for new investment opportunities, and so too did the commerce that the new settle</w:t>
      </w:r>
      <w:r w:rsidR="0013456B">
        <w:t xml:space="preserve">ment inaugurated. </w:t>
      </w:r>
      <w:r w:rsidR="005F7939">
        <w:t xml:space="preserve">The Second Bank put a brake on this speculation, as it sought to avoid a catastrophic boom and bust cycle as had happened in </w:t>
      </w:r>
      <w:r w:rsidR="00932B55">
        <w:t xml:space="preserve">1819; </w:t>
      </w:r>
      <w:r w:rsidR="00674AB1">
        <w:t xml:space="preserve">when it saw new banks pop up that it considered unstable, it made large deposits and then withdrew them, which would force the bank into retrenchment, and it circulated its banknotes in place of those of the average western paper bank. </w:t>
      </w:r>
      <w:r w:rsidR="002E26C8">
        <w:t xml:space="preserve">But despite this, a boom cycle began in the second market, and </w:t>
      </w:r>
      <w:r w:rsidR="0006453F">
        <w:t xml:space="preserve">the nation prospered as a result. </w:t>
      </w:r>
      <w:r w:rsidR="007D2FDC">
        <w:t>F</w:t>
      </w:r>
      <w:r w:rsidR="00303472">
        <w:t>or the growing markets in the west</w:t>
      </w:r>
      <w:r w:rsidR="007D2FDC">
        <w:t xml:space="preserve"> required</w:t>
      </w:r>
      <w:r w:rsidR="005932FC">
        <w:t xml:space="preserve"> goods and services, which only the factories and crops of the east could provide</w:t>
      </w:r>
      <w:r w:rsidR="00C72A92">
        <w:t>. Thus, not only did St. Louis and New Orleans boom with their integration into the American market: so too did New York, Washington, Philadelphia, and Richmond</w:t>
      </w:r>
      <w:r w:rsidR="00246A3C">
        <w:t xml:space="preserve">, which served as </w:t>
      </w:r>
      <w:r w:rsidR="00246A3C">
        <w:lastRenderedPageBreak/>
        <w:t>great gateways to the west</w:t>
      </w:r>
      <w:r w:rsidR="00002D3F">
        <w:rPr>
          <w:rStyle w:val="EndnoteReference"/>
        </w:rPr>
        <w:endnoteReference w:id="84"/>
      </w:r>
      <w:r w:rsidR="00246A3C">
        <w:t xml:space="preserve">. The canal boom continued, and </w:t>
      </w:r>
      <w:r w:rsidR="00D037C3">
        <w:t>it was not only the state governments which invested in huge canal projects</w:t>
      </w:r>
      <w:r w:rsidR="000E7945">
        <w:t xml:space="preserve"> – especially Indiana, which sought to outdo Ohio’s ambitious canal system –</w:t>
      </w:r>
      <w:r w:rsidR="00D037C3">
        <w:t xml:space="preserve"> but also the federal government, headed by the pro-internal improvements Harrison administration</w:t>
      </w:r>
      <w:r w:rsidR="00D15678">
        <w:t>.</w:t>
      </w:r>
      <w:r w:rsidR="004D2821">
        <w:t xml:space="preserve"> Ambitious turnpike projects also spread across the nation, with equal ambition to the </w:t>
      </w:r>
      <w:r w:rsidR="00256CAC">
        <w:t>canal</w:t>
      </w:r>
      <w:r w:rsidR="00DF5128">
        <w:t>s</w:t>
      </w:r>
      <w:r w:rsidR="00706283">
        <w:t>, and the first few railroad projects began to emerge</w:t>
      </w:r>
      <w:r w:rsidR="003F29A3">
        <w:t>, which would allow for even faster</w:t>
      </w:r>
      <w:r w:rsidR="0080528A">
        <w:t xml:space="preserve"> </w:t>
      </w:r>
      <w:r w:rsidR="00BD7DAC">
        <w:t>transport of goods and people</w:t>
      </w:r>
      <w:r w:rsidR="006A614E">
        <w:t xml:space="preserve"> than the steamboat allowed</w:t>
      </w:r>
      <w:r w:rsidR="004D2821">
        <w:t>.</w:t>
      </w:r>
      <w:r w:rsidR="00D15678">
        <w:t xml:space="preserve"> Charleston had already been reconstructed by 1832, but now it became a larger city than before. </w:t>
      </w:r>
      <w:r w:rsidR="00A451EC">
        <w:t>Telegraph</w:t>
      </w:r>
      <w:r w:rsidR="00287DE7">
        <w:t xml:space="preserve"> lines </w:t>
      </w:r>
      <w:r w:rsidR="00074CE9">
        <w:t>were</w:t>
      </w:r>
      <w:r w:rsidR="00287DE7">
        <w:t xml:space="preserve"> constructed across the nation</w:t>
      </w:r>
      <w:r w:rsidR="00074CE9">
        <w:t xml:space="preserve"> all under the authority of the postmaster-general</w:t>
      </w:r>
      <w:r w:rsidR="00287DE7">
        <w:t xml:space="preserve">, and now it was possible to </w:t>
      </w:r>
      <w:r w:rsidR="004F6BAD">
        <w:t>transmit messages from New Orleans to Boston within two hours</w:t>
      </w:r>
      <w:r w:rsidR="006C17FC">
        <w:t>, assuming good weather conditions</w:t>
      </w:r>
      <w:r w:rsidR="004F6BAD">
        <w:t>.</w:t>
      </w:r>
      <w:r w:rsidR="00E40DF7">
        <w:t xml:space="preserve"> </w:t>
      </w:r>
    </w:p>
    <w:p w14:paraId="0FF2B4AB" w14:textId="3DD5F291" w:rsidR="00837B9D" w:rsidRDefault="00810BDB" w:rsidP="004D2821">
      <w:r>
        <w:t>I</w:t>
      </w:r>
      <w:r w:rsidR="003227D3">
        <w:t xml:space="preserve">n the East, with its considerable population, came the rise of additional </w:t>
      </w:r>
      <w:r w:rsidR="00DA309A">
        <w:t>telegraph</w:t>
      </w:r>
      <w:r w:rsidR="003227D3">
        <w:t xml:space="preserve"> lines in parallel to the originals, to allow for additional transmission of messages</w:t>
      </w:r>
      <w:r w:rsidR="00FC17DE">
        <w:t>;</w:t>
      </w:r>
      <w:r w:rsidR="003227D3">
        <w:t xml:space="preserve"> </w:t>
      </w:r>
      <w:r w:rsidR="00FC17DE">
        <w:t>painted different colors</w:t>
      </w:r>
      <w:r w:rsidR="00173966">
        <w:t>; named “Color Lines</w:t>
      </w:r>
      <w:r w:rsidR="00FF12A7">
        <w:t>”</w:t>
      </w:r>
      <w:r w:rsidR="00173966">
        <w:t>,</w:t>
      </w:r>
      <w:r>
        <w:t xml:space="preserve"> these lines existed for private use, so the state could sell its services to citizens for an ample profit</w:t>
      </w:r>
      <w:r w:rsidR="00833FE0">
        <w:rPr>
          <w:rStyle w:val="EndnoteReference"/>
        </w:rPr>
        <w:endnoteReference w:id="85"/>
      </w:r>
      <w:r>
        <w:t>. These were considerably more expensive than a regular mail message, but they were also considerably quicker, and the boom of the era only escalated</w:t>
      </w:r>
      <w:r w:rsidR="00173966">
        <w:rPr>
          <w:rStyle w:val="EndnoteReference"/>
        </w:rPr>
        <w:endnoteReference w:id="86"/>
      </w:r>
      <w:r>
        <w:t xml:space="preserve">. </w:t>
      </w:r>
      <w:r w:rsidR="00921082">
        <w:t>Additionally, this era saw dramatic postal reform</w:t>
      </w:r>
      <w:r w:rsidR="008A2016">
        <w:t xml:space="preserve"> on the British model, which saw the implementation of </w:t>
      </w:r>
      <w:r w:rsidR="00AC4747">
        <w:t xml:space="preserve">low </w:t>
      </w:r>
      <w:r w:rsidR="008A2016">
        <w:t>uniform prices for conveying letters, a</w:t>
      </w:r>
      <w:r w:rsidR="00E63183">
        <w:t>s well as pre-payment by the sender rather than the receiver; these dramatic price cuts resulted in a surge of postage</w:t>
      </w:r>
      <w:r w:rsidR="007057C4">
        <w:rPr>
          <w:rStyle w:val="EndnoteReference"/>
        </w:rPr>
        <w:endnoteReference w:id="87"/>
      </w:r>
      <w:r w:rsidR="00E63183">
        <w:t>. In contrast, tele</w:t>
      </w:r>
      <w:r w:rsidR="006D06DF">
        <w:t>graph</w:t>
      </w:r>
      <w:r w:rsidR="00E63183">
        <w:t xml:space="preserve"> </w:t>
      </w:r>
      <w:r w:rsidR="0077760A">
        <w:t xml:space="preserve">messages were priced based on distance, and though </w:t>
      </w:r>
      <w:r w:rsidR="00677392">
        <w:t>with this new buildup</w:t>
      </w:r>
      <w:r w:rsidR="0077760A">
        <w:t xml:space="preserve"> prices fell, it</w:t>
      </w:r>
      <w:r w:rsidR="00677392">
        <w:t xml:space="preserve"> still cost several dollars for even a short message </w:t>
      </w:r>
      <w:r w:rsidR="00D401C7">
        <w:t>across a short distance in the east. This was</w:t>
      </w:r>
      <w:r w:rsidR="0077760A">
        <w:t xml:space="preserve"> was pricier </w:t>
      </w:r>
      <w:r w:rsidR="003773FD">
        <w:t>than a letter</w:t>
      </w:r>
      <w:r w:rsidR="009046CA">
        <w:t xml:space="preserve"> would be</w:t>
      </w:r>
      <w:r w:rsidR="005606ED">
        <w:t xml:space="preserve"> – and most consumers</w:t>
      </w:r>
      <w:r w:rsidR="00D74148">
        <w:t xml:space="preserve"> were willing to put up with the</w:t>
      </w:r>
      <w:r w:rsidR="00B15FCF">
        <w:t xml:space="preserve"> delays in transmission</w:t>
      </w:r>
      <w:r w:rsidR="008713D1">
        <w:t xml:space="preserve"> that a letter provided, because it would be much cheaper</w:t>
      </w:r>
      <w:r w:rsidR="00B15FCF">
        <w:t>.</w:t>
      </w:r>
      <w:r w:rsidR="008A2016">
        <w:t xml:space="preserve"> </w:t>
      </w:r>
      <w:r w:rsidR="00515B42">
        <w:t>But costs did fall enough that it allowed for regularized transmission of messages</w:t>
      </w:r>
      <w:r w:rsidR="005A16D0">
        <w:t>, and they became common for commercial purposes</w:t>
      </w:r>
      <w:r w:rsidR="00515B42">
        <w:t xml:space="preserve">; most notably, this allowed for </w:t>
      </w:r>
      <w:r w:rsidR="00EF1812">
        <w:t xml:space="preserve">newspapers to consolidate their funds to </w:t>
      </w:r>
      <w:r w:rsidR="00123E4A">
        <w:t xml:space="preserve">distribute news, beyond the mere </w:t>
      </w:r>
      <w:r w:rsidR="00123E4A">
        <w:lastRenderedPageBreak/>
        <w:t>bulletins</w:t>
      </w:r>
      <w:r w:rsidR="00BC44CE">
        <w:t xml:space="preserve"> transmitted by the state</w:t>
      </w:r>
      <w:r w:rsidR="00B264B3">
        <w:t xml:space="preserve">, in the hope of being the first to the story. </w:t>
      </w:r>
      <w:r w:rsidR="006B7EFF">
        <w:t>News agencies formed from constituent newspapers, hoping to employ reporters anywhere in the nation</w:t>
      </w:r>
      <w:r w:rsidR="00B456A7">
        <w:t xml:space="preserve"> who would write basic articles</w:t>
      </w:r>
      <w:r w:rsidR="006B7EFF">
        <w:t xml:space="preserve">, and then to transmit </w:t>
      </w:r>
      <w:r w:rsidR="00B456A7">
        <w:t>them</w:t>
      </w:r>
      <w:r w:rsidR="007C24BB">
        <w:t xml:space="preserve"> by pre-decided ciphers</w:t>
      </w:r>
      <w:r w:rsidR="005E7EA8">
        <w:t xml:space="preserve"> which would then </w:t>
      </w:r>
      <w:r w:rsidR="00B456A7">
        <w:t xml:space="preserve">be published in their </w:t>
      </w:r>
      <w:r w:rsidR="00293457">
        <w:t>constituent papers</w:t>
      </w:r>
      <w:r w:rsidR="003009EE">
        <w:t>. The most notable of these</w:t>
      </w:r>
      <w:r w:rsidR="008C6D7A">
        <w:t xml:space="preserve"> is, without a doubt, </w:t>
      </w:r>
      <w:r w:rsidR="00E57D09">
        <w:t xml:space="preserve">the Board of </w:t>
      </w:r>
      <w:r w:rsidR="006C0FBE">
        <w:t xml:space="preserve">News </w:t>
      </w:r>
      <w:r w:rsidR="00B9786C">
        <w:t>Proprietors</w:t>
      </w:r>
      <w:r w:rsidR="00B22410">
        <w:t xml:space="preserve"> that formed around </w:t>
      </w:r>
      <w:r w:rsidR="002112CE">
        <w:t>several newspapers</w:t>
      </w:r>
      <w:r w:rsidR="006C0FBE">
        <w:t xml:space="preserve"> in Washington</w:t>
      </w:r>
      <w:r w:rsidR="002112CE">
        <w:t xml:space="preserve">, running the gamut across the </w:t>
      </w:r>
      <w:r w:rsidR="00B9786C">
        <w:t>political gradient</w:t>
      </w:r>
      <w:r w:rsidR="00223571">
        <w:t>; in time, it adapted readily to the electric</w:t>
      </w:r>
      <w:r w:rsidR="005E7EA8">
        <w:t xml:space="preserve"> telegraph and the railroad</w:t>
      </w:r>
      <w:r w:rsidR="00461C58">
        <w:t>, and it</w:t>
      </w:r>
      <w:r w:rsidR="00D4624D">
        <w:t xml:space="preserve"> would be known under the tavern it met in</w:t>
      </w:r>
      <w:r w:rsidR="001759DC">
        <w:t xml:space="preserve"> – the Green Pine</w:t>
      </w:r>
      <w:r w:rsidR="00B42724">
        <w:t xml:space="preserve">. </w:t>
      </w:r>
      <w:r w:rsidR="001759DC">
        <w:t xml:space="preserve">Thus began the Green Pine </w:t>
      </w:r>
      <w:r w:rsidR="006203BD">
        <w:t>Telegram</w:t>
      </w:r>
      <w:r w:rsidR="001759DC">
        <w:t xml:space="preserve"> </w:t>
      </w:r>
      <w:r w:rsidR="006203BD">
        <w:t>Service</w:t>
      </w:r>
      <w:r w:rsidR="001759DC">
        <w:t xml:space="preserve">. </w:t>
      </w:r>
    </w:p>
    <w:p w14:paraId="036FD716" w14:textId="7280A530" w:rsidR="002E7605" w:rsidRDefault="00C70544" w:rsidP="004D2821">
      <w:r>
        <w:t>Additionally, in 1835, an endowment from a British scientist, James Smithson, to the United States</w:t>
      </w:r>
      <w:r w:rsidR="00D93195">
        <w:t xml:space="preserve"> to create a scientific institution</w:t>
      </w:r>
      <w:r w:rsidR="00AE1438">
        <w:t xml:space="preserve"> to spread knowledge</w:t>
      </w:r>
      <w:r w:rsidR="00D93195">
        <w:t xml:space="preserve">, </w:t>
      </w:r>
      <w:r w:rsidR="005F49A7">
        <w:t>came due under the terms of his will</w:t>
      </w:r>
      <w:r w:rsidR="00D93195">
        <w:t xml:space="preserve">; </w:t>
      </w:r>
      <w:r w:rsidR="005F49A7">
        <w:t>the Harrison administration sent Richard Rush to London to retrieve it, and through some savvy investments he grew the</w:t>
      </w:r>
      <w:r w:rsidR="00837B9D">
        <w:t xml:space="preserve"> willed money</w:t>
      </w:r>
      <w:r w:rsidR="005F49A7">
        <w:t xml:space="preserve"> to double the size of Harvard’s famously huge endowment. </w:t>
      </w:r>
      <w:r w:rsidR="00F3613F">
        <w:t xml:space="preserve">Debate in Congress </w:t>
      </w:r>
      <w:r w:rsidR="00C067E1">
        <w:t xml:space="preserve">over this </w:t>
      </w:r>
      <w:r w:rsidR="00AE1438">
        <w:t xml:space="preserve">endowment, on whether it </w:t>
      </w:r>
      <w:r w:rsidR="00B354A6">
        <w:t xml:space="preserve">should be accepted at all, and if </w:t>
      </w:r>
      <w:proofErr w:type="gramStart"/>
      <w:r w:rsidR="00B354A6">
        <w:t>so</w:t>
      </w:r>
      <w:proofErr w:type="gramEnd"/>
      <w:r w:rsidR="00B354A6">
        <w:t xml:space="preserve"> wh</w:t>
      </w:r>
      <w:r w:rsidR="008D422A">
        <w:t>at</w:t>
      </w:r>
      <w:r w:rsidR="00B354A6">
        <w:t xml:space="preserve"> it should be </w:t>
      </w:r>
      <w:r w:rsidR="008D422A">
        <w:t>used for</w:t>
      </w:r>
      <w:r w:rsidR="00F56F37">
        <w:t>, were raucous; here, the slavery issue once more reared its head</w:t>
      </w:r>
      <w:r w:rsidR="00B064A7">
        <w:t xml:space="preserve">, as Calhoun declared that this might serve as a precedent for abolitionist industrialists endowing money for compensated abolition. But in the end, </w:t>
      </w:r>
      <w:r w:rsidR="000F68CB">
        <w:t xml:space="preserve">a bill on the subject was shuffled through Congress, and it constituted the Smithsonian Institution as </w:t>
      </w:r>
      <w:r w:rsidR="00D45D0E">
        <w:t>a combination of a museum, a national university, a scientific research institution, and an observatory</w:t>
      </w:r>
      <w:r w:rsidR="005E2B8E">
        <w:t xml:space="preserve">; that these various purposes could be brought together demonstrated the sheer magnitude of the </w:t>
      </w:r>
      <w:r w:rsidR="00A5145C">
        <w:t xml:space="preserve">endowment. </w:t>
      </w:r>
      <w:r w:rsidR="006A37BA">
        <w:t xml:space="preserve">In the decades that followed, the Smithsonian was headed by the great scientist </w:t>
      </w:r>
      <w:r w:rsidR="00881689">
        <w:t xml:space="preserve">and </w:t>
      </w:r>
      <w:r w:rsidR="00692E06">
        <w:t>discoverer of electromagnetic induction</w:t>
      </w:r>
      <w:r w:rsidR="00FE4A0A">
        <w:t>,</w:t>
      </w:r>
      <w:r w:rsidR="00252F1F">
        <w:t xml:space="preserve"> Joseph Henry</w:t>
      </w:r>
      <w:r w:rsidR="00627387">
        <w:t xml:space="preserve">. </w:t>
      </w:r>
      <w:r w:rsidR="00CF4C0E">
        <w:t>Th</w:t>
      </w:r>
      <w:r w:rsidR="00F331F0">
        <w:t>e Smithsonian</w:t>
      </w:r>
      <w:r w:rsidR="00CF4C0E">
        <w:t xml:space="preserve"> was instrumental in the transformation of American science from something in its infancy</w:t>
      </w:r>
      <w:r w:rsidR="00F331F0">
        <w:t xml:space="preserve"> into something rivalling those of France and the British Isles</w:t>
      </w:r>
      <w:r w:rsidR="00045F71">
        <w:rPr>
          <w:rStyle w:val="EndnoteReference"/>
        </w:rPr>
        <w:endnoteReference w:id="88"/>
      </w:r>
      <w:r w:rsidR="00B979D3">
        <w:t xml:space="preserve">. Additionally, Henry did not stop with scientific innovation, and </w:t>
      </w:r>
      <w:r w:rsidR="00BA46D0">
        <w:t>indeed he and a research team beneath him would later be instrumental in the invention of the electric telegraph</w:t>
      </w:r>
      <w:r w:rsidR="00E14CB7">
        <w:rPr>
          <w:rStyle w:val="EndnoteReference"/>
        </w:rPr>
        <w:endnoteReference w:id="89"/>
      </w:r>
      <w:r w:rsidR="0045750C">
        <w:t>.</w:t>
      </w:r>
      <w:r w:rsidR="000A6BD2">
        <w:t xml:space="preserve"> The electric telegraph would</w:t>
      </w:r>
      <w:r w:rsidR="003A6B36">
        <w:t xml:space="preserve"> transform communications both in the United States and </w:t>
      </w:r>
      <w:r w:rsidR="00BA6485">
        <w:t>the world</w:t>
      </w:r>
      <w:r w:rsidR="005365E3">
        <w:t xml:space="preserve">; not only </w:t>
      </w:r>
      <w:r w:rsidR="003E293A">
        <w:t xml:space="preserve">did it allow for </w:t>
      </w:r>
      <w:r w:rsidR="003E293A">
        <w:lastRenderedPageBreak/>
        <w:t xml:space="preserve">messages to be transmitted much faster, </w:t>
      </w:r>
      <w:r w:rsidR="0031740E">
        <w:t>but it had much greater message capacity</w:t>
      </w:r>
      <w:r w:rsidR="00197D49">
        <w:t xml:space="preserve"> which allowed for it to challenge paper mail. </w:t>
      </w:r>
      <w:r w:rsidR="007C5AC6">
        <w:t xml:space="preserve">But this communication revolution only came with </w:t>
      </w:r>
      <w:r w:rsidR="00BD5551">
        <w:t xml:space="preserve">the Webster administration; Harrison </w:t>
      </w:r>
      <w:r w:rsidR="005A5E05">
        <w:t xml:space="preserve">saw a considerable but more modest communication revolution as the </w:t>
      </w:r>
      <w:r w:rsidR="005F5AEF">
        <w:t xml:space="preserve">semaphoric </w:t>
      </w:r>
      <w:r w:rsidR="009A428B">
        <w:t>telegraph</w:t>
      </w:r>
      <w:r w:rsidR="005A5E05">
        <w:t xml:space="preserve"> became increasingly commonplace. </w:t>
      </w:r>
    </w:p>
    <w:p w14:paraId="27B3DB14" w14:textId="439A780E" w:rsidR="00490D6D" w:rsidRDefault="00490D6D" w:rsidP="004D2821">
      <w:r>
        <w:t xml:space="preserve">But along with the constitution of the Smithsonian, </w:t>
      </w:r>
      <w:r w:rsidR="007E1858">
        <w:t xml:space="preserve">1835 saw the collapse of Lloyd’s Bank in the British Isles. </w:t>
      </w:r>
      <w:r w:rsidR="00900663">
        <w:t>This was a direct result of the unstable political and financial situation of post-revolutionary Britain; the collapse of the Bank of England with the Popular Revolution</w:t>
      </w:r>
      <w:r w:rsidR="009F0973">
        <w:t xml:space="preserve"> had turned Lloyd’s</w:t>
      </w:r>
      <w:r w:rsidR="00900663">
        <w:t xml:space="preserve"> </w:t>
      </w:r>
      <w:r w:rsidR="009F0973">
        <w:t xml:space="preserve">into </w:t>
      </w:r>
      <w:r w:rsidR="004A2167">
        <w:t>the de facto fiduciary authority of the British Isles.</w:t>
      </w:r>
      <w:r w:rsidR="00871E2F">
        <w:t xml:space="preserve"> This allowed for the return of modest British financial stability, which allowed for a boom of industry in these years.</w:t>
      </w:r>
      <w:r w:rsidR="004A2167">
        <w:t xml:space="preserve"> </w:t>
      </w:r>
      <w:r w:rsidR="00871E2F">
        <w:t xml:space="preserve">But this also </w:t>
      </w:r>
      <w:r w:rsidR="004A2167">
        <w:t xml:space="preserve">resulted in it being drastically overstretched, and </w:t>
      </w:r>
      <w:r w:rsidR="00964A0E">
        <w:t>in 1835</w:t>
      </w:r>
      <w:r w:rsidR="00076D9A">
        <w:t xml:space="preserve"> several loan failures resulted in</w:t>
      </w:r>
      <w:r w:rsidR="00964A0E">
        <w:t xml:space="preserve"> a run on the bank</w:t>
      </w:r>
      <w:r w:rsidR="00AC643A">
        <w:t xml:space="preserve">, which ended with its collapse. </w:t>
      </w:r>
      <w:r w:rsidR="00C01754">
        <w:t xml:space="preserve">That </w:t>
      </w:r>
      <w:r w:rsidR="00C21459">
        <w:t xml:space="preserve">Lloyd’s had also been </w:t>
      </w:r>
      <w:r w:rsidR="00C01754">
        <w:t xml:space="preserve">a major investor in the United States, especially the South and its growing cotton economy, </w:t>
      </w:r>
      <w:r w:rsidR="00380BB2">
        <w:t xml:space="preserve">meant a sudden credit crunch and the Panic of 1835. </w:t>
      </w:r>
      <w:r w:rsidR="00907065">
        <w:t xml:space="preserve">This was not anything near the catastrophe of 1819, however; </w:t>
      </w:r>
      <w:r w:rsidR="00FC7EF9">
        <w:t xml:space="preserve">Harrison and Clay immediately </w:t>
      </w:r>
      <w:r w:rsidR="00A52675">
        <w:t>invested in more internal improvements in the South, and the National Bank</w:t>
      </w:r>
      <w:r w:rsidR="00C41DED">
        <w:t xml:space="preserve"> made money available by selling bonds to </w:t>
      </w:r>
      <w:r w:rsidR="00753BA1">
        <w:t>the stable and mature eastern</w:t>
      </w:r>
      <w:r w:rsidR="00C41DED">
        <w:t xml:space="preserve"> state banks to raise money to make available as credit</w:t>
      </w:r>
      <w:r w:rsidR="00D77470">
        <w:t>, although the slight crunch in Washington Bank notes this caused may have been somewhat counterproductive</w:t>
      </w:r>
      <w:r w:rsidR="00C41DED">
        <w:t xml:space="preserve">. </w:t>
      </w:r>
      <w:r w:rsidR="00AA1C83">
        <w:t>By 1836, the economy was well on its way towards recovery</w:t>
      </w:r>
      <w:r w:rsidR="000214B4">
        <w:t>, and the economy was back in a boom period</w:t>
      </w:r>
      <w:r w:rsidR="008125B7">
        <w:rPr>
          <w:rStyle w:val="EndnoteReference"/>
        </w:rPr>
        <w:endnoteReference w:id="90"/>
      </w:r>
      <w:r w:rsidR="00951AB4">
        <w:t>, though this time fuelled by loans and credit by American</w:t>
      </w:r>
      <w:r w:rsidR="00D478BA">
        <w:t>, and even French,</w:t>
      </w:r>
      <w:r w:rsidR="00951AB4">
        <w:t xml:space="preserve"> banks</w:t>
      </w:r>
      <w:r w:rsidR="0040309F">
        <w:rPr>
          <w:rStyle w:val="EndnoteReference"/>
        </w:rPr>
        <w:endnoteReference w:id="91"/>
      </w:r>
      <w:r w:rsidR="000214B4">
        <w:t xml:space="preserve">. </w:t>
      </w:r>
      <w:r w:rsidR="00621D15">
        <w:t xml:space="preserve">The Panic of 1835 did not put an end to the economic boom; rather, it was simply a blip within it. The bust was several years away; when it did hit, however, </w:t>
      </w:r>
      <w:r w:rsidR="00A63587">
        <w:t xml:space="preserve">with </w:t>
      </w:r>
      <w:r w:rsidR="00621D15">
        <w:t xml:space="preserve">the several years the economy built up, it would be </w:t>
      </w:r>
      <w:r w:rsidR="00865854">
        <w:t>massive</w:t>
      </w:r>
      <w:r w:rsidR="007F2B44">
        <w:rPr>
          <w:rStyle w:val="EndnoteReference"/>
        </w:rPr>
        <w:endnoteReference w:id="92"/>
      </w:r>
      <w:r w:rsidR="00621D15">
        <w:t xml:space="preserve">. </w:t>
      </w:r>
    </w:p>
    <w:p w14:paraId="2A1BE321" w14:textId="0B9867C9" w:rsidR="00F55227" w:rsidRDefault="00F55227" w:rsidP="004D2821">
      <w:r>
        <w:t xml:space="preserve">But nevertheless, coming </w:t>
      </w:r>
      <w:r w:rsidR="00DA2C45">
        <w:t>into</w:t>
      </w:r>
      <w:r>
        <w:t xml:space="preserve"> 1836, the United States was in a period of </w:t>
      </w:r>
      <w:r w:rsidR="00C9599B">
        <w:t xml:space="preserve">economic </w:t>
      </w:r>
      <w:r>
        <w:t>boom</w:t>
      </w:r>
      <w:r w:rsidR="00C9599B">
        <w:t xml:space="preserve"> and stability. </w:t>
      </w:r>
      <w:r w:rsidR="00DA2C45">
        <w:t xml:space="preserve">The quite old Harrison declared his intention to retire, and </w:t>
      </w:r>
      <w:r w:rsidR="003A3187">
        <w:t xml:space="preserve">leaving office he returned home </w:t>
      </w:r>
      <w:r w:rsidR="003A3187">
        <w:lastRenderedPageBreak/>
        <w:t xml:space="preserve">to Ohio after a grand national tour, </w:t>
      </w:r>
      <w:r w:rsidR="00BB38D1">
        <w:t xml:space="preserve">where he was greeted as a national hero. </w:t>
      </w:r>
      <w:r w:rsidR="001D1F1F">
        <w:t>His death in 1843</w:t>
      </w:r>
      <w:r w:rsidR="00877FCE">
        <w:t xml:space="preserve"> would be widely mourned across the nation</w:t>
      </w:r>
      <w:r w:rsidR="00DE1E21">
        <w:t>, as he was celebrated as the “Washington of the West”</w:t>
      </w:r>
      <w:r w:rsidR="00BF3B21">
        <w:rPr>
          <w:rStyle w:val="EndnoteReference"/>
        </w:rPr>
        <w:endnoteReference w:id="93"/>
      </w:r>
      <w:r w:rsidR="00877FCE">
        <w:t xml:space="preserve"> – although by that point, the United States had </w:t>
      </w:r>
      <w:r w:rsidR="005D1804">
        <w:t xml:space="preserve">seen another crisis come and pass, and it was in the depths of another. </w:t>
      </w:r>
    </w:p>
    <w:p w14:paraId="26ADCC6D" w14:textId="77777777" w:rsidR="004F6BAD" w:rsidRDefault="004F6BAD" w:rsidP="004F6BAD">
      <w:r>
        <w:br w:type="page"/>
      </w:r>
    </w:p>
    <w:p w14:paraId="2E16404E" w14:textId="77777777" w:rsidR="004F6BAD" w:rsidRPr="00FB2AF9" w:rsidRDefault="004F6BAD" w:rsidP="00FB2AF9"/>
    <w:p w14:paraId="7AC03BD5" w14:textId="77777777" w:rsidR="000D2418" w:rsidRDefault="000D2418" w:rsidP="000D2418">
      <w:pPr>
        <w:sectPr w:rsidR="000D2418" w:rsidSect="000D2418">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3BC4594F" w14:textId="77777777" w:rsidR="000D2418" w:rsidRDefault="000D2418" w:rsidP="000D2418">
      <w:r>
        <w:br w:type="page"/>
      </w:r>
    </w:p>
    <w:p w14:paraId="1848B466" w14:textId="0857E1A9" w:rsidR="00634567" w:rsidRDefault="00634567" w:rsidP="00634567">
      <w:pPr>
        <w:pStyle w:val="Heading1"/>
      </w:pPr>
      <w:bookmarkStart w:id="26" w:name="_Toc202006219"/>
      <w:r>
        <w:lastRenderedPageBreak/>
        <w:t>20. The Grand Tour</w:t>
      </w:r>
      <w:bookmarkEnd w:id="26"/>
    </w:p>
    <w:p w14:paraId="7BCF60D1" w14:textId="34B72E8E" w:rsidR="005939B8" w:rsidRDefault="00F85A15" w:rsidP="00F85A15">
      <w:r>
        <w:t xml:space="preserve">By 1833, </w:t>
      </w:r>
      <w:r w:rsidRPr="00F85A15">
        <w:t>Marie-Joseph Paul Yves Roch Gilbert du Motier</w:t>
      </w:r>
      <w:r>
        <w:t>, popularly known as</w:t>
      </w:r>
      <w:r w:rsidRPr="00F85A15">
        <w:t xml:space="preserve"> </w:t>
      </w:r>
      <w:r>
        <w:t xml:space="preserve">his former aristocratic title of the Marquis of </w:t>
      </w:r>
      <w:r w:rsidRPr="00F85A15">
        <w:t>Lafayette</w:t>
      </w:r>
      <w:r>
        <w:t xml:space="preserve">, or simply Lafayette, was </w:t>
      </w:r>
      <w:r w:rsidR="000B65FE">
        <w:t>less a living human being,</w:t>
      </w:r>
      <w:r w:rsidR="003E2DD4">
        <w:t xml:space="preserve"> </w:t>
      </w:r>
      <w:r w:rsidR="000B65FE">
        <w:t>and more</w:t>
      </w:r>
      <w:r w:rsidR="003E2DD4">
        <w:t xml:space="preserve"> the </w:t>
      </w:r>
      <w:r w:rsidR="003464AB">
        <w:t xml:space="preserve">human </w:t>
      </w:r>
      <w:r w:rsidR="003E2DD4">
        <w:t xml:space="preserve">incarnation of the </w:t>
      </w:r>
      <w:r w:rsidR="002437FC">
        <w:t xml:space="preserve">First </w:t>
      </w:r>
      <w:r w:rsidR="009E3158">
        <w:t>Age of Revolutions</w:t>
      </w:r>
      <w:r w:rsidR="0040259D">
        <w:rPr>
          <w:rStyle w:val="EndnoteReference"/>
        </w:rPr>
        <w:endnoteReference w:id="94"/>
      </w:r>
      <w:r w:rsidR="001768F4">
        <w:t>.</w:t>
      </w:r>
      <w:r w:rsidR="008752E5">
        <w:t xml:space="preserve"> In his body rushed the Battle of Brandywine and the barricades of Paris</w:t>
      </w:r>
      <w:r w:rsidR="00F82A1D">
        <w:t xml:space="preserve"> – indeed, the previous six decades of revolutionary agitation, in both their promise and their failings</w:t>
      </w:r>
      <w:r w:rsidR="008752E5">
        <w:t>.</w:t>
      </w:r>
      <w:r w:rsidR="001768F4">
        <w:t xml:space="preserve"> </w:t>
      </w:r>
      <w:r w:rsidR="00B60FA1">
        <w:t xml:space="preserve">Born into an aristocratic French family, </w:t>
      </w:r>
      <w:r w:rsidR="004630F9">
        <w:t>of extraordinarily noble birth</w:t>
      </w:r>
      <w:r w:rsidR="00FA5718">
        <w:t xml:space="preserve"> that could trace its lineage all the way to </w:t>
      </w:r>
      <w:r w:rsidR="000A7265">
        <w:t>fighting alongside Joan of Arc in the Lancastrian War,</w:t>
      </w:r>
      <w:r w:rsidR="004630F9">
        <w:t xml:space="preserve"> and </w:t>
      </w:r>
      <w:r w:rsidR="00B60FA1">
        <w:t>surrounded only by the most opulent displays of wealth</w:t>
      </w:r>
      <w:r w:rsidR="000A7265">
        <w:t xml:space="preserve">, at the age of thirteen he enlisted in the French army and the wealth of his family swiftly took him up the </w:t>
      </w:r>
      <w:r w:rsidR="00E531F8">
        <w:t xml:space="preserve">officer corps, and for his eighteenth birthday he received a </w:t>
      </w:r>
      <w:r w:rsidR="00876B9E">
        <w:t>captaincy</w:t>
      </w:r>
      <w:r w:rsidR="00E531F8">
        <w:t xml:space="preserve"> as a present.</w:t>
      </w:r>
      <w:r w:rsidR="00632DA4">
        <w:t xml:space="preserve"> Imbibing the sentiments of liberty, he was</w:t>
      </w:r>
      <w:r w:rsidR="00E531F8">
        <w:t xml:space="preserve"> </w:t>
      </w:r>
      <w:r w:rsidR="00632DA4">
        <w:t>a</w:t>
      </w:r>
      <w:r w:rsidR="00AD6583">
        <w:t>ttracted to the American revolutionary cause</w:t>
      </w:r>
      <w:r w:rsidR="00632DA4">
        <w:t>. I</w:t>
      </w:r>
      <w:r w:rsidR="00B30CCD">
        <w:t>n the auspicious year of 1776</w:t>
      </w:r>
      <w:r w:rsidR="00632DA4">
        <w:t>,</w:t>
      </w:r>
      <w:r w:rsidR="001D429C">
        <w:t xml:space="preserve"> the French </w:t>
      </w:r>
      <w:r w:rsidR="00753652">
        <w:t>planned</w:t>
      </w:r>
      <w:r w:rsidR="001D429C">
        <w:t xml:space="preserve"> to send an </w:t>
      </w:r>
      <w:r w:rsidR="0062030E">
        <w:t>army across the pond to assist the enemy of their British enemies</w:t>
      </w:r>
      <w:r w:rsidR="00632DA4">
        <w:t>, and</w:t>
      </w:r>
      <w:r w:rsidR="009D0DF0">
        <w:t xml:space="preserve"> he successfully ensured he’d be part of that detachment</w:t>
      </w:r>
      <w:r w:rsidR="00753652">
        <w:t xml:space="preserve">; however, </w:t>
      </w:r>
      <w:r w:rsidR="009D0DF0">
        <w:t>when that plan fell through</w:t>
      </w:r>
      <w:r w:rsidR="005B591B">
        <w:t>,</w:t>
      </w:r>
      <w:r w:rsidR="009D0DF0">
        <w:t xml:space="preserve"> he decided to travel across the pond and enlist in the Continental Army nonetheless</w:t>
      </w:r>
      <w:r w:rsidR="005B591B">
        <w:t>, not as a Frenchman but as a human being</w:t>
      </w:r>
      <w:r w:rsidR="005E4C66">
        <w:t>, but with all the knowledge of his military education to an army that needed</w:t>
      </w:r>
      <w:r w:rsidR="0062030E">
        <w:t xml:space="preserve">. </w:t>
      </w:r>
    </w:p>
    <w:p w14:paraId="66EE17F3" w14:textId="0AD32B58" w:rsidR="00F85A15" w:rsidRDefault="005D554F" w:rsidP="00F85A15">
      <w:r>
        <w:t>At the age of nineteen, he became a general</w:t>
      </w:r>
      <w:r w:rsidR="006F455D">
        <w:t xml:space="preserve"> </w:t>
      </w:r>
      <w:r w:rsidR="006F455D">
        <w:t>and, with his French military experience</w:t>
      </w:r>
      <w:r w:rsidR="006F455D">
        <w:t>, he ended up</w:t>
      </w:r>
      <w:r w:rsidR="006F455D">
        <w:t xml:space="preserve"> crucial in efforts to bring the incompetent American troops into shape</w:t>
      </w:r>
      <w:r w:rsidR="006F455D">
        <w:t xml:space="preserve">. Additionally, </w:t>
      </w:r>
      <w:r>
        <w:t xml:space="preserve">almost immediately he became </w:t>
      </w:r>
      <w:r w:rsidR="00694FEF">
        <w:t xml:space="preserve">not merely a political ally, but </w:t>
      </w:r>
      <w:r>
        <w:t>a good</w:t>
      </w:r>
      <w:r w:rsidR="00D25FC3">
        <w:t xml:space="preserve"> friend of George Washington</w:t>
      </w:r>
      <w:r w:rsidR="00CF5122">
        <w:t>;</w:t>
      </w:r>
      <w:r w:rsidR="00145F8D">
        <w:t xml:space="preserve"> </w:t>
      </w:r>
      <w:proofErr w:type="gramStart"/>
      <w:r w:rsidR="00145F8D">
        <w:t>indeed</w:t>
      </w:r>
      <w:proofErr w:type="gramEnd"/>
      <w:r w:rsidR="00CF5122">
        <w:t xml:space="preserve"> he</w:t>
      </w:r>
      <w:r w:rsidR="00145F8D">
        <w:t xml:space="preserve"> nothing less than his surrogate son</w:t>
      </w:r>
      <w:r w:rsidR="00D25FC3">
        <w:t xml:space="preserve">. </w:t>
      </w:r>
      <w:r w:rsidR="00DE6F8C">
        <w:t xml:space="preserve">At his first battle, at Brandywine, </w:t>
      </w:r>
      <w:r w:rsidR="0017267B">
        <w:t xml:space="preserve">faced with superior British armies, </w:t>
      </w:r>
      <w:r w:rsidR="00DE6F8C">
        <w:t xml:space="preserve">he was </w:t>
      </w:r>
      <w:r w:rsidR="0017267B">
        <w:t>crucial to a successful American retreat</w:t>
      </w:r>
      <w:r w:rsidR="0081086F">
        <w:t xml:space="preserve"> and got wounded in the act</w:t>
      </w:r>
      <w:r w:rsidR="00F00C47">
        <w:t xml:space="preserve">, and as a right hand of </w:t>
      </w:r>
      <w:r w:rsidR="0081086F">
        <w:t>Washington he repeatedly served with distinction</w:t>
      </w:r>
      <w:r w:rsidR="000A25A8">
        <w:t>. At the Battle of Rhode Island</w:t>
      </w:r>
      <w:r w:rsidR="00972C46">
        <w:t xml:space="preserve">, where the Franco-American alliance was beginning to </w:t>
      </w:r>
      <w:proofErr w:type="gramStart"/>
      <w:r w:rsidR="00972C46">
        <w:t>mesh together</w:t>
      </w:r>
      <w:proofErr w:type="gramEnd"/>
      <w:r w:rsidR="00972C46">
        <w:t>, was something where</w:t>
      </w:r>
      <w:r w:rsidR="00920EF6">
        <w:t xml:space="preserve"> </w:t>
      </w:r>
      <w:r w:rsidR="00920EF6">
        <w:lastRenderedPageBreak/>
        <w:t>Lafayette attempted to put himself at its head, but he was rebuffed</w:t>
      </w:r>
      <w:r w:rsidR="007531A6">
        <w:t xml:space="preserve">, and the stalemate of the ensuing battle demonstrated that an alliance needed to be a stronger affair. Returning to France to a hero’s welcome despite having gone against royal orders, </w:t>
      </w:r>
      <w:r w:rsidR="00F150C6">
        <w:t>h</w:t>
      </w:r>
      <w:r w:rsidR="001433EE">
        <w:t xml:space="preserve">is lobbying was successful, and he returned with </w:t>
      </w:r>
      <w:r w:rsidR="008764A5">
        <w:t>a large force that</w:t>
      </w:r>
      <w:r w:rsidR="005939B8">
        <w:t xml:space="preserve"> brought up American spirits. This new alliance saw its immediate fruition with the Yorktown campaign, where Lafayette served with distinction as Washington’s second-in-command; the French fleet depriving the British general Lord Cornwallis of naval protection proved crucial to the grand victory for American fortunes that was the Battle of Yorktown. </w:t>
      </w:r>
    </w:p>
    <w:p w14:paraId="11CBEC26" w14:textId="11807EC8" w:rsidR="00F77D87" w:rsidRDefault="00F77D87" w:rsidP="00F85A15">
      <w:r>
        <w:t xml:space="preserve">With this success, </w:t>
      </w:r>
      <w:r w:rsidR="007C7255">
        <w:t>Washington sent Lafayette back to France; still a young man and the “Boy General”, he became increasingly involved in local reformist politics</w:t>
      </w:r>
      <w:r w:rsidR="001640D5">
        <w:t>; shaped by his long fight for liberty, he also</w:t>
      </w:r>
      <w:r w:rsidR="007C7255">
        <w:t xml:space="preserve"> joined an abolitionist society. </w:t>
      </w:r>
      <w:r w:rsidR="003E24FA">
        <w:t xml:space="preserve">But in the 1780s, France’s long financial crisis came due, and </w:t>
      </w:r>
      <w:r w:rsidR="006733D0">
        <w:t>as early</w:t>
      </w:r>
      <w:r w:rsidR="003E24FA">
        <w:t xml:space="preserve"> in 1787 he advocated reforming France into a constitutional state</w:t>
      </w:r>
      <w:r w:rsidR="006C5F3B">
        <w:t xml:space="preserve"> to cure this</w:t>
      </w:r>
      <w:r w:rsidR="003E24FA">
        <w:t>. Come</w:t>
      </w:r>
      <w:r w:rsidR="0012208E">
        <w:t xml:space="preserve"> 1789 and</w:t>
      </w:r>
      <w:r w:rsidR="003E24FA">
        <w:t xml:space="preserve"> the convening of the Estates-General</w:t>
      </w:r>
      <w:r w:rsidR="00212D0B">
        <w:t xml:space="preserve">, though he was a noble he was also </w:t>
      </w:r>
      <w:r w:rsidR="005C0C87">
        <w:t xml:space="preserve">a firm sympathizer with the Third Estate and </w:t>
      </w:r>
      <w:r w:rsidR="00C63845">
        <w:t xml:space="preserve">sought its </w:t>
      </w:r>
      <w:r w:rsidR="00DA4EC2">
        <w:t>supremacy within the burgeoning legislative system</w:t>
      </w:r>
      <w:r w:rsidR="00E533E6">
        <w:t>. When the Third Estate declared itself</w:t>
      </w:r>
      <w:r w:rsidR="00EA0A1C">
        <w:t xml:space="preserve"> the National Assembly, Lafayette was the chief writer of the Declaration of the Rights of Man, with language</w:t>
      </w:r>
      <w:r w:rsidR="00D103DA">
        <w:t xml:space="preserve"> clearly</w:t>
      </w:r>
      <w:r w:rsidR="00EA0A1C">
        <w:t xml:space="preserve"> taken from </w:t>
      </w:r>
      <w:r w:rsidR="00D103DA">
        <w:t>across the pond</w:t>
      </w:r>
      <w:r w:rsidR="003F77DC">
        <w:t>, and he happily accepted the end of his royal title in favor of simply being “Citizen Lafayette”</w:t>
      </w:r>
      <w:r w:rsidR="00D103DA">
        <w:t xml:space="preserve">. </w:t>
      </w:r>
      <w:r w:rsidR="0012208E">
        <w:t xml:space="preserve">With the storming of the Bastille and the true origin of the French Revolution, </w:t>
      </w:r>
      <w:r w:rsidR="000635E8">
        <w:t>Lafayette became the commander of the National Guard, a role he became intimately connected with</w:t>
      </w:r>
      <w:r w:rsidR="00752AA6">
        <w:t>.</w:t>
      </w:r>
      <w:r w:rsidR="000635E8">
        <w:t xml:space="preserve"> </w:t>
      </w:r>
      <w:r w:rsidR="00752AA6">
        <w:t>H</w:t>
      </w:r>
      <w:r w:rsidR="00263E14">
        <w:t>owever</w:t>
      </w:r>
      <w:r w:rsidR="00752AA6">
        <w:t>, the French Revolution became far more extreme in the years that followed;</w:t>
      </w:r>
      <w:r w:rsidR="00263E14">
        <w:t xml:space="preserve"> his moderation, as well as his fidelity to principles of limited monarchy, slowly eroded his popularity. With the Flight to Varennes, his popularity collapsed, and </w:t>
      </w:r>
      <w:r w:rsidR="005A284A">
        <w:t>when he fired on protestors at the Champ de Mars, radicals called him nothing less than a traito</w:t>
      </w:r>
      <w:r w:rsidR="003A1D88">
        <w:t>r, plotting to destroy the French Revolution from within</w:t>
      </w:r>
      <w:r w:rsidR="005A284A">
        <w:t xml:space="preserve">. He subsequently resigned from the National Guard; it would only take a little while for the </w:t>
      </w:r>
      <w:r w:rsidR="005A284A">
        <w:lastRenderedPageBreak/>
        <w:t xml:space="preserve">government to </w:t>
      </w:r>
      <w:r w:rsidR="00D2141B">
        <w:t>issue a warrant for his arrest</w:t>
      </w:r>
      <w:r w:rsidR="008A17C3">
        <w:t>, in 1792</w:t>
      </w:r>
      <w:r w:rsidR="005A284A">
        <w:t xml:space="preserve">. </w:t>
      </w:r>
      <w:r w:rsidR="00F72CAF">
        <w:t xml:space="preserve">Fleeing the </w:t>
      </w:r>
      <w:r w:rsidR="008A17C3">
        <w:t>authorities</w:t>
      </w:r>
      <w:r w:rsidR="00894AF7">
        <w:t xml:space="preserve">, </w:t>
      </w:r>
      <w:r w:rsidR="008A17C3">
        <w:t>he migrated to the Austrian Netherlands, but before he could cross the shore</w:t>
      </w:r>
      <w:r w:rsidR="000A2342">
        <w:t xml:space="preserve"> for America</w:t>
      </w:r>
      <w:r w:rsidR="008A17C3">
        <w:t xml:space="preserve"> </w:t>
      </w:r>
      <w:r w:rsidR="000A2342">
        <w:t>the Austrians arrested him.</w:t>
      </w:r>
      <w:r w:rsidR="00693D74">
        <w:t xml:space="preserve"> </w:t>
      </w:r>
      <w:r w:rsidR="000A2342">
        <w:t>T</w:t>
      </w:r>
      <w:r w:rsidR="00693D74">
        <w:t>hanks to American efforts his prison was quite comfortable</w:t>
      </w:r>
      <w:r w:rsidR="000A2342">
        <w:t>, even after he tried and failed to escape, and his family joined him in his prison</w:t>
      </w:r>
      <w:r w:rsidR="00693D74">
        <w:t xml:space="preserve">. </w:t>
      </w:r>
      <w:r w:rsidR="000F5AFD">
        <w:t xml:space="preserve">With peace between France and Austria in 1802, Lafayette was freed, and he swiftly returned to France. </w:t>
      </w:r>
    </w:p>
    <w:p w14:paraId="2F8B5EB4" w14:textId="33F14A6E" w:rsidR="004A0FFB" w:rsidRDefault="0021743F" w:rsidP="00F85A15">
      <w:r>
        <w:t xml:space="preserve">Here, he refused to give his loyalty to the </w:t>
      </w:r>
      <w:proofErr w:type="spellStart"/>
      <w:r>
        <w:t>Sieyesian</w:t>
      </w:r>
      <w:proofErr w:type="spellEnd"/>
      <w:r>
        <w:t xml:space="preserve"> order, which he considered patently oligarchical; however, </w:t>
      </w:r>
      <w:r w:rsidR="00626D75">
        <w:t xml:space="preserve">his son Georges Washington served with skill and deft within the French Army, and </w:t>
      </w:r>
      <w:r w:rsidR="00CB24E4">
        <w:t>he ended up</w:t>
      </w:r>
      <w:r w:rsidR="00626D75">
        <w:t xml:space="preserve"> repeatedly promoted by the time war entirely came to an end. In 1804, Lafayette</w:t>
      </w:r>
      <w:r>
        <w:t xml:space="preserve"> was made a Conservator</w:t>
      </w:r>
      <w:r w:rsidR="005974F4">
        <w:t xml:space="preserve"> to keep him out of the arena of active politics, and</w:t>
      </w:r>
      <w:r>
        <w:t xml:space="preserve"> here he became a leader of the opposition</w:t>
      </w:r>
      <w:r w:rsidR="005974F4">
        <w:t xml:space="preserve"> and a foe, if a passive one of the oligarchical police state that developed in the years that followed</w:t>
      </w:r>
      <w:r w:rsidR="007F1BBE">
        <w:t xml:space="preserve">. </w:t>
      </w:r>
      <w:r w:rsidR="00290AED">
        <w:t xml:space="preserve">Knowing </w:t>
      </w:r>
      <w:r w:rsidR="007F1BBE">
        <w:t xml:space="preserve">Minister </w:t>
      </w:r>
      <w:r w:rsidR="007F1BBE" w:rsidRPr="007F1BBE">
        <w:t>Fouché</w:t>
      </w:r>
      <w:r w:rsidR="007F1BBE">
        <w:t xml:space="preserve"> kept </w:t>
      </w:r>
      <w:r w:rsidR="00290AED">
        <w:t>him</w:t>
      </w:r>
      <w:r w:rsidR="007F1BBE">
        <w:t xml:space="preserve"> on tight observation, </w:t>
      </w:r>
      <w:r w:rsidR="00290AED">
        <w:t>Lafayette</w:t>
      </w:r>
      <w:r w:rsidR="007F1BBE">
        <w:t xml:space="preserve"> was careful to </w:t>
      </w:r>
      <w:r w:rsidR="00290AED">
        <w:t>make sure to be on the right side of the law</w:t>
      </w:r>
      <w:r w:rsidR="00C0267B">
        <w:t>, and though he did maintain contacts with some revolutionary secret societies, that none of them ended up turning to revolution meant</w:t>
      </w:r>
      <w:r w:rsidR="000C5DBD">
        <w:t xml:space="preserve"> he made sure to</w:t>
      </w:r>
      <w:r w:rsidR="004842C0">
        <w:t xml:space="preserve"> keep </w:t>
      </w:r>
      <w:r w:rsidR="00D81AA1">
        <w:t>quiet</w:t>
      </w:r>
      <w:r w:rsidR="004842C0">
        <w:t xml:space="preserve"> about it</w:t>
      </w:r>
      <w:r w:rsidR="004D673F">
        <w:t>; and when authorities questioned him about these contacts, he denied them</w:t>
      </w:r>
      <w:r w:rsidR="00E039EA">
        <w:t xml:space="preserve">. To the extent he made his public opposition known, it came in the form of meetings with the oppositionist Coppet circle of Madame de </w:t>
      </w:r>
      <w:r w:rsidR="00E039EA" w:rsidRPr="00E039EA">
        <w:t>Staël</w:t>
      </w:r>
      <w:r w:rsidR="006A1E72">
        <w:t>, as well as speeches whenever the College of Conservators was irregularly called</w:t>
      </w:r>
      <w:r w:rsidR="00BD420F">
        <w:t xml:space="preserve">. Together, this gave him a profile as a committed oppositionist, and even </w:t>
      </w:r>
      <w:r w:rsidR="00413B1B">
        <w:t>the</w:t>
      </w:r>
      <w:r w:rsidR="00BD420F">
        <w:t xml:space="preserve"> neo-Jacobins</w:t>
      </w:r>
      <w:r w:rsidR="00413B1B">
        <w:t xml:space="preserve"> who</w:t>
      </w:r>
      <w:r w:rsidR="00BD420F">
        <w:t xml:space="preserve"> hated him for the Champ de Mars massacre</w:t>
      </w:r>
      <w:r w:rsidR="00413B1B">
        <w:t xml:space="preserve">, </w:t>
      </w:r>
      <w:r w:rsidR="00C703D3">
        <w:t xml:space="preserve">still hoped he would topple the </w:t>
      </w:r>
      <w:proofErr w:type="spellStart"/>
      <w:r w:rsidR="00C703D3">
        <w:t>Sieyesian</w:t>
      </w:r>
      <w:proofErr w:type="spellEnd"/>
      <w:r w:rsidR="00C703D3">
        <w:t xml:space="preserve"> regime</w:t>
      </w:r>
      <w:r w:rsidR="005002A9">
        <w:t xml:space="preserve">. </w:t>
      </w:r>
      <w:r w:rsidR="005974F4">
        <w:t>With war with Britain</w:t>
      </w:r>
      <w:r w:rsidR="00676E4A">
        <w:t xml:space="preserve"> in 1821</w:t>
      </w:r>
      <w:r w:rsidR="005974F4">
        <w:t>, Lafayette was a core voice calling for peace and limited war</w:t>
      </w:r>
      <w:r w:rsidR="00676E4A">
        <w:t xml:space="preserve">, to prevent the shock a long war might </w:t>
      </w:r>
      <w:r w:rsidR="000868FD">
        <w:t>result; this represented his</w:t>
      </w:r>
      <w:r w:rsidR="00937441">
        <w:t xml:space="preserve"> rather moderate politics</w:t>
      </w:r>
      <w:r w:rsidR="004A0FFB">
        <w:t>.</w:t>
      </w:r>
      <w:r w:rsidR="008C4BA2">
        <w:t xml:space="preserve"> </w:t>
      </w:r>
    </w:p>
    <w:p w14:paraId="3C0284FA" w14:textId="5357C59C" w:rsidR="0021743F" w:rsidRDefault="004A0FFB" w:rsidP="00F85A15">
      <w:r>
        <w:t>W</w:t>
      </w:r>
      <w:r w:rsidR="008C4BA2">
        <w:t xml:space="preserve">hen 1824 came and the rest of Europe called for war against France, </w:t>
      </w:r>
      <w:r w:rsidR="00F04783">
        <w:t>panic reigned on the streets of France</w:t>
      </w:r>
      <w:r w:rsidR="008B4E45">
        <w:t>; it seemed nothing less than a renewal of the Revolution</w:t>
      </w:r>
      <w:r w:rsidR="00F04783">
        <w:t xml:space="preserve">. Given this emergency, </w:t>
      </w:r>
      <w:r w:rsidR="00F04783">
        <w:lastRenderedPageBreak/>
        <w:t>the government called for the College of</w:t>
      </w:r>
      <w:r w:rsidR="00D858C7">
        <w:t xml:space="preserve"> Conservators</w:t>
      </w:r>
      <w:r w:rsidR="00031E17">
        <w:t xml:space="preserve">, and ultimately it decided to overturn the government. Seeing his profile as a revolutionary and a figure of </w:t>
      </w:r>
      <w:proofErr w:type="gramStart"/>
      <w:r w:rsidR="00031E17">
        <w:t>opposition, and</w:t>
      </w:r>
      <w:proofErr w:type="gramEnd"/>
      <w:r w:rsidR="00031E17">
        <w:t xml:space="preserve"> perhaps determining his old age would secure French liberty</w:t>
      </w:r>
      <w:r w:rsidR="00D858C7">
        <w:t xml:space="preserve">, </w:t>
      </w:r>
      <w:r w:rsidR="00031E17">
        <w:t xml:space="preserve">when it came time to select their Grand Elector, they elected none other than Lafayette himself. After a generation of him having been in the outs with power, he </w:t>
      </w:r>
      <w:r w:rsidR="00664F4C">
        <w:t>made his way to its very head</w:t>
      </w:r>
      <w:r w:rsidR="002E16EB">
        <w:t xml:space="preserve"> – albeit as a nominally powerless figurehead</w:t>
      </w:r>
      <w:r w:rsidR="00D858C7">
        <w:t xml:space="preserve">. Here, </w:t>
      </w:r>
      <w:r w:rsidR="006760CF">
        <w:t>he</w:t>
      </w:r>
      <w:r w:rsidR="00D858C7">
        <w:t xml:space="preserve"> appointed fellow oppositionist Bernard-Francois de </w:t>
      </w:r>
      <w:proofErr w:type="spellStart"/>
      <w:r w:rsidR="00D858C7">
        <w:t>Chauve</w:t>
      </w:r>
      <w:r w:rsidR="00FC3B5C">
        <w:t>l</w:t>
      </w:r>
      <w:r w:rsidR="00D858C7">
        <w:t>in</w:t>
      </w:r>
      <w:proofErr w:type="spellEnd"/>
      <w:r w:rsidR="00D858C7">
        <w:t xml:space="preserve"> as his Consul to head government, and with that began </w:t>
      </w:r>
      <w:r w:rsidR="00385F1C">
        <w:t>the</w:t>
      </w:r>
      <w:r w:rsidR="000A7308">
        <w:t xml:space="preserve"> era known to history as the</w:t>
      </w:r>
      <w:r w:rsidR="00385F1C">
        <w:t xml:space="preserve"> Glorious Reform</w:t>
      </w:r>
      <w:r w:rsidR="00DC313E">
        <w:t>.</w:t>
      </w:r>
      <w:r w:rsidR="00D858C7">
        <w:t xml:space="preserve"> </w:t>
      </w:r>
      <w:r w:rsidR="008B7B36">
        <w:t>Ruling</w:t>
      </w:r>
      <w:r w:rsidR="00FC3B5C">
        <w:t xml:space="preserve"> over the end of the police state and the rise of institutions</w:t>
      </w:r>
      <w:r w:rsidR="00E429B6">
        <w:t xml:space="preserve"> that recognized</w:t>
      </w:r>
      <w:r w:rsidR="009419A1">
        <w:t xml:space="preserve"> change in power</w:t>
      </w:r>
      <w:r w:rsidR="00FC3B5C">
        <w:t xml:space="preserve">, </w:t>
      </w:r>
      <w:r w:rsidR="0056039D">
        <w:t>he was not the active leader of government,</w:t>
      </w:r>
      <w:r w:rsidR="004A4E72">
        <w:t xml:space="preserve"> </w:t>
      </w:r>
      <w:r w:rsidR="0056039D">
        <w:t>as Grand Electors of France were (and are) inactive national figureheads</w:t>
      </w:r>
      <w:r w:rsidR="008B7B36">
        <w:t>, but he approved of the several reforms to the French political system</w:t>
      </w:r>
      <w:r w:rsidR="001E4C4A">
        <w:t xml:space="preserve"> even if they went quite a bit further than </w:t>
      </w:r>
      <w:r w:rsidR="006B7884">
        <w:t xml:space="preserve">what </w:t>
      </w:r>
      <w:r w:rsidR="001E4C4A">
        <w:t xml:space="preserve">he </w:t>
      </w:r>
      <w:r w:rsidR="000E50D5">
        <w:t>wanted</w:t>
      </w:r>
      <w:r w:rsidR="008B7B36">
        <w:t>.</w:t>
      </w:r>
      <w:r w:rsidR="0056039D">
        <w:t xml:space="preserve"> </w:t>
      </w:r>
      <w:r w:rsidR="008B7B36">
        <w:t>A</w:t>
      </w:r>
      <w:r w:rsidR="0056039D">
        <w:t xml:space="preserve">s the war </w:t>
      </w:r>
      <w:r w:rsidR="008B7B36">
        <w:t>was</w:t>
      </w:r>
      <w:r w:rsidR="0056039D">
        <w:t xml:space="preserve"> a success</w:t>
      </w:r>
      <w:r w:rsidR="008B7B36">
        <w:t xml:space="preserve"> even if a much larger effort than he had</w:t>
      </w:r>
      <w:r w:rsidR="006B3D11">
        <w:t xml:space="preserve"> originally</w:t>
      </w:r>
      <w:r w:rsidR="008B7B36">
        <w:t xml:space="preserve"> wanted</w:t>
      </w:r>
      <w:r w:rsidR="0056039D">
        <w:t>, he remained quite popular</w:t>
      </w:r>
      <w:r w:rsidR="00953616">
        <w:t>, and despite his old age he was a quite vigorous man</w:t>
      </w:r>
      <w:r w:rsidR="00E14206">
        <w:t xml:space="preserve"> who regularly gave speeches and undertook the several duties of the Grand Elector with style</w:t>
      </w:r>
      <w:r w:rsidR="007F5E3F">
        <w:t xml:space="preserve">. When the Popular Revolution shook the British Isles in 1827, he </w:t>
      </w:r>
      <w:r w:rsidR="00DD38CE">
        <w:t>immediately gave a speech praising it, in this hoping</w:t>
      </w:r>
      <w:r w:rsidR="00A13B24">
        <w:t xml:space="preserve"> to bring it to eternally</w:t>
      </w:r>
      <w:r w:rsidR="00DF370C">
        <w:t xml:space="preserve"> good relations with France</w:t>
      </w:r>
      <w:r w:rsidR="00FB3262">
        <w:t xml:space="preserve"> without the isolation that caused the French Revolution to descend into paranoia</w:t>
      </w:r>
      <w:r w:rsidR="0056039D">
        <w:t xml:space="preserve">. </w:t>
      </w:r>
      <w:r w:rsidR="00457D04">
        <w:t>In 1832, b</w:t>
      </w:r>
      <w:r w:rsidR="0056039D">
        <w:t xml:space="preserve">y the time eight years were up and </w:t>
      </w:r>
      <w:r w:rsidR="00457D04">
        <w:t xml:space="preserve">peace came to Europe, </w:t>
      </w:r>
      <w:r w:rsidR="00026ACC">
        <w:t>Lafayette chose to finally leave office</w:t>
      </w:r>
      <w:r w:rsidR="005F5912">
        <w:t>, in the fashion of George Washington of old</w:t>
      </w:r>
      <w:r w:rsidR="007F5E3F">
        <w:t>, despite his term having been for life</w:t>
      </w:r>
      <w:r w:rsidR="005F5912">
        <w:t>,</w:t>
      </w:r>
      <w:r w:rsidR="00026ACC">
        <w:t xml:space="preserve"> and</w:t>
      </w:r>
      <w:r w:rsidR="007F5E3F">
        <w:t xml:space="preserve"> he</w:t>
      </w:r>
      <w:r w:rsidR="00026ACC">
        <w:t xml:space="preserve"> retired to a manor in Paris</w:t>
      </w:r>
      <w:r w:rsidR="00045A9A">
        <w:t>, intent on setting a precedent for retirement</w:t>
      </w:r>
      <w:r w:rsidR="00026ACC">
        <w:t xml:space="preserve">. But it was the following year he received a most tantalizing offer. </w:t>
      </w:r>
    </w:p>
    <w:p w14:paraId="4EC6A2BB" w14:textId="4EBE3F29" w:rsidR="00A13B24" w:rsidRDefault="002955CB" w:rsidP="00F85A15">
      <w:r>
        <w:t>The United States had continued to revere Lafayette as a national hero</w:t>
      </w:r>
      <w:r w:rsidR="00207904">
        <w:t xml:space="preserve"> in the over half-century since independence, the Boy General who fought for their cause</w:t>
      </w:r>
      <w:r w:rsidR="00D81091">
        <w:t>, and as much of the revolutionary generation passed into legend, Lafayette’s name only rose</w:t>
      </w:r>
      <w:r w:rsidR="00D54AEF">
        <w:t xml:space="preserve">. President Harrison and Secretary Clay, </w:t>
      </w:r>
      <w:r w:rsidR="00E169E2">
        <w:t xml:space="preserve">seeking to bring the nation together, </w:t>
      </w:r>
      <w:r w:rsidR="00934A4A">
        <w:t xml:space="preserve">invited him on a tour of the United States. </w:t>
      </w:r>
      <w:r w:rsidR="00934A4A">
        <w:lastRenderedPageBreak/>
        <w:t>Having not seen America since a visit in the 1780s, Lafayette happily accepted</w:t>
      </w:r>
      <w:r w:rsidR="005063ED">
        <w:t>, and he travelled with an entourage consisting of his son</w:t>
      </w:r>
      <w:r w:rsidR="00975877">
        <w:t xml:space="preserve"> and several other associates, as well as </w:t>
      </w:r>
      <w:r w:rsidR="00B127DB">
        <w:t>an unofficial French envoy team</w:t>
      </w:r>
      <w:r w:rsidR="00934A4A">
        <w:t xml:space="preserve">. </w:t>
      </w:r>
      <w:r w:rsidR="00064FA9">
        <w:t xml:space="preserve">Making his way </w:t>
      </w:r>
      <w:r w:rsidR="006A0F06">
        <w:t>across the pond</w:t>
      </w:r>
      <w:r w:rsidR="00064FA9">
        <w:t xml:space="preserve">, the massive national jubilation was such that he extended what was supposed to be </w:t>
      </w:r>
      <w:r w:rsidR="006A0F06">
        <w:t>a four-month tour of the seaboard into a year-long tour of the entire nation</w:t>
      </w:r>
      <w:r w:rsidR="00EE25CA">
        <w:t xml:space="preserve"> where he would visit every state</w:t>
      </w:r>
      <w:r w:rsidR="00A35C4A">
        <w:t>. Such a tour was not an unprecedented act – Aaron Burr’s 1820 tour came close – nor was it the greatest example of such a tour – that honor belongs to Daniel Webster’s 1844 tour – but it is the best remember</w:t>
      </w:r>
      <w:r w:rsidR="00B740E9">
        <w:t>ed</w:t>
      </w:r>
      <w:r w:rsidR="00A35C4A">
        <w:t>. And though some feared his advanced age would mean he would die</w:t>
      </w:r>
      <w:r w:rsidR="00C11453">
        <w:t xml:space="preserve"> without reaching home</w:t>
      </w:r>
      <w:r w:rsidR="00A35C4A">
        <w:t>, he did not care;</w:t>
      </w:r>
      <w:r w:rsidR="00F81B87">
        <w:t xml:space="preserve"> </w:t>
      </w:r>
      <w:r w:rsidR="00387CAF">
        <w:t>privately, he asserted</w:t>
      </w:r>
      <w:r w:rsidR="00F81B87">
        <w:t xml:space="preserve"> if he died along the way, he would consider it most fitting. </w:t>
      </w:r>
    </w:p>
    <w:p w14:paraId="4295B206" w14:textId="6A0893D6" w:rsidR="00F37DE5" w:rsidRDefault="00EE25CA" w:rsidP="00F85A15">
      <w:r>
        <w:t>Travelling from France to New York</w:t>
      </w:r>
      <w:r w:rsidR="00174A72">
        <w:t xml:space="preserve"> where he watched the fireworks</w:t>
      </w:r>
      <w:r w:rsidR="00021C29">
        <w:t>, he visited Saratoga, the site of the great</w:t>
      </w:r>
      <w:r w:rsidR="00174A72">
        <w:t xml:space="preserve"> revolutionary</w:t>
      </w:r>
      <w:r w:rsidR="00021C29">
        <w:t xml:space="preserve"> battle, and he met several old veterans he fought with</w:t>
      </w:r>
      <w:r w:rsidR="00174A72">
        <w:t>; they greeted one another as brothers</w:t>
      </w:r>
      <w:r w:rsidR="00021C29">
        <w:t>.</w:t>
      </w:r>
      <w:r>
        <w:t xml:space="preserve"> </w:t>
      </w:r>
      <w:r w:rsidR="00021C29">
        <w:t>He</w:t>
      </w:r>
      <w:r>
        <w:t xml:space="preserve"> then</w:t>
      </w:r>
      <w:r w:rsidR="00021C29">
        <w:t xml:space="preserve"> travelled</w:t>
      </w:r>
      <w:r>
        <w:t xml:space="preserve"> up</w:t>
      </w:r>
      <w:r w:rsidR="00C20091">
        <w:t xml:space="preserve"> to</w:t>
      </w:r>
      <w:r>
        <w:t xml:space="preserve"> New England</w:t>
      </w:r>
      <w:r w:rsidR="00030435">
        <w:t xml:space="preserve"> where he visited Bunker Hill</w:t>
      </w:r>
      <w:r w:rsidR="008A4EC2">
        <w:t>, then back south to Philadelphia</w:t>
      </w:r>
      <w:r w:rsidR="00C467AA">
        <w:t xml:space="preserve"> to Independence Hall</w:t>
      </w:r>
      <w:r w:rsidR="00F27E71">
        <w:t xml:space="preserve">. Wherever he went, he met children dressed as Continental soldiers, and church bells rung </w:t>
      </w:r>
      <w:r w:rsidR="00C737F9">
        <w:t>in his honor</w:t>
      </w:r>
      <w:r w:rsidR="00F27E71">
        <w:t xml:space="preserve"> for hours</w:t>
      </w:r>
      <w:r w:rsidR="00ED583B">
        <w:t>. States named their militia the “National Guard”, in the honor of the militia that he once led so long ago</w:t>
      </w:r>
      <w:r w:rsidR="00F27E71">
        <w:t>. From there,</w:t>
      </w:r>
      <w:r w:rsidR="008A4EC2">
        <w:t xml:space="preserve"> </w:t>
      </w:r>
      <w:r w:rsidR="00F27E71">
        <w:t xml:space="preserve">he </w:t>
      </w:r>
      <w:r w:rsidR="008A4EC2">
        <w:t xml:space="preserve">then to Baltimore and Washington, where he was </w:t>
      </w:r>
      <w:r w:rsidR="00D201AA">
        <w:t xml:space="preserve">excitedly </w:t>
      </w:r>
      <w:r w:rsidR="008A4EC2">
        <w:t>greeted by the government</w:t>
      </w:r>
      <w:r w:rsidR="005F116B">
        <w:t xml:space="preserve"> and officeholders of every stripe imaginable. Congress appropriated him</w:t>
      </w:r>
      <w:r w:rsidR="007C0187">
        <w:t xml:space="preserve"> 300,000 dollars and land in </w:t>
      </w:r>
      <w:proofErr w:type="spellStart"/>
      <w:r w:rsidR="007C0187">
        <w:t>Arcansa</w:t>
      </w:r>
      <w:proofErr w:type="spellEnd"/>
      <w:r w:rsidR="007C0187">
        <w:t xml:space="preserve">; he never visited </w:t>
      </w:r>
      <w:r w:rsidR="009E1756">
        <w:t>the land,</w:t>
      </w:r>
      <w:r w:rsidR="007C0187">
        <w:t xml:space="preserve"> nor did he ever spend this money, but he willed it to his son</w:t>
      </w:r>
      <w:r w:rsidR="00761BA4">
        <w:t xml:space="preserve"> to set him well for future years</w:t>
      </w:r>
      <w:r w:rsidR="00F47324">
        <w:t xml:space="preserve">. </w:t>
      </w:r>
    </w:p>
    <w:p w14:paraId="1217C3A8" w14:textId="77777777" w:rsidR="00F37DE5" w:rsidRDefault="00F47324" w:rsidP="00F85A15">
      <w:r>
        <w:t>In February 1834, travelling south he came face-to-face with slavery, an institution he had long since abhorred</w:t>
      </w:r>
      <w:r w:rsidR="00E94BE0">
        <w:t xml:space="preserve">. He had hoped the Americans would have abolished </w:t>
      </w:r>
      <w:proofErr w:type="gramStart"/>
      <w:r w:rsidR="00E94BE0">
        <w:t>slavery, or</w:t>
      </w:r>
      <w:proofErr w:type="gramEnd"/>
      <w:r w:rsidR="00E94BE0">
        <w:t xml:space="preserve"> at least</w:t>
      </w:r>
      <w:r w:rsidR="00BF7A59">
        <w:t xml:space="preserve"> brought it along the road to extinction – but he could see it was doing as well as ever</w:t>
      </w:r>
      <w:r w:rsidR="00656527">
        <w:t>. The difference between the prosperous planter elite and the</w:t>
      </w:r>
      <w:r w:rsidR="0013292A">
        <w:t xml:space="preserve"> brutalized slave was stark, and Lafayette despised it</w:t>
      </w:r>
      <w:r>
        <w:t xml:space="preserve">. </w:t>
      </w:r>
      <w:r>
        <w:lastRenderedPageBreak/>
        <w:t>Not wishing to offend</w:t>
      </w:r>
      <w:r w:rsidR="0034026E">
        <w:t xml:space="preserve"> and knowing he was </w:t>
      </w:r>
      <w:r w:rsidR="009B4CBB">
        <w:t>America’s guest</w:t>
      </w:r>
      <w:r>
        <w:t xml:space="preserve">, he refrained from criticizing </w:t>
      </w:r>
      <w:r w:rsidR="00E96CBF">
        <w:t>slavery</w:t>
      </w:r>
      <w:r>
        <w:t xml:space="preserve"> in public, but privately</w:t>
      </w:r>
      <w:r w:rsidR="004F5315">
        <w:t>,</w:t>
      </w:r>
      <w:r>
        <w:t xml:space="preserve"> in conversations with</w:t>
      </w:r>
      <w:r w:rsidR="004F5315">
        <w:t xml:space="preserve"> his good friend</w:t>
      </w:r>
      <w:r>
        <w:t xml:space="preserve"> James Madison, he </w:t>
      </w:r>
      <w:r w:rsidR="002D2571">
        <w:t xml:space="preserve">tried to convince him </w:t>
      </w:r>
      <w:r w:rsidR="0091529F">
        <w:t>to speak out in favor of</w:t>
      </w:r>
      <w:r w:rsidR="002D2571">
        <w:t xml:space="preserve"> abolition</w:t>
      </w:r>
      <w:r w:rsidR="00993FB5">
        <w:t xml:space="preserve"> and set an example by freeing his own slaves</w:t>
      </w:r>
      <w:r w:rsidR="00B67B97">
        <w:t xml:space="preserve">. But the </w:t>
      </w:r>
      <w:r w:rsidR="00465354">
        <w:t>Framer of the Constitution did not budge</w:t>
      </w:r>
      <w:r w:rsidR="00A13172">
        <w:t>; by this point, he not only considered slavery acceptable, but</w:t>
      </w:r>
      <w:r w:rsidR="00261458">
        <w:t xml:space="preserve"> he wanted it spread across the United States</w:t>
      </w:r>
      <w:r w:rsidR="00E44732">
        <w:t>. It was a harrowing demonstration of the contradiction at the very heart of the United States</w:t>
      </w:r>
      <w:r w:rsidR="002D2571">
        <w:t>.</w:t>
      </w:r>
      <w:r w:rsidR="00970E58">
        <w:t xml:space="preserve"> </w:t>
      </w:r>
    </w:p>
    <w:p w14:paraId="36652293" w14:textId="16FF8BDC" w:rsidR="002955CB" w:rsidRDefault="00970E58" w:rsidP="00F85A15">
      <w:r>
        <w:t>Reaching New Orleans, whose French-speaking inhabitants cheered him</w:t>
      </w:r>
      <w:r w:rsidR="00F614CA">
        <w:t xml:space="preserve"> as a symbol of the union of American republicanism with </w:t>
      </w:r>
      <w:proofErr w:type="spellStart"/>
      <w:r w:rsidR="00F614CA">
        <w:t>Frenchness</w:t>
      </w:r>
      <w:proofErr w:type="spellEnd"/>
      <w:r>
        <w:t xml:space="preserve">, he briefly got a throat infection; refusing treatment, it got </w:t>
      </w:r>
      <w:proofErr w:type="gramStart"/>
      <w:r>
        <w:t>better</w:t>
      </w:r>
      <w:proofErr w:type="gramEnd"/>
      <w:r>
        <w:t xml:space="preserve"> and he continued with his tour. Travelling up the Mississippi, </w:t>
      </w:r>
      <w:r w:rsidR="006212DA">
        <w:t>he made his way to St. Louis</w:t>
      </w:r>
      <w:r w:rsidR="003B4864">
        <w:t xml:space="preserve"> where he again saluted its inhabitant</w:t>
      </w:r>
      <w:r w:rsidR="00D6186E">
        <w:t>s in French</w:t>
      </w:r>
      <w:r w:rsidR="00D5151C">
        <w:t xml:space="preserve"> and called for them to become good Americans</w:t>
      </w:r>
      <w:r w:rsidR="00D6186E">
        <w:t>; in Illinois</w:t>
      </w:r>
      <w:r w:rsidR="00B67684">
        <w:t>, he met Indigenous Americans descended by his fellow comrades-in-arms, and he</w:t>
      </w:r>
      <w:r w:rsidR="003E432A">
        <w:t xml:space="preserve"> travelled along the Ohio River. Crossing the Ohio and Miami Canal, his boat capsized; a panicked entourage immediately raised him from the canal. </w:t>
      </w:r>
      <w:r w:rsidR="0099683D">
        <w:t>Again,</w:t>
      </w:r>
      <w:r w:rsidR="003E432A">
        <w:t xml:space="preserve"> he got sick and refused treatment, and again he recovered</w:t>
      </w:r>
      <w:r w:rsidR="0000481D">
        <w:t>. It was remarkable for a man who was in his seventies</w:t>
      </w:r>
      <w:r w:rsidR="001053B0">
        <w:t>. Observers wondered if</w:t>
      </w:r>
      <w:r w:rsidR="004106F1">
        <w:t xml:space="preserve"> nothing less than divine providence</w:t>
      </w:r>
      <w:r w:rsidR="002F3A18">
        <w:t xml:space="preserve"> kept him alive</w:t>
      </w:r>
      <w:r w:rsidR="003E432A">
        <w:t xml:space="preserve">. With that, </w:t>
      </w:r>
      <w:r w:rsidR="00A01794">
        <w:t xml:space="preserve">after a trip to Niagara </w:t>
      </w:r>
      <w:r w:rsidR="0099683D">
        <w:t>Falls,</w:t>
      </w:r>
      <w:r w:rsidR="00A01794">
        <w:t xml:space="preserve"> </w:t>
      </w:r>
      <w:r w:rsidR="003E432A">
        <w:t xml:space="preserve">he then travelled across the Erie Canal, and after a farewell dinner in Washington to celebrate his 77th birthday in 1834, he then made his way across the Atlantic in a ship renamed the </w:t>
      </w:r>
      <w:r w:rsidR="003E432A" w:rsidRPr="00C52813">
        <w:rPr>
          <w:i/>
          <w:iCs/>
        </w:rPr>
        <w:t>Brandywine</w:t>
      </w:r>
      <w:r w:rsidR="003E432A">
        <w:t xml:space="preserve"> in his honor. </w:t>
      </w:r>
      <w:r w:rsidR="00DC2166">
        <w:t>Here, he lived a hearty and active life</w:t>
      </w:r>
      <w:r w:rsidR="000830EC">
        <w:t>, up to his very end</w:t>
      </w:r>
      <w:r w:rsidR="00DC2166">
        <w:t>; he died in 1836 after pneumonia, and his death would be widely mourned by French and Americans alike</w:t>
      </w:r>
      <w:r w:rsidR="00A031D9">
        <w:t xml:space="preserve">. </w:t>
      </w:r>
      <w:r w:rsidR="008873B2">
        <w:t>The world</w:t>
      </w:r>
      <w:r w:rsidR="009E6B42">
        <w:t xml:space="preserve"> mourned not only a man, but the passing of an era</w:t>
      </w:r>
      <w:r w:rsidR="008008FA">
        <w:t xml:space="preserve">; </w:t>
      </w:r>
      <w:r w:rsidR="00CA2F71">
        <w:t xml:space="preserve">the governments of </w:t>
      </w:r>
      <w:r w:rsidR="008008FA">
        <w:t xml:space="preserve">both </w:t>
      </w:r>
      <w:r w:rsidR="00CA2F71">
        <w:t>France</w:t>
      </w:r>
      <w:r w:rsidR="008008FA">
        <w:t xml:space="preserve"> and America</w:t>
      </w:r>
      <w:r w:rsidR="00CA2F71">
        <w:t xml:space="preserve"> flew their flags at half-mast</w:t>
      </w:r>
      <w:r w:rsidR="004830EE">
        <w:t xml:space="preserve"> and draped their chambers in black. </w:t>
      </w:r>
      <w:r w:rsidR="004246E6">
        <w:t xml:space="preserve">And the bells tolled for him, one last time for eternity. </w:t>
      </w:r>
    </w:p>
    <w:p w14:paraId="44669D59" w14:textId="67D23358" w:rsidR="00800890" w:rsidRDefault="00800890" w:rsidP="00F85A15">
      <w:r>
        <w:lastRenderedPageBreak/>
        <w:t xml:space="preserve">Lafayette’s tour of America was a defining event for the nation at large. </w:t>
      </w:r>
      <w:r w:rsidR="00AC140F">
        <w:t xml:space="preserve">No longer a boy general, he was now an </w:t>
      </w:r>
      <w:r w:rsidR="005C4B7D">
        <w:t>elderly</w:t>
      </w:r>
      <w:r w:rsidR="00AC140F">
        <w:t xml:space="preserve"> statesman</w:t>
      </w:r>
      <w:r w:rsidR="005C1FE6">
        <w:t>; no longer wearing a powdered wig</w:t>
      </w:r>
      <w:r w:rsidR="009B7ED6">
        <w:t xml:space="preserve"> and breeches</w:t>
      </w:r>
      <w:r w:rsidR="005C1FE6">
        <w:t>, he now wore</w:t>
      </w:r>
      <w:r w:rsidR="00650B69">
        <w:t xml:space="preserve"> </w:t>
      </w:r>
      <w:r w:rsidR="0026688A">
        <w:t xml:space="preserve">a bicorne </w:t>
      </w:r>
      <w:r w:rsidR="009B7ED6">
        <w:t>and pants</w:t>
      </w:r>
      <w:r w:rsidR="00A21361">
        <w:t>. The Age of Reason that had produced him was over; now the world was in the throes of the Romantic era</w:t>
      </w:r>
      <w:r w:rsidR="00AC140F">
        <w:t>. But he was still an American national hero, and wherever he went Americans cheered in his honor</w:t>
      </w:r>
      <w:r w:rsidR="00F82C29">
        <w:t>. The nation, still badly divided over the First Nullification Crisis, suddenly cohered in his</w:t>
      </w:r>
      <w:r w:rsidR="007F6DB6">
        <w:t xml:space="preserve"> presence as everyone of every political stripe wanted his blessing</w:t>
      </w:r>
      <w:r w:rsidR="00AC140F">
        <w:t xml:space="preserve">. </w:t>
      </w:r>
      <w:r w:rsidR="00DB437A">
        <w:t>Millions of pieces of memorabilia were sold to commemorate his tour, and virtually every town he approached got into a mad frenzy</w:t>
      </w:r>
      <w:r w:rsidR="008E3F67">
        <w:t xml:space="preserve"> and named streets, parks, and squares in his honor</w:t>
      </w:r>
      <w:r w:rsidR="00E700A5">
        <w:t xml:space="preserve"> where they in short order commissioned new statues</w:t>
      </w:r>
      <w:r w:rsidR="008E3F67">
        <w:t xml:space="preserve">. </w:t>
      </w:r>
      <w:r w:rsidR="00D76990">
        <w:t xml:space="preserve">A whole generation of American children was presented to the man, so they could in future years claim a link to the </w:t>
      </w:r>
      <w:r w:rsidR="007F402B">
        <w:t>revolution of old</w:t>
      </w:r>
      <w:r w:rsidR="00D76990">
        <w:t xml:space="preserve">. </w:t>
      </w:r>
      <w:r w:rsidR="006E51F4">
        <w:t>And his legend was further shored up and strengthened. A whole generation of Americans for whom the Revolution was merely ancient history now loved him</w:t>
      </w:r>
      <w:r w:rsidR="00580BB6">
        <w:t xml:space="preserve">, and they would stop at nothing to ensure his name would be </w:t>
      </w:r>
      <w:r w:rsidR="00DC2166">
        <w:t>remembered forever</w:t>
      </w:r>
      <w:r w:rsidR="00D52D25">
        <w:t xml:space="preserve">. </w:t>
      </w:r>
      <w:r w:rsidR="00E17C8C">
        <w:t xml:space="preserve">For the next several decades, the name of Lafayette would be cited by every faction possible in the United States. To the Republicans, he was a symbol of </w:t>
      </w:r>
      <w:r w:rsidR="006D792B">
        <w:t>the “republican virtue” of</w:t>
      </w:r>
      <w:r w:rsidR="00E17C8C">
        <w:t xml:space="preserve"> the Planter Ascendancy; to the Democrats, he was a good foreign radical making it big in America; and to the burgeoning abolitionist movement, his condemnation of slavery was proof that it contravened the old values of 1776. </w:t>
      </w:r>
    </w:p>
    <w:p w14:paraId="458FB52A" w14:textId="5DA337D7" w:rsidR="00CD47AB" w:rsidRPr="00F85A15" w:rsidRDefault="00CD47AB" w:rsidP="00F85A15">
      <w:r>
        <w:t>The only man whose career rivals or exceeds Lafayette’s as a hero of two worlds</w:t>
      </w:r>
      <w:r w:rsidR="00FF60C4">
        <w:t>, and an icon of republicanism,</w:t>
      </w:r>
      <w:r>
        <w:t xml:space="preserve"> is that of </w:t>
      </w:r>
      <w:r w:rsidR="004A76DD">
        <w:t xml:space="preserve">the great Giuseppe </w:t>
      </w:r>
      <w:r>
        <w:t>Garibaldi</w:t>
      </w:r>
      <w:r w:rsidR="00A6781D">
        <w:t>. He had, after all, served</w:t>
      </w:r>
      <w:r w:rsidR="00754210">
        <w:t xml:space="preserve"> in six armies</w:t>
      </w:r>
      <w:r w:rsidR="0066433C">
        <w:t xml:space="preserve"> including America’s own Constitutionalists</w:t>
      </w:r>
      <w:r w:rsidR="0078183E">
        <w:t xml:space="preserve"> in the Liberty and Union War</w:t>
      </w:r>
      <w:r w:rsidR="00B43810">
        <w:t>. A</w:t>
      </w:r>
      <w:r w:rsidR="0066433C">
        <w:t>lt</w:t>
      </w:r>
      <w:r w:rsidR="00217F16">
        <w:t>hough when</w:t>
      </w:r>
      <w:r w:rsidR="005E504E">
        <w:t xml:space="preserve"> President</w:t>
      </w:r>
      <w:r w:rsidR="00217F16">
        <w:t xml:space="preserve"> </w:t>
      </w:r>
      <w:r w:rsidR="0066433C">
        <w:t>Bancroft</w:t>
      </w:r>
      <w:r w:rsidR="00217F16">
        <w:t xml:space="preserve"> </w:t>
      </w:r>
      <w:r w:rsidR="0066433C">
        <w:t>made this comparison to his face Garibaldi scoffed and damned Lafayette as a moderate</w:t>
      </w:r>
      <w:r w:rsidR="00F37DE5">
        <w:t xml:space="preserve"> and a traitor to the cause of liberty</w:t>
      </w:r>
      <w:r w:rsidR="0066433C">
        <w:t>, Lafayette’s and Garibaldi’s name remain intimately connected</w:t>
      </w:r>
      <w:r w:rsidR="00184B33">
        <w:t>,</w:t>
      </w:r>
      <w:r w:rsidR="0066433C">
        <w:t xml:space="preserve"> as friends of America</w:t>
      </w:r>
      <w:r w:rsidR="00184B33">
        <w:t xml:space="preserve"> from across the pond who shed their blood for a foreign country</w:t>
      </w:r>
      <w:r w:rsidR="0066433C">
        <w:t xml:space="preserve">. </w:t>
      </w:r>
      <w:r w:rsidR="005C4E26">
        <w:t xml:space="preserve">Their </w:t>
      </w:r>
      <w:r w:rsidR="005C4E26">
        <w:lastRenderedPageBreak/>
        <w:t>statues stand side by side in a position of pride in the National Colosseum today</w:t>
      </w:r>
      <w:r w:rsidR="000C0A65">
        <w:t xml:space="preserve"> – heroes of America’s two </w:t>
      </w:r>
      <w:r w:rsidR="00D46955">
        <w:t>great revolutions for liberty</w:t>
      </w:r>
      <w:r w:rsidR="005C4E26">
        <w:t xml:space="preserve">. </w:t>
      </w:r>
    </w:p>
    <w:p w14:paraId="5C87B604" w14:textId="77777777" w:rsidR="005939B8" w:rsidRDefault="005939B8" w:rsidP="005939B8">
      <w:r>
        <w:br w:type="page"/>
      </w:r>
    </w:p>
    <w:p w14:paraId="14038D5D" w14:textId="77777777" w:rsidR="00634567" w:rsidRDefault="00634567" w:rsidP="00634567"/>
    <w:p w14:paraId="383D5A63" w14:textId="77777777" w:rsidR="005939B8" w:rsidRDefault="005939B8" w:rsidP="00634567">
      <w:pPr>
        <w:sectPr w:rsidR="005939B8" w:rsidSect="00634567">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4C15DAF" w14:textId="77777777" w:rsidR="00634567" w:rsidRDefault="00634567" w:rsidP="00634567">
      <w:r>
        <w:br w:type="page"/>
      </w:r>
    </w:p>
    <w:p w14:paraId="1684164D" w14:textId="4132EA74" w:rsidR="002B6AF1" w:rsidRDefault="002B6AF1" w:rsidP="002B6AF1">
      <w:pPr>
        <w:pStyle w:val="Heading1"/>
      </w:pPr>
      <w:bookmarkStart w:id="27" w:name="_Toc202006220"/>
      <w:r>
        <w:lastRenderedPageBreak/>
        <w:t>2</w:t>
      </w:r>
      <w:r w:rsidR="00634567">
        <w:t>1</w:t>
      </w:r>
      <w:r>
        <w:t>. The Amicable Adjustment</w:t>
      </w:r>
      <w:bookmarkEnd w:id="27"/>
    </w:p>
    <w:p w14:paraId="4C0A50D4" w14:textId="77777777" w:rsidR="00F61600" w:rsidRDefault="005A1D3C" w:rsidP="002B6AF1">
      <w:r>
        <w:t xml:space="preserve">The Luisiana War saw, to avoid the slavery issue breaking into open war again, </w:t>
      </w:r>
      <w:r w:rsidR="00C74C20">
        <w:t>the drawing of a line at the thirty-sixth degree, thirtieth minute parallel to the equator, above which further introduction of slavery would be barred from further entry and below which further slaves could be introduced. Subsequently, settlement drew into the territories of Luisiana</w:t>
      </w:r>
      <w:r w:rsidR="00CF5062">
        <w:t xml:space="preserve"> in a huge land rush</w:t>
      </w:r>
      <w:r w:rsidR="00C74C20">
        <w:t>;</w:t>
      </w:r>
      <w:r w:rsidR="00CF5062">
        <w:t xml:space="preserve"> in particular</w:t>
      </w:r>
      <w:r w:rsidR="00A94FA4">
        <w:t>,</w:t>
      </w:r>
      <w:r w:rsidR="00C74C20">
        <w:t xml:space="preserve"> New Orleans boomed and became a huge</w:t>
      </w:r>
      <w:r w:rsidR="00CF5062">
        <w:t>, great city of the United States</w:t>
      </w:r>
      <w:r w:rsidR="007E3C26">
        <w:t>, and St. Louis became a crucial point for trade over the Mississippi River network</w:t>
      </w:r>
      <w:r w:rsidR="00CF5062">
        <w:t>.</w:t>
      </w:r>
      <w:r w:rsidR="00E510D6">
        <w:t xml:space="preserve"> </w:t>
      </w:r>
      <w:r w:rsidR="00C166DA">
        <w:t xml:space="preserve">But here, the slavery issue began to </w:t>
      </w:r>
      <w:r w:rsidR="00D96D02">
        <w:t>make a presence, and the United States buckled in its</w:t>
      </w:r>
      <w:r w:rsidR="00AD3627">
        <w:t xml:space="preserve"> </w:t>
      </w:r>
      <w:r w:rsidR="00E66B22">
        <w:t>presence</w:t>
      </w:r>
      <w:r w:rsidR="00AD3627">
        <w:t xml:space="preserve">. </w:t>
      </w:r>
      <w:r w:rsidR="00E66B22">
        <w:t xml:space="preserve">Slave state settlers moved </w:t>
      </w:r>
      <w:r w:rsidR="00D62CF2">
        <w:t>on the north side of</w:t>
      </w:r>
      <w:r w:rsidR="00E66B22">
        <w:t xml:space="preserve"> the great line</w:t>
      </w:r>
      <w:r w:rsidR="00D62CF2">
        <w:t xml:space="preserve"> to the </w:t>
      </w:r>
      <w:r w:rsidR="007B51A1">
        <w:t>territory of Missouri</w:t>
      </w:r>
      <w:r w:rsidR="00E66B22">
        <w:t xml:space="preserve">, with their slaves in hand; </w:t>
      </w:r>
      <w:r w:rsidR="00AE7295">
        <w:t>if</w:t>
      </w:r>
      <w:r w:rsidR="00E66B22">
        <w:t xml:space="preserve"> they </w:t>
      </w:r>
      <w:r w:rsidR="00AE7295">
        <w:t xml:space="preserve">didn’t </w:t>
      </w:r>
      <w:r w:rsidR="00E66B22">
        <w:t xml:space="preserve">simply ignore </w:t>
      </w:r>
      <w:r w:rsidR="00AE7295">
        <w:t>the legal restriction, they instead transferred their slaves to a person already resident in the state, and then upon settling them the slaves got transferred back – a fully-legal process</w:t>
      </w:r>
      <w:r w:rsidR="00653B33">
        <w:t xml:space="preserve"> which state administrators could do nothing to touch</w:t>
      </w:r>
      <w:r w:rsidR="00AE7295">
        <w:t xml:space="preserve">. </w:t>
      </w:r>
      <w:r w:rsidR="00653B33">
        <w:t xml:space="preserve">Additionally, this allowed for slave markets to emerge in Missouri, and it was not only slave state settlers who </w:t>
      </w:r>
      <w:r w:rsidR="00412623">
        <w:t>bought slaves to work on their new farms</w:t>
      </w:r>
      <w:r w:rsidR="00653B33">
        <w:t>; so too did free state settlers</w:t>
      </w:r>
      <w:r w:rsidR="00412623">
        <w:t xml:space="preserve">, who were only too happy to abandon their former principles to make a quick buck. </w:t>
      </w:r>
      <w:r w:rsidR="00602834">
        <w:t>Additionally, the absentee plantations of the territory ended up on sale, and wealthy merchants swiftly snatched them up to become their own planter lords</w:t>
      </w:r>
      <w:r w:rsidR="00653B33">
        <w:t xml:space="preserve">. </w:t>
      </w:r>
    </w:p>
    <w:p w14:paraId="042D6682" w14:textId="2FDFCF95" w:rsidR="002B6AF1" w:rsidRDefault="00602834" w:rsidP="002B6AF1">
      <w:r>
        <w:t>The area around the Missouri River swiftly became a mere extension of the Planter Ascendancy of the South</w:t>
      </w:r>
      <w:r w:rsidR="00BB52C7">
        <w:rPr>
          <w:rStyle w:val="EndnoteReference"/>
        </w:rPr>
        <w:endnoteReference w:id="95"/>
      </w:r>
      <w:r>
        <w:t>, despite that it was supposed to be reserved for</w:t>
      </w:r>
      <w:r w:rsidR="004B1A9B">
        <w:t xml:space="preserve"> free soil, and there were already altogether many Northerners who spoke unhappily about it. </w:t>
      </w:r>
      <w:r w:rsidR="00E35BCB">
        <w:t>However, bills to gradually emancipate Missourian slaves failed to make headway, Harrison and Clay</w:t>
      </w:r>
      <w:r w:rsidR="00F61600">
        <w:t xml:space="preserve"> successfully blocking them from making headway, and the issue continued to fester. But the issue ultimately couldn’t be blocked forever. When Missouri </w:t>
      </w:r>
      <w:r w:rsidR="00E75A67">
        <w:t xml:space="preserve">sent up a state constitution authorizing slavery, it </w:t>
      </w:r>
      <w:r w:rsidR="006D46EF">
        <w:t xml:space="preserve">had an air of inevitability when John Quincy Adams, at this point a </w:t>
      </w:r>
      <w:r w:rsidR="00047099">
        <w:t>congressman</w:t>
      </w:r>
      <w:r w:rsidR="006D46EF">
        <w:t xml:space="preserve">, proposed an amendment </w:t>
      </w:r>
      <w:r w:rsidR="006D46EF">
        <w:lastRenderedPageBreak/>
        <w:t>which would require Missouri to ban slavery</w:t>
      </w:r>
      <w:r w:rsidR="00047099">
        <w:t xml:space="preserve">. </w:t>
      </w:r>
      <w:r w:rsidR="00A5498E">
        <w:t xml:space="preserve">This </w:t>
      </w:r>
      <w:r w:rsidR="00E45EA9">
        <w:t>was clearly a do-over of the Illinois Crisis</w:t>
      </w:r>
      <w:r w:rsidR="000F406E">
        <w:t xml:space="preserve">, and the sudden ruckus in Congress </w:t>
      </w:r>
      <w:r w:rsidR="00690C34">
        <w:t>was a simple repeat of 1819</w:t>
      </w:r>
      <w:r w:rsidR="00B262A9">
        <w:rPr>
          <w:rStyle w:val="EndnoteReference"/>
        </w:rPr>
        <w:endnoteReference w:id="96"/>
      </w:r>
      <w:r w:rsidR="00690C34">
        <w:t xml:space="preserve">. </w:t>
      </w:r>
      <w:r w:rsidR="005C4B85">
        <w:t xml:space="preserve">And the ensuing debate would see </w:t>
      </w:r>
      <w:r w:rsidR="00BF5CEB">
        <w:t xml:space="preserve">all the same issues </w:t>
      </w:r>
      <w:r w:rsidR="00D16333">
        <w:t xml:space="preserve">be raised. Southerners declared it unconstitutional to </w:t>
      </w:r>
      <w:r w:rsidR="005F1EE4">
        <w:t xml:space="preserve">bar slavery, and this not only included old Nullificationist Southern </w:t>
      </w:r>
      <w:r w:rsidR="00217BD9">
        <w:t>Republicans</w:t>
      </w:r>
      <w:r w:rsidR="005F1EE4">
        <w:t xml:space="preserve">, but also </w:t>
      </w:r>
      <w:r w:rsidR="00217BD9">
        <w:t>Unionists, as well as Southern Democrats. While in contrast, the North</w:t>
      </w:r>
      <w:r w:rsidR="006C09EB">
        <w:t xml:space="preserve">, be they Democrats, Republicans, or from the diminishing contingent of Anti-Catholics, was largely unified behind </w:t>
      </w:r>
      <w:r w:rsidR="00AD654A">
        <w:t xml:space="preserve">restriction. This meant the Adams Amendment, requiring Missouri to write a constitution not permitting the further introduction of slavery, and requiring it to manumit its current slaves, passed through the House of Representatives by wide margins; however, in the Senate, this time it was blocked thanks to several Northerners voting with the South against it. </w:t>
      </w:r>
      <w:r w:rsidR="0083347E">
        <w:t xml:space="preserve">And the issue seared into the open. </w:t>
      </w:r>
    </w:p>
    <w:p w14:paraId="77434DF2" w14:textId="390FB36B" w:rsidR="00DF790A" w:rsidRDefault="00DF790A" w:rsidP="002B6AF1">
      <w:r>
        <w:t xml:space="preserve">The Missouri Crisis was perhaps a greater crisis for the Union than the Nullification Crisis was. </w:t>
      </w:r>
      <w:r w:rsidR="00F662B3">
        <w:t>For several Southern anti-Nullificationists</w:t>
      </w:r>
      <w:r w:rsidR="00C62544">
        <w:t xml:space="preserve">, who either supported the tariff or thought nullification over the tariff an absurdity, had a very different stance when it came to the restriction of </w:t>
      </w:r>
      <w:r w:rsidR="00617FAB">
        <w:t>slavery, which they were perfectly willing to break the Union over</w:t>
      </w:r>
      <w:r w:rsidR="00C62544">
        <w:t xml:space="preserve">. </w:t>
      </w:r>
      <w:r w:rsidR="00617FAB">
        <w:t xml:space="preserve">When John C. Calhoun gave speeches threatening disunion if Congress were to restrict Missourian slavery, nearly the entire South hummed alongside him. </w:t>
      </w:r>
      <w:r w:rsidR="00AD3844">
        <w:t>In the North, anti-Missouri sentiment was not anywhere near as cohesive as anti-Illinois sentiments in 1819; however, it was solidly behind</w:t>
      </w:r>
      <w:r w:rsidR="00304A99">
        <w:t xml:space="preserve"> restriction, and several </w:t>
      </w:r>
      <w:r w:rsidR="00FF382B">
        <w:t xml:space="preserve">Northern </w:t>
      </w:r>
      <w:r w:rsidR="00304A99">
        <w:t>state</w:t>
      </w:r>
      <w:r w:rsidR="006E3B06">
        <w:t xml:space="preserve">s </w:t>
      </w:r>
      <w:r w:rsidR="00692AB8">
        <w:t>ordered their state delegations</w:t>
      </w:r>
      <w:r w:rsidR="00FF382B">
        <w:t xml:space="preserve"> to restrict slavery</w:t>
      </w:r>
      <w:r w:rsidR="007516A6">
        <w:t xml:space="preserve">. With the further settlement of the west, </w:t>
      </w:r>
      <w:r w:rsidR="005420AD">
        <w:t xml:space="preserve">lines across it had been drawn further </w:t>
      </w:r>
      <w:proofErr w:type="gramStart"/>
      <w:r w:rsidR="005420AD">
        <w:t>on the basis of</w:t>
      </w:r>
      <w:proofErr w:type="gramEnd"/>
      <w:r w:rsidR="005420AD">
        <w:t xml:space="preserve"> slavery, and </w:t>
      </w:r>
      <w:r w:rsidR="00905983">
        <w:t>as a result pro-compromise sentiments had greatly decreased. However, there was something of a change here, in that</w:t>
      </w:r>
      <w:r w:rsidR="003F4448">
        <w:t xml:space="preserve"> the Democratic Party was no longer a party of free-soil antislavery, but rather pro-compromise. Here,</w:t>
      </w:r>
      <w:r w:rsidR="009077A9">
        <w:t xml:space="preserve"> Secretary</w:t>
      </w:r>
      <w:r w:rsidR="003F4448">
        <w:t xml:space="preserve"> Clay attempted to organize several compromises</w:t>
      </w:r>
      <w:r w:rsidR="00D35CF4">
        <w:rPr>
          <w:rStyle w:val="EndnoteReference"/>
        </w:rPr>
        <w:endnoteReference w:id="97"/>
      </w:r>
      <w:r w:rsidR="003F4448">
        <w:t xml:space="preserve"> – notably, he tried to allow slavery in the state of Missouri and bar it from </w:t>
      </w:r>
      <w:r w:rsidR="009077A9">
        <w:t xml:space="preserve">the rest of the territory, </w:t>
      </w:r>
      <w:proofErr w:type="gramStart"/>
      <w:r w:rsidR="009077A9">
        <w:t>in an attempt to</w:t>
      </w:r>
      <w:proofErr w:type="gramEnd"/>
      <w:r w:rsidR="009077A9">
        <w:t xml:space="preserve"> </w:t>
      </w:r>
      <w:r w:rsidR="009077A9">
        <w:lastRenderedPageBreak/>
        <w:t>replicate the Illinois Compromise – but such efforts ended up failing, as latent free-soil sentiments within the party ended up stoked</w:t>
      </w:r>
      <w:r w:rsidR="00F5714D">
        <w:rPr>
          <w:rStyle w:val="EndnoteReference"/>
        </w:rPr>
        <w:endnoteReference w:id="98"/>
      </w:r>
      <w:r w:rsidR="009077A9">
        <w:t>.</w:t>
      </w:r>
    </w:p>
    <w:p w14:paraId="229BA398" w14:textId="594D9C2C" w:rsidR="001F1E1E" w:rsidRDefault="001F1E1E" w:rsidP="002B6AF1">
      <w:r>
        <w:t xml:space="preserve">Thus, the issue ended up coming into the election cycle of 1836. Lines on slavery were drawn, and so too would be the parties. </w:t>
      </w:r>
      <w:r w:rsidR="005257FB">
        <w:t xml:space="preserve">With the Democratic Party having evolved towards being pro-compromise, </w:t>
      </w:r>
      <w:r w:rsidR="00AA4C35">
        <w:t xml:space="preserve">antislavery sentiments instead migrated out of the party. Joining a small contingent of diehard Anti-Catholics who regarded slavery and Catholicism as two sides of the same coin of tyranny came </w:t>
      </w:r>
      <w:r w:rsidR="00461713">
        <w:t xml:space="preserve">a large swathe of Northern Democrats, as well as </w:t>
      </w:r>
      <w:r w:rsidR="00A50A35">
        <w:t xml:space="preserve">some Northern Republicans. </w:t>
      </w:r>
      <w:r w:rsidR="000A3FBC">
        <w:t xml:space="preserve">Together, they formed the Anti-Missouri Party, with a single political platform: to keep slavery out of the West. </w:t>
      </w:r>
      <w:r w:rsidR="005259FF">
        <w:t xml:space="preserve">To this end, they nominated John Quincy Adams, </w:t>
      </w:r>
      <w:r w:rsidR="00760BB8">
        <w:t xml:space="preserve">the man who had kicked this off with his amendment and who had since become the standard-bearer </w:t>
      </w:r>
      <w:r w:rsidR="004B5230">
        <w:t>of</w:t>
      </w:r>
      <w:r w:rsidR="00760BB8">
        <w:t xml:space="preserve"> the North with his </w:t>
      </w:r>
      <w:r w:rsidR="004B5230">
        <w:t>opposition to slavery</w:t>
      </w:r>
      <w:r w:rsidR="00760BB8">
        <w:t xml:space="preserve">. </w:t>
      </w:r>
      <w:r w:rsidR="004B5230">
        <w:t>This was not the best choice</w:t>
      </w:r>
      <w:r w:rsidR="00682364">
        <w:t xml:space="preserve">, and even at the time many Anti-Missourians realized that </w:t>
      </w:r>
      <w:r w:rsidR="009A34EE">
        <w:t xml:space="preserve">his former Anti-Catholic membership would alienate antislavery immigrants who might otherwise join. It was for this reason that the </w:t>
      </w:r>
      <w:proofErr w:type="gramStart"/>
      <w:r w:rsidR="009A34EE">
        <w:t>vice presidential</w:t>
      </w:r>
      <w:proofErr w:type="gramEnd"/>
      <w:r w:rsidR="009A34EE">
        <w:t xml:space="preserve"> candidate selected was Thomas Morris, a far more pro-immigrant figure who was still reliably antislavery. </w:t>
      </w:r>
      <w:r w:rsidR="0023533C">
        <w:t xml:space="preserve">The Democratic Party, having lost a section of their northern base, easily nominated Secretary Clay whose presidential ambitions were obvious to all, and as vice presidential candidate they selected Richard Rush, the capable Pennsylvanian who </w:t>
      </w:r>
      <w:r w:rsidR="0090659D">
        <w:t>now opposed further attempts to stoke sectional divides</w:t>
      </w:r>
      <w:r w:rsidR="00E74552">
        <w:t>, and they were on a platform of compromise to end the crisis</w:t>
      </w:r>
      <w:r w:rsidR="0090659D">
        <w:t xml:space="preserve">. </w:t>
      </w:r>
      <w:r w:rsidR="001F41A2">
        <w:t xml:space="preserve">Additionally came the Republican Party; it had so recently consolidated Anti-Catholics into </w:t>
      </w:r>
      <w:proofErr w:type="gramStart"/>
      <w:r w:rsidR="001F41A2">
        <w:t>itself</w:t>
      </w:r>
      <w:proofErr w:type="gramEnd"/>
      <w:r w:rsidR="001F41A2">
        <w:t xml:space="preserve"> and this crisis threatened to break the unity of the party. John C. Calhoun attempted to </w:t>
      </w:r>
      <w:r w:rsidR="00B030E8">
        <w:t>make himself, or some trustworthy ally of his, the party’s candidate, but having lost 1832</w:t>
      </w:r>
      <w:r w:rsidR="00AE04BB">
        <w:t xml:space="preserve"> most of the party did not consider him the man to lead</w:t>
      </w:r>
      <w:r w:rsidR="009C0056">
        <w:t xml:space="preserve"> it </w:t>
      </w:r>
      <w:r w:rsidR="00AE04BB">
        <w:t xml:space="preserve">into a new era. </w:t>
      </w:r>
      <w:r w:rsidR="00C13CDD">
        <w:t xml:space="preserve">For this reason, the Republicans ended up looking outside the </w:t>
      </w:r>
      <w:r w:rsidR="00FE0049">
        <w:t xml:space="preserve">raw base of politicians, who may all succumb to the </w:t>
      </w:r>
      <w:r w:rsidR="00C24D3F">
        <w:t xml:space="preserve">sectional divide, and instead they selected Zebulon Pike. The war hero who took </w:t>
      </w:r>
      <w:r w:rsidR="002A0682">
        <w:t xml:space="preserve">New Orleans during the Luisiana War, he was </w:t>
      </w:r>
      <w:proofErr w:type="gramStart"/>
      <w:r w:rsidR="00C31004">
        <w:t>a</w:t>
      </w:r>
      <w:proofErr w:type="gramEnd"/>
      <w:r w:rsidR="002A0682">
        <w:t xml:space="preserve"> </w:t>
      </w:r>
      <w:r w:rsidR="002A0682">
        <w:lastRenderedPageBreak/>
        <w:t>obvious pick</w:t>
      </w:r>
      <w:r w:rsidR="00C31004">
        <w:t xml:space="preserve"> for a presidential candidate; his selection led him to pen a letter accepting it, but he did not campaign for himself, nor did he elucidate his position on slavery. </w:t>
      </w:r>
      <w:r w:rsidR="00440002">
        <w:t>He</w:t>
      </w:r>
      <w:r w:rsidR="00C31004">
        <w:t xml:space="preserve"> was perfect to unify a divided nation behind the Republicans</w:t>
      </w:r>
      <w:r w:rsidR="00AC56AA">
        <w:t>, by being a cipher everyone could project their dream candidate onto</w:t>
      </w:r>
      <w:r w:rsidR="00C31004">
        <w:t xml:space="preserve">. </w:t>
      </w:r>
      <w:r w:rsidR="00AC56AA">
        <w:t xml:space="preserve">Being a Kentuckian – like Henry Clay – he was considered a Southerner, and thus the </w:t>
      </w:r>
      <w:proofErr w:type="gramStart"/>
      <w:r w:rsidR="00AC56AA">
        <w:t>vice presidential</w:t>
      </w:r>
      <w:proofErr w:type="gramEnd"/>
      <w:r w:rsidR="00AC56AA">
        <w:t xml:space="preserve"> candidate had to be a Northerner, and Levi Woodbury was dug up for this purpose. </w:t>
      </w:r>
      <w:r w:rsidR="00934566">
        <w:t xml:space="preserve">Despite some attempts to organize a </w:t>
      </w:r>
      <w:r w:rsidR="00F17AD0">
        <w:t xml:space="preserve">specifically </w:t>
      </w:r>
      <w:r w:rsidR="00934566">
        <w:t>southern ticket, in the end the Southern Rights Party and its ticket</w:t>
      </w:r>
      <w:r w:rsidR="00F17AD0">
        <w:t xml:space="preserve"> headed by George Troup</w:t>
      </w:r>
      <w:r w:rsidR="00934566">
        <w:t xml:space="preserve"> ended up </w:t>
      </w:r>
      <w:r w:rsidR="00F17AD0">
        <w:t>largely</w:t>
      </w:r>
      <w:r w:rsidR="00934566">
        <w:t xml:space="preserve"> sidelined. </w:t>
      </w:r>
    </w:p>
    <w:p w14:paraId="39D24951" w14:textId="11E2F59B" w:rsidR="00934566" w:rsidRDefault="00934566" w:rsidP="002B6AF1">
      <w:r>
        <w:t xml:space="preserve">The ensuing election was a mad, raucous </w:t>
      </w:r>
      <w:r w:rsidR="00171DAC">
        <w:t xml:space="preserve">and chaotic mess. </w:t>
      </w:r>
      <w:r w:rsidR="00616603">
        <w:t xml:space="preserve">Adams, perhaps not a figure for the modern era of mass politics, refused to go on a tour of the nation in the fashion of Aaron Burr, and instead he maintained genteel respectability. His party was severely encumbered by his Anti-Catholic past, and it took little for opponents to simply read </w:t>
      </w:r>
      <w:r w:rsidR="0004180F">
        <w:t xml:space="preserve">out </w:t>
      </w:r>
      <w:r w:rsidR="00616603">
        <w:t xml:space="preserve">his anti-immigrant </w:t>
      </w:r>
      <w:r w:rsidR="0004180F">
        <w:t xml:space="preserve">screeds to push them away from him. </w:t>
      </w:r>
      <w:r w:rsidR="006D2295">
        <w:t xml:space="preserve">In contrast, Secretary Clay did go on a tour of the nation and talked to cheering crowds; however, he was the representative of the pro-compromise middle and therefore found it hard to maintain support from cheering crowds. </w:t>
      </w:r>
      <w:r w:rsidR="00C74C61">
        <w:t xml:space="preserve">And Pike, who refused to campaign because he was serving as a Major-General in the army, received a groundswell of support as </w:t>
      </w:r>
      <w:r w:rsidR="00FA0B2B">
        <w:t>his military career had made him a national hero, and additionally</w:t>
      </w:r>
      <w:r w:rsidR="00A0395A">
        <w:t xml:space="preserve"> campaigners in the North portrayed him as antislavery and campaigners in the South as proslavery. </w:t>
      </w:r>
      <w:r w:rsidR="00900271">
        <w:t>When results came in, it ended up with no candidate winning a majority; the election would go to Congress</w:t>
      </w:r>
      <w:r w:rsidR="004C4523">
        <w:rPr>
          <w:rStyle w:val="EndnoteReference"/>
        </w:rPr>
        <w:endnoteReference w:id="99"/>
      </w:r>
      <w:r w:rsidR="00900271">
        <w:t xml:space="preserve">. </w:t>
      </w:r>
    </w:p>
    <w:p w14:paraId="117C8CE1" w14:textId="77777777" w:rsidR="00047099" w:rsidRDefault="00047099" w:rsidP="00047099">
      <w:r>
        <w:br w:type="page"/>
      </w:r>
    </w:p>
    <w:p w14:paraId="5F958598" w14:textId="23D0EE6F" w:rsidR="006C79D5" w:rsidRDefault="006C79D5" w:rsidP="006C79D5">
      <w:pPr>
        <w:pStyle w:val="Caption"/>
      </w:pPr>
      <w:bookmarkStart w:id="28" w:name="_Toc202006264"/>
      <w:r>
        <w:lastRenderedPageBreak/>
        <w:t xml:space="preserve">Figure </w:t>
      </w:r>
      <w:fldSimple w:instr=" SEQ Figure \* ARABIC ">
        <w:r w:rsidR="00567D66">
          <w:rPr>
            <w:noProof/>
          </w:rPr>
          <w:t>8</w:t>
        </w:r>
      </w:fldSimple>
      <w:r>
        <w:t>: The 1836 election, by state</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574"/>
        <w:gridCol w:w="1588"/>
        <w:gridCol w:w="1581"/>
        <w:gridCol w:w="1556"/>
        <w:gridCol w:w="1255"/>
      </w:tblGrid>
      <w:tr w:rsidR="006C79D5" w:rsidRPr="00B457B5" w14:paraId="1C1D131A" w14:textId="656A0DCA" w:rsidTr="006C79D5">
        <w:tc>
          <w:tcPr>
            <w:tcW w:w="1806" w:type="dxa"/>
            <w:tcBorders>
              <w:bottom w:val="single" w:sz="4" w:space="0" w:color="auto"/>
              <w:right w:val="single" w:sz="4" w:space="0" w:color="auto"/>
            </w:tcBorders>
          </w:tcPr>
          <w:p w14:paraId="7AF579FD" w14:textId="77777777" w:rsidR="006C79D5" w:rsidRPr="00B457B5" w:rsidRDefault="006C79D5" w:rsidP="00AF4CAA">
            <w:pPr>
              <w:pStyle w:val="NoSpacing"/>
              <w:rPr>
                <w:b/>
                <w:bCs/>
              </w:rPr>
            </w:pPr>
            <w:r w:rsidRPr="00B457B5">
              <w:rPr>
                <w:b/>
                <w:bCs/>
              </w:rPr>
              <w:t>State</w:t>
            </w:r>
          </w:p>
        </w:tc>
        <w:tc>
          <w:tcPr>
            <w:tcW w:w="1574" w:type="dxa"/>
            <w:tcBorders>
              <w:left w:val="single" w:sz="4" w:space="0" w:color="auto"/>
              <w:bottom w:val="single" w:sz="4" w:space="0" w:color="auto"/>
              <w:right w:val="single" w:sz="4" w:space="0" w:color="auto"/>
            </w:tcBorders>
          </w:tcPr>
          <w:p w14:paraId="3655DED0" w14:textId="77777777" w:rsidR="006C79D5" w:rsidRPr="00B457B5" w:rsidRDefault="006C79D5" w:rsidP="00AF4CAA">
            <w:pPr>
              <w:pStyle w:val="NoSpacing"/>
              <w:rPr>
                <w:b/>
                <w:bCs/>
              </w:rPr>
            </w:pPr>
            <w:r w:rsidRPr="00B457B5">
              <w:rPr>
                <w:b/>
                <w:bCs/>
              </w:rPr>
              <w:t>Electors</w:t>
            </w:r>
          </w:p>
        </w:tc>
        <w:tc>
          <w:tcPr>
            <w:tcW w:w="1588" w:type="dxa"/>
            <w:tcBorders>
              <w:left w:val="single" w:sz="4" w:space="0" w:color="auto"/>
              <w:bottom w:val="single" w:sz="4" w:space="0" w:color="auto"/>
            </w:tcBorders>
          </w:tcPr>
          <w:p w14:paraId="1751ADCD" w14:textId="704F2609" w:rsidR="006C79D5" w:rsidRPr="00B457B5" w:rsidRDefault="006C79D5" w:rsidP="00AF4CAA">
            <w:pPr>
              <w:pStyle w:val="NoSpacing"/>
              <w:rPr>
                <w:b/>
                <w:bCs/>
              </w:rPr>
            </w:pPr>
            <w:r w:rsidRPr="00B457B5">
              <w:rPr>
                <w:b/>
                <w:bCs/>
              </w:rPr>
              <w:t>Pike</w:t>
            </w:r>
          </w:p>
        </w:tc>
        <w:tc>
          <w:tcPr>
            <w:tcW w:w="1581" w:type="dxa"/>
            <w:tcBorders>
              <w:bottom w:val="single" w:sz="4" w:space="0" w:color="auto"/>
            </w:tcBorders>
          </w:tcPr>
          <w:p w14:paraId="33855BF4" w14:textId="77E4AA8F" w:rsidR="006C79D5" w:rsidRPr="00B457B5" w:rsidRDefault="006C79D5" w:rsidP="00AF4CAA">
            <w:pPr>
              <w:pStyle w:val="NoSpacing"/>
              <w:rPr>
                <w:b/>
                <w:bCs/>
              </w:rPr>
            </w:pPr>
            <w:r w:rsidRPr="00B457B5">
              <w:rPr>
                <w:b/>
                <w:bCs/>
              </w:rPr>
              <w:t>Adams</w:t>
            </w:r>
          </w:p>
        </w:tc>
        <w:tc>
          <w:tcPr>
            <w:tcW w:w="1556" w:type="dxa"/>
            <w:tcBorders>
              <w:bottom w:val="single" w:sz="4" w:space="0" w:color="auto"/>
            </w:tcBorders>
          </w:tcPr>
          <w:p w14:paraId="1E256840" w14:textId="74C1C81F" w:rsidR="006C79D5" w:rsidRPr="00B457B5" w:rsidRDefault="006C79D5" w:rsidP="00AF4CAA">
            <w:pPr>
              <w:pStyle w:val="NoSpacing"/>
              <w:rPr>
                <w:b/>
                <w:bCs/>
              </w:rPr>
            </w:pPr>
            <w:r w:rsidRPr="00B457B5">
              <w:rPr>
                <w:b/>
                <w:bCs/>
              </w:rPr>
              <w:t>Clay</w:t>
            </w:r>
          </w:p>
        </w:tc>
        <w:tc>
          <w:tcPr>
            <w:tcW w:w="1255" w:type="dxa"/>
            <w:tcBorders>
              <w:bottom w:val="single" w:sz="4" w:space="0" w:color="auto"/>
            </w:tcBorders>
          </w:tcPr>
          <w:p w14:paraId="309FDDD8" w14:textId="3B981528" w:rsidR="006C79D5" w:rsidRPr="00B457B5" w:rsidRDefault="006C79D5" w:rsidP="00AF4CAA">
            <w:pPr>
              <w:pStyle w:val="NoSpacing"/>
              <w:rPr>
                <w:b/>
                <w:bCs/>
              </w:rPr>
            </w:pPr>
            <w:r w:rsidRPr="00B457B5">
              <w:rPr>
                <w:b/>
                <w:bCs/>
              </w:rPr>
              <w:t>Troup</w:t>
            </w:r>
          </w:p>
        </w:tc>
      </w:tr>
      <w:tr w:rsidR="006C79D5" w14:paraId="63EABD2E" w14:textId="000E6AAF" w:rsidTr="006C79D5">
        <w:tc>
          <w:tcPr>
            <w:tcW w:w="1806" w:type="dxa"/>
            <w:tcBorders>
              <w:top w:val="single" w:sz="4" w:space="0" w:color="auto"/>
              <w:right w:val="single" w:sz="4" w:space="0" w:color="auto"/>
            </w:tcBorders>
          </w:tcPr>
          <w:p w14:paraId="22729A99" w14:textId="7AA4469B" w:rsidR="006C79D5" w:rsidRDefault="006C79D5" w:rsidP="00AF4CAA">
            <w:pPr>
              <w:pStyle w:val="NoSpacing"/>
            </w:pPr>
            <w:r w:rsidRPr="00672853">
              <w:t>Mass</w:t>
            </w:r>
            <w:r w:rsidR="009108B5">
              <w:t>achusetts</w:t>
            </w:r>
          </w:p>
        </w:tc>
        <w:tc>
          <w:tcPr>
            <w:tcW w:w="1574" w:type="dxa"/>
            <w:tcBorders>
              <w:top w:val="single" w:sz="4" w:space="0" w:color="auto"/>
              <w:left w:val="single" w:sz="4" w:space="0" w:color="auto"/>
              <w:right w:val="single" w:sz="4" w:space="0" w:color="auto"/>
            </w:tcBorders>
          </w:tcPr>
          <w:p w14:paraId="21A1A45E" w14:textId="3F0CF37A" w:rsidR="006C79D5" w:rsidRDefault="006C79D5" w:rsidP="00AF4CAA">
            <w:pPr>
              <w:pStyle w:val="NoSpacing"/>
            </w:pPr>
            <w:r w:rsidRPr="005A3471">
              <w:t>23</w:t>
            </w:r>
          </w:p>
        </w:tc>
        <w:tc>
          <w:tcPr>
            <w:tcW w:w="1588" w:type="dxa"/>
            <w:tcBorders>
              <w:top w:val="single" w:sz="4" w:space="0" w:color="auto"/>
              <w:left w:val="single" w:sz="4" w:space="0" w:color="auto"/>
            </w:tcBorders>
          </w:tcPr>
          <w:p w14:paraId="512B7A3F" w14:textId="702B9C1C" w:rsidR="006C79D5" w:rsidRDefault="006C79D5" w:rsidP="00AF4CAA">
            <w:pPr>
              <w:pStyle w:val="NoSpacing"/>
            </w:pPr>
            <w:r w:rsidRPr="005A3471">
              <w:t>5</w:t>
            </w:r>
          </w:p>
        </w:tc>
        <w:tc>
          <w:tcPr>
            <w:tcW w:w="1581" w:type="dxa"/>
            <w:tcBorders>
              <w:top w:val="single" w:sz="4" w:space="0" w:color="auto"/>
            </w:tcBorders>
          </w:tcPr>
          <w:p w14:paraId="0BFDA366" w14:textId="69A85075" w:rsidR="006C79D5" w:rsidRDefault="006C79D5" w:rsidP="00AF4CAA">
            <w:pPr>
              <w:pStyle w:val="NoSpacing"/>
            </w:pPr>
            <w:r w:rsidRPr="003F21FA">
              <w:t>18</w:t>
            </w:r>
          </w:p>
        </w:tc>
        <w:tc>
          <w:tcPr>
            <w:tcW w:w="1556" w:type="dxa"/>
            <w:tcBorders>
              <w:top w:val="single" w:sz="4" w:space="0" w:color="auto"/>
            </w:tcBorders>
          </w:tcPr>
          <w:p w14:paraId="1C7231BC" w14:textId="4CE1FEBE" w:rsidR="006C79D5" w:rsidRDefault="006C79D5" w:rsidP="00AF4CAA">
            <w:pPr>
              <w:pStyle w:val="NoSpacing"/>
            </w:pPr>
            <w:r w:rsidRPr="005A3471">
              <w:t>0</w:t>
            </w:r>
          </w:p>
        </w:tc>
        <w:tc>
          <w:tcPr>
            <w:tcW w:w="1255" w:type="dxa"/>
            <w:tcBorders>
              <w:top w:val="single" w:sz="4" w:space="0" w:color="auto"/>
            </w:tcBorders>
          </w:tcPr>
          <w:p w14:paraId="441F6C6D" w14:textId="1E2C90F7" w:rsidR="006C79D5" w:rsidRPr="00F330C5" w:rsidRDefault="006C79D5" w:rsidP="00AF4CAA">
            <w:pPr>
              <w:pStyle w:val="NoSpacing"/>
            </w:pPr>
            <w:r w:rsidRPr="005A3471">
              <w:t>0</w:t>
            </w:r>
          </w:p>
        </w:tc>
      </w:tr>
      <w:tr w:rsidR="006C79D5" w14:paraId="6FBD2968" w14:textId="048F7BED" w:rsidTr="006C79D5">
        <w:tc>
          <w:tcPr>
            <w:tcW w:w="1806" w:type="dxa"/>
            <w:tcBorders>
              <w:right w:val="single" w:sz="4" w:space="0" w:color="auto"/>
            </w:tcBorders>
          </w:tcPr>
          <w:p w14:paraId="3F687D48" w14:textId="7472B8B6" w:rsidR="006C79D5" w:rsidRDefault="006C79D5" w:rsidP="00AF4CAA">
            <w:pPr>
              <w:pStyle w:val="NoSpacing"/>
            </w:pPr>
            <w:r w:rsidRPr="00672853">
              <w:t>New Hamp</w:t>
            </w:r>
            <w:r w:rsidR="009108B5">
              <w:t>shire</w:t>
            </w:r>
          </w:p>
        </w:tc>
        <w:tc>
          <w:tcPr>
            <w:tcW w:w="1574" w:type="dxa"/>
            <w:tcBorders>
              <w:left w:val="single" w:sz="4" w:space="0" w:color="auto"/>
              <w:right w:val="single" w:sz="4" w:space="0" w:color="auto"/>
            </w:tcBorders>
          </w:tcPr>
          <w:p w14:paraId="269AF864" w14:textId="64EBCA4D" w:rsidR="006C79D5" w:rsidRDefault="006C79D5" w:rsidP="00AF4CAA">
            <w:pPr>
              <w:pStyle w:val="NoSpacing"/>
            </w:pPr>
            <w:r w:rsidRPr="005A3471">
              <w:t>8</w:t>
            </w:r>
          </w:p>
        </w:tc>
        <w:tc>
          <w:tcPr>
            <w:tcW w:w="1588" w:type="dxa"/>
            <w:tcBorders>
              <w:left w:val="single" w:sz="4" w:space="0" w:color="auto"/>
            </w:tcBorders>
          </w:tcPr>
          <w:p w14:paraId="2237E7E0" w14:textId="1EA08D51" w:rsidR="006C79D5" w:rsidRDefault="006C79D5" w:rsidP="00AF4CAA">
            <w:pPr>
              <w:pStyle w:val="NoSpacing"/>
            </w:pPr>
            <w:r w:rsidRPr="005A3471">
              <w:t>4</w:t>
            </w:r>
          </w:p>
        </w:tc>
        <w:tc>
          <w:tcPr>
            <w:tcW w:w="1581" w:type="dxa"/>
          </w:tcPr>
          <w:p w14:paraId="55C74428" w14:textId="79238EAA" w:rsidR="006C79D5" w:rsidRDefault="006C79D5" w:rsidP="00AF4CAA">
            <w:pPr>
              <w:pStyle w:val="NoSpacing"/>
            </w:pPr>
            <w:r w:rsidRPr="003F21FA">
              <w:t>3</w:t>
            </w:r>
          </w:p>
        </w:tc>
        <w:tc>
          <w:tcPr>
            <w:tcW w:w="1556" w:type="dxa"/>
          </w:tcPr>
          <w:p w14:paraId="588E8CD2" w14:textId="54DCF63D" w:rsidR="006C79D5" w:rsidRDefault="006C79D5" w:rsidP="00AF4CAA">
            <w:pPr>
              <w:pStyle w:val="NoSpacing"/>
            </w:pPr>
            <w:r w:rsidRPr="005A3471">
              <w:t>1</w:t>
            </w:r>
          </w:p>
        </w:tc>
        <w:tc>
          <w:tcPr>
            <w:tcW w:w="1255" w:type="dxa"/>
          </w:tcPr>
          <w:p w14:paraId="0F91EA8C" w14:textId="22BC2719" w:rsidR="006C79D5" w:rsidRPr="00F330C5" w:rsidRDefault="006C79D5" w:rsidP="00AF4CAA">
            <w:pPr>
              <w:pStyle w:val="NoSpacing"/>
            </w:pPr>
            <w:r w:rsidRPr="005A3471">
              <w:t>0</w:t>
            </w:r>
          </w:p>
        </w:tc>
      </w:tr>
      <w:tr w:rsidR="006C79D5" w14:paraId="4A71E71B" w14:textId="6BDFC038" w:rsidTr="006C79D5">
        <w:tc>
          <w:tcPr>
            <w:tcW w:w="1806" w:type="dxa"/>
            <w:tcBorders>
              <w:right w:val="single" w:sz="4" w:space="0" w:color="auto"/>
            </w:tcBorders>
          </w:tcPr>
          <w:p w14:paraId="46EA61CF" w14:textId="65D2C889" w:rsidR="006C79D5" w:rsidRDefault="006C79D5" w:rsidP="00AF4CAA">
            <w:pPr>
              <w:pStyle w:val="NoSpacing"/>
            </w:pPr>
            <w:r w:rsidRPr="00672853">
              <w:t>Vermont</w:t>
            </w:r>
          </w:p>
        </w:tc>
        <w:tc>
          <w:tcPr>
            <w:tcW w:w="1574" w:type="dxa"/>
            <w:tcBorders>
              <w:left w:val="single" w:sz="4" w:space="0" w:color="auto"/>
              <w:right w:val="single" w:sz="4" w:space="0" w:color="auto"/>
            </w:tcBorders>
          </w:tcPr>
          <w:p w14:paraId="28B712C0" w14:textId="2B254AC0" w:rsidR="006C79D5" w:rsidRDefault="006C79D5" w:rsidP="00AF4CAA">
            <w:pPr>
              <w:pStyle w:val="NoSpacing"/>
            </w:pPr>
            <w:r w:rsidRPr="005A3471">
              <w:t>7</w:t>
            </w:r>
          </w:p>
        </w:tc>
        <w:tc>
          <w:tcPr>
            <w:tcW w:w="1588" w:type="dxa"/>
            <w:tcBorders>
              <w:left w:val="single" w:sz="4" w:space="0" w:color="auto"/>
            </w:tcBorders>
          </w:tcPr>
          <w:p w14:paraId="12570D58" w14:textId="4005663C" w:rsidR="006C79D5" w:rsidRDefault="006C79D5" w:rsidP="00AF4CAA">
            <w:pPr>
              <w:pStyle w:val="NoSpacing"/>
            </w:pPr>
            <w:r w:rsidRPr="005A3471">
              <w:t>1</w:t>
            </w:r>
          </w:p>
        </w:tc>
        <w:tc>
          <w:tcPr>
            <w:tcW w:w="1581" w:type="dxa"/>
          </w:tcPr>
          <w:p w14:paraId="30A7A849" w14:textId="6424FAC1" w:rsidR="006C79D5" w:rsidRDefault="006C79D5" w:rsidP="00AF4CAA">
            <w:pPr>
              <w:pStyle w:val="NoSpacing"/>
            </w:pPr>
            <w:r w:rsidRPr="003F21FA">
              <w:t>6</w:t>
            </w:r>
          </w:p>
        </w:tc>
        <w:tc>
          <w:tcPr>
            <w:tcW w:w="1556" w:type="dxa"/>
          </w:tcPr>
          <w:p w14:paraId="2AEFBEA7" w14:textId="0468CBB3" w:rsidR="006C79D5" w:rsidRDefault="006C79D5" w:rsidP="00AF4CAA">
            <w:pPr>
              <w:pStyle w:val="NoSpacing"/>
            </w:pPr>
            <w:r w:rsidRPr="005A3471">
              <w:t>0</w:t>
            </w:r>
          </w:p>
        </w:tc>
        <w:tc>
          <w:tcPr>
            <w:tcW w:w="1255" w:type="dxa"/>
          </w:tcPr>
          <w:p w14:paraId="01DE0980" w14:textId="0E9CDEA9" w:rsidR="006C79D5" w:rsidRPr="00F330C5" w:rsidRDefault="006C79D5" w:rsidP="00AF4CAA">
            <w:pPr>
              <w:pStyle w:val="NoSpacing"/>
            </w:pPr>
            <w:r w:rsidRPr="005A3471">
              <w:t>0</w:t>
            </w:r>
          </w:p>
        </w:tc>
      </w:tr>
      <w:tr w:rsidR="006C79D5" w14:paraId="2E6F0C0C" w14:textId="3E1F2F5E" w:rsidTr="006C79D5">
        <w:tc>
          <w:tcPr>
            <w:tcW w:w="1806" w:type="dxa"/>
            <w:tcBorders>
              <w:right w:val="single" w:sz="4" w:space="0" w:color="auto"/>
            </w:tcBorders>
          </w:tcPr>
          <w:p w14:paraId="0EBBD9DE" w14:textId="1D181A0E" w:rsidR="006C79D5" w:rsidRDefault="006C79D5" w:rsidP="00AF4CAA">
            <w:pPr>
              <w:pStyle w:val="NoSpacing"/>
            </w:pPr>
            <w:r w:rsidRPr="00672853">
              <w:t>Rhode Is</w:t>
            </w:r>
            <w:r w:rsidR="009108B5">
              <w:t>land</w:t>
            </w:r>
          </w:p>
        </w:tc>
        <w:tc>
          <w:tcPr>
            <w:tcW w:w="1574" w:type="dxa"/>
            <w:tcBorders>
              <w:left w:val="single" w:sz="4" w:space="0" w:color="auto"/>
              <w:right w:val="single" w:sz="4" w:space="0" w:color="auto"/>
            </w:tcBorders>
          </w:tcPr>
          <w:p w14:paraId="57A1D211" w14:textId="0803F7E9" w:rsidR="006C79D5" w:rsidRDefault="006C79D5" w:rsidP="00AF4CAA">
            <w:pPr>
              <w:pStyle w:val="NoSpacing"/>
            </w:pPr>
            <w:r w:rsidRPr="005A3471">
              <w:t>5</w:t>
            </w:r>
          </w:p>
        </w:tc>
        <w:tc>
          <w:tcPr>
            <w:tcW w:w="1588" w:type="dxa"/>
            <w:tcBorders>
              <w:left w:val="single" w:sz="4" w:space="0" w:color="auto"/>
            </w:tcBorders>
          </w:tcPr>
          <w:p w14:paraId="7604CDC2" w14:textId="1043B52D" w:rsidR="006C79D5" w:rsidRDefault="006C79D5" w:rsidP="00AF4CAA">
            <w:pPr>
              <w:pStyle w:val="NoSpacing"/>
            </w:pPr>
            <w:r w:rsidRPr="005A3471">
              <w:t>2</w:t>
            </w:r>
          </w:p>
        </w:tc>
        <w:tc>
          <w:tcPr>
            <w:tcW w:w="1581" w:type="dxa"/>
          </w:tcPr>
          <w:p w14:paraId="315687C9" w14:textId="79B4A6A3" w:rsidR="006C79D5" w:rsidRDefault="006C79D5" w:rsidP="00AF4CAA">
            <w:pPr>
              <w:pStyle w:val="NoSpacing"/>
            </w:pPr>
            <w:r w:rsidRPr="003F21FA">
              <w:t>2</w:t>
            </w:r>
          </w:p>
        </w:tc>
        <w:tc>
          <w:tcPr>
            <w:tcW w:w="1556" w:type="dxa"/>
          </w:tcPr>
          <w:p w14:paraId="5FA3EAAE" w14:textId="1FD993C9" w:rsidR="006C79D5" w:rsidRDefault="006C79D5" w:rsidP="00AF4CAA">
            <w:pPr>
              <w:pStyle w:val="NoSpacing"/>
            </w:pPr>
            <w:r w:rsidRPr="005A3471">
              <w:t>1</w:t>
            </w:r>
          </w:p>
        </w:tc>
        <w:tc>
          <w:tcPr>
            <w:tcW w:w="1255" w:type="dxa"/>
          </w:tcPr>
          <w:p w14:paraId="4D690802" w14:textId="5DDE079B" w:rsidR="006C79D5" w:rsidRPr="00F330C5" w:rsidRDefault="006C79D5" w:rsidP="00AF4CAA">
            <w:pPr>
              <w:pStyle w:val="NoSpacing"/>
            </w:pPr>
            <w:r w:rsidRPr="005A3471">
              <w:t>0</w:t>
            </w:r>
          </w:p>
        </w:tc>
      </w:tr>
      <w:tr w:rsidR="006C79D5" w14:paraId="76BBA879" w14:textId="516523EB" w:rsidTr="006C79D5">
        <w:tc>
          <w:tcPr>
            <w:tcW w:w="1806" w:type="dxa"/>
            <w:tcBorders>
              <w:right w:val="single" w:sz="4" w:space="0" w:color="auto"/>
            </w:tcBorders>
          </w:tcPr>
          <w:p w14:paraId="752E0558" w14:textId="25F1551E" w:rsidR="006C79D5" w:rsidRDefault="006C79D5" w:rsidP="00AF4CAA">
            <w:pPr>
              <w:pStyle w:val="NoSpacing"/>
            </w:pPr>
            <w:r w:rsidRPr="00672853">
              <w:t>Conn</w:t>
            </w:r>
            <w:r w:rsidR="009108B5">
              <w:t>ecticut</w:t>
            </w:r>
          </w:p>
        </w:tc>
        <w:tc>
          <w:tcPr>
            <w:tcW w:w="1574" w:type="dxa"/>
            <w:tcBorders>
              <w:left w:val="single" w:sz="4" w:space="0" w:color="auto"/>
              <w:right w:val="single" w:sz="4" w:space="0" w:color="auto"/>
            </w:tcBorders>
          </w:tcPr>
          <w:p w14:paraId="018FEAC6" w14:textId="2C33A8FE" w:rsidR="006C79D5" w:rsidRDefault="006C79D5" w:rsidP="00AF4CAA">
            <w:pPr>
              <w:pStyle w:val="NoSpacing"/>
            </w:pPr>
            <w:r w:rsidRPr="005A3471">
              <w:t>10</w:t>
            </w:r>
          </w:p>
        </w:tc>
        <w:tc>
          <w:tcPr>
            <w:tcW w:w="1588" w:type="dxa"/>
            <w:tcBorders>
              <w:left w:val="single" w:sz="4" w:space="0" w:color="auto"/>
            </w:tcBorders>
          </w:tcPr>
          <w:p w14:paraId="092E4D54" w14:textId="37FD7593" w:rsidR="006C79D5" w:rsidRDefault="006C79D5" w:rsidP="00AF4CAA">
            <w:pPr>
              <w:pStyle w:val="NoSpacing"/>
            </w:pPr>
            <w:r w:rsidRPr="005A3471">
              <w:t>6</w:t>
            </w:r>
          </w:p>
        </w:tc>
        <w:tc>
          <w:tcPr>
            <w:tcW w:w="1581" w:type="dxa"/>
          </w:tcPr>
          <w:p w14:paraId="5059471D" w14:textId="2269A3F7" w:rsidR="006C79D5" w:rsidRDefault="006C79D5" w:rsidP="00AF4CAA">
            <w:pPr>
              <w:pStyle w:val="NoSpacing"/>
            </w:pPr>
            <w:r w:rsidRPr="003F21FA">
              <w:t>4</w:t>
            </w:r>
          </w:p>
        </w:tc>
        <w:tc>
          <w:tcPr>
            <w:tcW w:w="1556" w:type="dxa"/>
          </w:tcPr>
          <w:p w14:paraId="0C0A0056" w14:textId="2A3A7500" w:rsidR="006C79D5" w:rsidRDefault="006C79D5" w:rsidP="00AF4CAA">
            <w:pPr>
              <w:pStyle w:val="NoSpacing"/>
            </w:pPr>
            <w:r w:rsidRPr="005A3471">
              <w:t>0</w:t>
            </w:r>
          </w:p>
        </w:tc>
        <w:tc>
          <w:tcPr>
            <w:tcW w:w="1255" w:type="dxa"/>
          </w:tcPr>
          <w:p w14:paraId="301FDD7E" w14:textId="753FAC3A" w:rsidR="006C79D5" w:rsidRPr="00F330C5" w:rsidRDefault="006C79D5" w:rsidP="00AF4CAA">
            <w:pPr>
              <w:pStyle w:val="NoSpacing"/>
            </w:pPr>
            <w:r w:rsidRPr="005A3471">
              <w:t>0</w:t>
            </w:r>
          </w:p>
        </w:tc>
      </w:tr>
      <w:tr w:rsidR="006C79D5" w14:paraId="1508FC31" w14:textId="5180EC8F" w:rsidTr="006C79D5">
        <w:tc>
          <w:tcPr>
            <w:tcW w:w="1806" w:type="dxa"/>
            <w:tcBorders>
              <w:right w:val="single" w:sz="4" w:space="0" w:color="auto"/>
            </w:tcBorders>
          </w:tcPr>
          <w:p w14:paraId="183B23DE" w14:textId="3CD054DC" w:rsidR="006C79D5" w:rsidRDefault="006C79D5" w:rsidP="00AF4CAA">
            <w:pPr>
              <w:pStyle w:val="NoSpacing"/>
            </w:pPr>
            <w:r w:rsidRPr="00672853">
              <w:t>New York</w:t>
            </w:r>
          </w:p>
        </w:tc>
        <w:tc>
          <w:tcPr>
            <w:tcW w:w="1574" w:type="dxa"/>
            <w:tcBorders>
              <w:left w:val="single" w:sz="4" w:space="0" w:color="auto"/>
              <w:right w:val="single" w:sz="4" w:space="0" w:color="auto"/>
            </w:tcBorders>
          </w:tcPr>
          <w:p w14:paraId="2FDBC382" w14:textId="0F77E556" w:rsidR="006C79D5" w:rsidRDefault="006C79D5" w:rsidP="00AF4CAA">
            <w:pPr>
              <w:pStyle w:val="NoSpacing"/>
            </w:pPr>
            <w:r w:rsidRPr="005A3471">
              <w:t>44</w:t>
            </w:r>
          </w:p>
        </w:tc>
        <w:tc>
          <w:tcPr>
            <w:tcW w:w="1588" w:type="dxa"/>
            <w:tcBorders>
              <w:left w:val="single" w:sz="4" w:space="0" w:color="auto"/>
            </w:tcBorders>
          </w:tcPr>
          <w:p w14:paraId="1CE80D1F" w14:textId="42CF1C52" w:rsidR="006C79D5" w:rsidRDefault="006C79D5" w:rsidP="00AF4CAA">
            <w:pPr>
              <w:pStyle w:val="NoSpacing"/>
            </w:pPr>
            <w:r w:rsidRPr="005A3471">
              <w:t>20</w:t>
            </w:r>
          </w:p>
        </w:tc>
        <w:tc>
          <w:tcPr>
            <w:tcW w:w="1581" w:type="dxa"/>
          </w:tcPr>
          <w:p w14:paraId="0D4C2F43" w14:textId="49C4122C" w:rsidR="006C79D5" w:rsidRDefault="006C79D5" w:rsidP="00AF4CAA">
            <w:pPr>
              <w:pStyle w:val="NoSpacing"/>
            </w:pPr>
            <w:r w:rsidRPr="003F21FA">
              <w:t>20</w:t>
            </w:r>
          </w:p>
        </w:tc>
        <w:tc>
          <w:tcPr>
            <w:tcW w:w="1556" w:type="dxa"/>
          </w:tcPr>
          <w:p w14:paraId="3EBDDE61" w14:textId="722C7D96" w:rsidR="006C79D5" w:rsidRDefault="006C79D5" w:rsidP="00AF4CAA">
            <w:pPr>
              <w:pStyle w:val="NoSpacing"/>
            </w:pPr>
            <w:r w:rsidRPr="005A3471">
              <w:t>4</w:t>
            </w:r>
          </w:p>
        </w:tc>
        <w:tc>
          <w:tcPr>
            <w:tcW w:w="1255" w:type="dxa"/>
          </w:tcPr>
          <w:p w14:paraId="5A001638" w14:textId="34DABA00" w:rsidR="006C79D5" w:rsidRPr="00F330C5" w:rsidRDefault="006C79D5" w:rsidP="00AF4CAA">
            <w:pPr>
              <w:pStyle w:val="NoSpacing"/>
            </w:pPr>
            <w:r w:rsidRPr="005A3471">
              <w:t>0</w:t>
            </w:r>
          </w:p>
        </w:tc>
      </w:tr>
      <w:tr w:rsidR="006C79D5" w14:paraId="068827A1" w14:textId="50614E3D" w:rsidTr="006C79D5">
        <w:tc>
          <w:tcPr>
            <w:tcW w:w="1806" w:type="dxa"/>
            <w:tcBorders>
              <w:right w:val="single" w:sz="4" w:space="0" w:color="auto"/>
            </w:tcBorders>
          </w:tcPr>
          <w:p w14:paraId="14BFAC2F" w14:textId="053F18EC" w:rsidR="006C79D5" w:rsidRDefault="006C79D5" w:rsidP="00AF4CAA">
            <w:pPr>
              <w:pStyle w:val="NoSpacing"/>
            </w:pPr>
            <w:r w:rsidRPr="00672853">
              <w:t>Penn</w:t>
            </w:r>
            <w:r w:rsidR="009108B5">
              <w:t>sylvania</w:t>
            </w:r>
          </w:p>
        </w:tc>
        <w:tc>
          <w:tcPr>
            <w:tcW w:w="1574" w:type="dxa"/>
            <w:tcBorders>
              <w:left w:val="single" w:sz="4" w:space="0" w:color="auto"/>
              <w:right w:val="single" w:sz="4" w:space="0" w:color="auto"/>
            </w:tcBorders>
          </w:tcPr>
          <w:p w14:paraId="183D4C63" w14:textId="15222B0D" w:rsidR="006C79D5" w:rsidRDefault="006C79D5" w:rsidP="00AF4CAA">
            <w:pPr>
              <w:pStyle w:val="NoSpacing"/>
            </w:pPr>
            <w:r w:rsidRPr="005A3471">
              <w:t>32</w:t>
            </w:r>
          </w:p>
        </w:tc>
        <w:tc>
          <w:tcPr>
            <w:tcW w:w="1588" w:type="dxa"/>
            <w:tcBorders>
              <w:left w:val="single" w:sz="4" w:space="0" w:color="auto"/>
            </w:tcBorders>
          </w:tcPr>
          <w:p w14:paraId="02A8261E" w14:textId="3B2C0690" w:rsidR="006C79D5" w:rsidRDefault="00E40766" w:rsidP="00AF4CAA">
            <w:pPr>
              <w:pStyle w:val="NoSpacing"/>
            </w:pPr>
            <w:r>
              <w:t>14</w:t>
            </w:r>
          </w:p>
        </w:tc>
        <w:tc>
          <w:tcPr>
            <w:tcW w:w="1581" w:type="dxa"/>
          </w:tcPr>
          <w:p w14:paraId="07CB1090" w14:textId="01F9FADA" w:rsidR="006C79D5" w:rsidRDefault="006C79D5" w:rsidP="00AF4CAA">
            <w:pPr>
              <w:pStyle w:val="NoSpacing"/>
            </w:pPr>
            <w:r w:rsidRPr="003F21FA">
              <w:t>8</w:t>
            </w:r>
          </w:p>
        </w:tc>
        <w:tc>
          <w:tcPr>
            <w:tcW w:w="1556" w:type="dxa"/>
          </w:tcPr>
          <w:p w14:paraId="1447189E" w14:textId="7C6481AF" w:rsidR="006C79D5" w:rsidRDefault="00E40766" w:rsidP="00AF4CAA">
            <w:pPr>
              <w:pStyle w:val="NoSpacing"/>
            </w:pPr>
            <w:r>
              <w:t>10</w:t>
            </w:r>
          </w:p>
        </w:tc>
        <w:tc>
          <w:tcPr>
            <w:tcW w:w="1255" w:type="dxa"/>
          </w:tcPr>
          <w:p w14:paraId="40036994" w14:textId="00BF1E38" w:rsidR="006C79D5" w:rsidRPr="00F330C5" w:rsidRDefault="006C79D5" w:rsidP="00AF4CAA">
            <w:pPr>
              <w:pStyle w:val="NoSpacing"/>
            </w:pPr>
            <w:r w:rsidRPr="005A3471">
              <w:t>0</w:t>
            </w:r>
          </w:p>
        </w:tc>
      </w:tr>
      <w:tr w:rsidR="006C79D5" w14:paraId="605584DA" w14:textId="5DF6306D" w:rsidTr="006C79D5">
        <w:tc>
          <w:tcPr>
            <w:tcW w:w="1806" w:type="dxa"/>
            <w:tcBorders>
              <w:right w:val="single" w:sz="4" w:space="0" w:color="auto"/>
            </w:tcBorders>
          </w:tcPr>
          <w:p w14:paraId="30650599" w14:textId="298C4069" w:rsidR="006C79D5" w:rsidRDefault="006C79D5" w:rsidP="00AF4CAA">
            <w:pPr>
              <w:pStyle w:val="NoSpacing"/>
            </w:pPr>
            <w:r w:rsidRPr="00672853">
              <w:t>New Jersey</w:t>
            </w:r>
          </w:p>
        </w:tc>
        <w:tc>
          <w:tcPr>
            <w:tcW w:w="1574" w:type="dxa"/>
            <w:tcBorders>
              <w:left w:val="single" w:sz="4" w:space="0" w:color="auto"/>
              <w:right w:val="single" w:sz="4" w:space="0" w:color="auto"/>
            </w:tcBorders>
          </w:tcPr>
          <w:p w14:paraId="2E947FF5" w14:textId="23FB7865" w:rsidR="006C79D5" w:rsidRDefault="006C79D5" w:rsidP="00AF4CAA">
            <w:pPr>
              <w:pStyle w:val="NoSpacing"/>
            </w:pPr>
            <w:r w:rsidRPr="005A3471">
              <w:t>9</w:t>
            </w:r>
          </w:p>
        </w:tc>
        <w:tc>
          <w:tcPr>
            <w:tcW w:w="1588" w:type="dxa"/>
            <w:tcBorders>
              <w:left w:val="single" w:sz="4" w:space="0" w:color="auto"/>
            </w:tcBorders>
          </w:tcPr>
          <w:p w14:paraId="11FDB322" w14:textId="0A94E467" w:rsidR="006C79D5" w:rsidRDefault="006C79D5" w:rsidP="00AF4CAA">
            <w:pPr>
              <w:pStyle w:val="NoSpacing"/>
            </w:pPr>
            <w:r w:rsidRPr="005A3471">
              <w:t>8</w:t>
            </w:r>
          </w:p>
        </w:tc>
        <w:tc>
          <w:tcPr>
            <w:tcW w:w="1581" w:type="dxa"/>
          </w:tcPr>
          <w:p w14:paraId="4CCDE85E" w14:textId="6E194101" w:rsidR="006C79D5" w:rsidRDefault="006C79D5" w:rsidP="00AF4CAA">
            <w:pPr>
              <w:pStyle w:val="NoSpacing"/>
            </w:pPr>
            <w:r w:rsidRPr="003F21FA">
              <w:t>0</w:t>
            </w:r>
          </w:p>
        </w:tc>
        <w:tc>
          <w:tcPr>
            <w:tcW w:w="1556" w:type="dxa"/>
          </w:tcPr>
          <w:p w14:paraId="12584B82" w14:textId="5FD1B365" w:rsidR="006C79D5" w:rsidRDefault="006C79D5" w:rsidP="00AF4CAA">
            <w:pPr>
              <w:pStyle w:val="NoSpacing"/>
            </w:pPr>
            <w:r w:rsidRPr="005A3471">
              <w:t>1</w:t>
            </w:r>
          </w:p>
        </w:tc>
        <w:tc>
          <w:tcPr>
            <w:tcW w:w="1255" w:type="dxa"/>
          </w:tcPr>
          <w:p w14:paraId="48ACA162" w14:textId="63F840C0" w:rsidR="006C79D5" w:rsidRPr="00F330C5" w:rsidRDefault="006C79D5" w:rsidP="00AF4CAA">
            <w:pPr>
              <w:pStyle w:val="NoSpacing"/>
            </w:pPr>
            <w:r w:rsidRPr="005A3471">
              <w:t>0</w:t>
            </w:r>
          </w:p>
        </w:tc>
      </w:tr>
      <w:tr w:rsidR="006C79D5" w14:paraId="7F4F66D8" w14:textId="21B81A00" w:rsidTr="006C79D5">
        <w:tc>
          <w:tcPr>
            <w:tcW w:w="1806" w:type="dxa"/>
            <w:tcBorders>
              <w:right w:val="single" w:sz="4" w:space="0" w:color="auto"/>
            </w:tcBorders>
          </w:tcPr>
          <w:p w14:paraId="4BD69C1A" w14:textId="1CAF3A9E" w:rsidR="006C79D5" w:rsidRDefault="006C79D5" w:rsidP="00AF4CAA">
            <w:pPr>
              <w:pStyle w:val="NoSpacing"/>
            </w:pPr>
            <w:r w:rsidRPr="00672853">
              <w:t>Delaware</w:t>
            </w:r>
          </w:p>
        </w:tc>
        <w:tc>
          <w:tcPr>
            <w:tcW w:w="1574" w:type="dxa"/>
            <w:tcBorders>
              <w:left w:val="single" w:sz="4" w:space="0" w:color="auto"/>
              <w:right w:val="single" w:sz="4" w:space="0" w:color="auto"/>
            </w:tcBorders>
          </w:tcPr>
          <w:p w14:paraId="032F636C" w14:textId="2FE628E9" w:rsidR="006C79D5" w:rsidRDefault="006C79D5" w:rsidP="00AF4CAA">
            <w:pPr>
              <w:pStyle w:val="NoSpacing"/>
            </w:pPr>
            <w:r w:rsidRPr="005A3471">
              <w:t>3</w:t>
            </w:r>
          </w:p>
        </w:tc>
        <w:tc>
          <w:tcPr>
            <w:tcW w:w="1588" w:type="dxa"/>
            <w:tcBorders>
              <w:left w:val="single" w:sz="4" w:space="0" w:color="auto"/>
            </w:tcBorders>
          </w:tcPr>
          <w:p w14:paraId="4C05CEC5" w14:textId="7164A780" w:rsidR="006C79D5" w:rsidRDefault="006C79D5" w:rsidP="00AF4CAA">
            <w:pPr>
              <w:pStyle w:val="NoSpacing"/>
            </w:pPr>
            <w:r w:rsidRPr="005A3471">
              <w:t>0</w:t>
            </w:r>
          </w:p>
        </w:tc>
        <w:tc>
          <w:tcPr>
            <w:tcW w:w="1581" w:type="dxa"/>
          </w:tcPr>
          <w:p w14:paraId="15DA3FAD" w14:textId="59DFABF7" w:rsidR="006C79D5" w:rsidRDefault="006C79D5" w:rsidP="00AF4CAA">
            <w:pPr>
              <w:pStyle w:val="NoSpacing"/>
            </w:pPr>
            <w:r w:rsidRPr="003F21FA">
              <w:t>0</w:t>
            </w:r>
          </w:p>
        </w:tc>
        <w:tc>
          <w:tcPr>
            <w:tcW w:w="1556" w:type="dxa"/>
          </w:tcPr>
          <w:p w14:paraId="70C98DBC" w14:textId="3A853045" w:rsidR="006C79D5" w:rsidRDefault="006C79D5" w:rsidP="00AF4CAA">
            <w:pPr>
              <w:pStyle w:val="NoSpacing"/>
            </w:pPr>
            <w:r w:rsidRPr="005A3471">
              <w:t>3</w:t>
            </w:r>
          </w:p>
        </w:tc>
        <w:tc>
          <w:tcPr>
            <w:tcW w:w="1255" w:type="dxa"/>
          </w:tcPr>
          <w:p w14:paraId="2ECA2CF8" w14:textId="31C77AA4" w:rsidR="006C79D5" w:rsidRPr="00F330C5" w:rsidRDefault="006C79D5" w:rsidP="00AF4CAA">
            <w:pPr>
              <w:pStyle w:val="NoSpacing"/>
            </w:pPr>
            <w:r w:rsidRPr="005A3471">
              <w:t>0</w:t>
            </w:r>
          </w:p>
        </w:tc>
      </w:tr>
      <w:tr w:rsidR="006C79D5" w14:paraId="4F088ECD" w14:textId="1D2BFE10" w:rsidTr="006C79D5">
        <w:tc>
          <w:tcPr>
            <w:tcW w:w="1806" w:type="dxa"/>
            <w:tcBorders>
              <w:right w:val="single" w:sz="4" w:space="0" w:color="auto"/>
            </w:tcBorders>
          </w:tcPr>
          <w:p w14:paraId="24296EEC" w14:textId="0ABAA2A2" w:rsidR="006C79D5" w:rsidRDefault="006C79D5" w:rsidP="00AF4CAA">
            <w:pPr>
              <w:pStyle w:val="NoSpacing"/>
            </w:pPr>
            <w:r w:rsidRPr="00672853">
              <w:t>Maryland</w:t>
            </w:r>
          </w:p>
        </w:tc>
        <w:tc>
          <w:tcPr>
            <w:tcW w:w="1574" w:type="dxa"/>
            <w:tcBorders>
              <w:left w:val="single" w:sz="4" w:space="0" w:color="auto"/>
              <w:right w:val="single" w:sz="4" w:space="0" w:color="auto"/>
            </w:tcBorders>
          </w:tcPr>
          <w:p w14:paraId="64911059" w14:textId="65AE47E3" w:rsidR="006C79D5" w:rsidRDefault="006C79D5" w:rsidP="00AF4CAA">
            <w:pPr>
              <w:pStyle w:val="NoSpacing"/>
            </w:pPr>
            <w:r w:rsidRPr="005A3471">
              <w:t>8</w:t>
            </w:r>
          </w:p>
        </w:tc>
        <w:tc>
          <w:tcPr>
            <w:tcW w:w="1588" w:type="dxa"/>
            <w:tcBorders>
              <w:left w:val="single" w:sz="4" w:space="0" w:color="auto"/>
            </w:tcBorders>
          </w:tcPr>
          <w:p w14:paraId="2C2D2483" w14:textId="6CAC8077" w:rsidR="006C79D5" w:rsidRDefault="006C79D5" w:rsidP="00AF4CAA">
            <w:pPr>
              <w:pStyle w:val="NoSpacing"/>
            </w:pPr>
            <w:r w:rsidRPr="005A3471">
              <w:t>6</w:t>
            </w:r>
          </w:p>
        </w:tc>
        <w:tc>
          <w:tcPr>
            <w:tcW w:w="1581" w:type="dxa"/>
          </w:tcPr>
          <w:p w14:paraId="5ADE8AEF" w14:textId="74D50329" w:rsidR="006C79D5" w:rsidRDefault="006C79D5" w:rsidP="00AF4CAA">
            <w:pPr>
              <w:pStyle w:val="NoSpacing"/>
            </w:pPr>
            <w:r w:rsidRPr="003F21FA">
              <w:t>0</w:t>
            </w:r>
          </w:p>
        </w:tc>
        <w:tc>
          <w:tcPr>
            <w:tcW w:w="1556" w:type="dxa"/>
          </w:tcPr>
          <w:p w14:paraId="2684C865" w14:textId="7A9397E4" w:rsidR="006C79D5" w:rsidRDefault="006C79D5" w:rsidP="00AF4CAA">
            <w:pPr>
              <w:pStyle w:val="NoSpacing"/>
            </w:pPr>
            <w:r w:rsidRPr="005A3471">
              <w:t>2</w:t>
            </w:r>
          </w:p>
        </w:tc>
        <w:tc>
          <w:tcPr>
            <w:tcW w:w="1255" w:type="dxa"/>
          </w:tcPr>
          <w:p w14:paraId="3BBE68BB" w14:textId="7734EF17" w:rsidR="006C79D5" w:rsidRPr="00F330C5" w:rsidRDefault="006C79D5" w:rsidP="00AF4CAA">
            <w:pPr>
              <w:pStyle w:val="NoSpacing"/>
            </w:pPr>
            <w:r w:rsidRPr="005A3471">
              <w:t>0</w:t>
            </w:r>
          </w:p>
        </w:tc>
      </w:tr>
      <w:tr w:rsidR="006C79D5" w14:paraId="567FECBC" w14:textId="12C49B43" w:rsidTr="006C79D5">
        <w:tc>
          <w:tcPr>
            <w:tcW w:w="1806" w:type="dxa"/>
            <w:tcBorders>
              <w:right w:val="single" w:sz="4" w:space="0" w:color="auto"/>
            </w:tcBorders>
          </w:tcPr>
          <w:p w14:paraId="165B2C96" w14:textId="075D3C7C" w:rsidR="006C79D5" w:rsidRDefault="006C79D5" w:rsidP="00AF4CAA">
            <w:pPr>
              <w:pStyle w:val="NoSpacing"/>
            </w:pPr>
            <w:r w:rsidRPr="00672853">
              <w:t>Ohio</w:t>
            </w:r>
          </w:p>
        </w:tc>
        <w:tc>
          <w:tcPr>
            <w:tcW w:w="1574" w:type="dxa"/>
            <w:tcBorders>
              <w:left w:val="single" w:sz="4" w:space="0" w:color="auto"/>
              <w:right w:val="single" w:sz="4" w:space="0" w:color="auto"/>
            </w:tcBorders>
          </w:tcPr>
          <w:p w14:paraId="42CA2F5D" w14:textId="5EFED136" w:rsidR="006C79D5" w:rsidRDefault="006C79D5" w:rsidP="00AF4CAA">
            <w:pPr>
              <w:pStyle w:val="NoSpacing"/>
            </w:pPr>
            <w:r w:rsidRPr="005A3471">
              <w:t>22</w:t>
            </w:r>
          </w:p>
        </w:tc>
        <w:tc>
          <w:tcPr>
            <w:tcW w:w="1588" w:type="dxa"/>
            <w:tcBorders>
              <w:left w:val="single" w:sz="4" w:space="0" w:color="auto"/>
            </w:tcBorders>
          </w:tcPr>
          <w:p w14:paraId="6187D774" w14:textId="36517879" w:rsidR="006C79D5" w:rsidRDefault="006C79D5" w:rsidP="00AF4CAA">
            <w:pPr>
              <w:pStyle w:val="NoSpacing"/>
            </w:pPr>
            <w:r w:rsidRPr="005A3471">
              <w:t>18</w:t>
            </w:r>
          </w:p>
        </w:tc>
        <w:tc>
          <w:tcPr>
            <w:tcW w:w="1581" w:type="dxa"/>
          </w:tcPr>
          <w:p w14:paraId="336160B9" w14:textId="2AE73355" w:rsidR="006C79D5" w:rsidRDefault="006C79D5" w:rsidP="00AF4CAA">
            <w:pPr>
              <w:pStyle w:val="NoSpacing"/>
            </w:pPr>
            <w:r w:rsidRPr="003F21FA">
              <w:t>2</w:t>
            </w:r>
          </w:p>
        </w:tc>
        <w:tc>
          <w:tcPr>
            <w:tcW w:w="1556" w:type="dxa"/>
          </w:tcPr>
          <w:p w14:paraId="39C85C0B" w14:textId="56A1ED3D" w:rsidR="006C79D5" w:rsidRDefault="006C79D5" w:rsidP="00AF4CAA">
            <w:pPr>
              <w:pStyle w:val="NoSpacing"/>
            </w:pPr>
            <w:r w:rsidRPr="005A3471">
              <w:t>2</w:t>
            </w:r>
          </w:p>
        </w:tc>
        <w:tc>
          <w:tcPr>
            <w:tcW w:w="1255" w:type="dxa"/>
          </w:tcPr>
          <w:p w14:paraId="1B851E34" w14:textId="10C01876" w:rsidR="006C79D5" w:rsidRPr="00F330C5" w:rsidRDefault="006C79D5" w:rsidP="00AF4CAA">
            <w:pPr>
              <w:pStyle w:val="NoSpacing"/>
            </w:pPr>
            <w:r w:rsidRPr="005A3471">
              <w:t>0</w:t>
            </w:r>
          </w:p>
        </w:tc>
      </w:tr>
      <w:tr w:rsidR="006C79D5" w14:paraId="6115F225" w14:textId="5CE46198" w:rsidTr="006C79D5">
        <w:tc>
          <w:tcPr>
            <w:tcW w:w="1806" w:type="dxa"/>
            <w:tcBorders>
              <w:right w:val="single" w:sz="4" w:space="0" w:color="auto"/>
            </w:tcBorders>
          </w:tcPr>
          <w:p w14:paraId="04A9C0DE" w14:textId="7EB087B0" w:rsidR="006C79D5" w:rsidRDefault="006C79D5" w:rsidP="00AF4CAA">
            <w:pPr>
              <w:pStyle w:val="NoSpacing"/>
            </w:pPr>
            <w:r w:rsidRPr="00672853">
              <w:t>New Ireland</w:t>
            </w:r>
          </w:p>
        </w:tc>
        <w:tc>
          <w:tcPr>
            <w:tcW w:w="1574" w:type="dxa"/>
            <w:tcBorders>
              <w:left w:val="single" w:sz="4" w:space="0" w:color="auto"/>
              <w:right w:val="single" w:sz="4" w:space="0" w:color="auto"/>
            </w:tcBorders>
          </w:tcPr>
          <w:p w14:paraId="7F58AC95" w14:textId="5A9EB818" w:rsidR="006C79D5" w:rsidRDefault="006C79D5" w:rsidP="00AF4CAA">
            <w:pPr>
              <w:pStyle w:val="NoSpacing"/>
            </w:pPr>
            <w:r w:rsidRPr="005A3471">
              <w:t>3</w:t>
            </w:r>
          </w:p>
        </w:tc>
        <w:tc>
          <w:tcPr>
            <w:tcW w:w="1588" w:type="dxa"/>
            <w:tcBorders>
              <w:left w:val="single" w:sz="4" w:space="0" w:color="auto"/>
            </w:tcBorders>
          </w:tcPr>
          <w:p w14:paraId="07E1C937" w14:textId="7E1C3A81" w:rsidR="006C79D5" w:rsidRDefault="006C79D5" w:rsidP="00AF4CAA">
            <w:pPr>
              <w:pStyle w:val="NoSpacing"/>
            </w:pPr>
            <w:r w:rsidRPr="005A3471">
              <w:t>0</w:t>
            </w:r>
          </w:p>
        </w:tc>
        <w:tc>
          <w:tcPr>
            <w:tcW w:w="1581" w:type="dxa"/>
          </w:tcPr>
          <w:p w14:paraId="7BF10AD5" w14:textId="02A90C0A" w:rsidR="006C79D5" w:rsidRDefault="006C79D5" w:rsidP="00AF4CAA">
            <w:pPr>
              <w:pStyle w:val="NoSpacing"/>
            </w:pPr>
            <w:r w:rsidRPr="003F21FA">
              <w:t>2</w:t>
            </w:r>
          </w:p>
        </w:tc>
        <w:tc>
          <w:tcPr>
            <w:tcW w:w="1556" w:type="dxa"/>
          </w:tcPr>
          <w:p w14:paraId="693994FF" w14:textId="1BFF33F9" w:rsidR="006C79D5" w:rsidRDefault="006C79D5" w:rsidP="00AF4CAA">
            <w:pPr>
              <w:pStyle w:val="NoSpacing"/>
            </w:pPr>
            <w:r w:rsidRPr="005A3471">
              <w:t>1</w:t>
            </w:r>
          </w:p>
        </w:tc>
        <w:tc>
          <w:tcPr>
            <w:tcW w:w="1255" w:type="dxa"/>
          </w:tcPr>
          <w:p w14:paraId="4080E09B" w14:textId="010FC8B6" w:rsidR="006C79D5" w:rsidRPr="00F330C5" w:rsidRDefault="006C79D5" w:rsidP="00AF4CAA">
            <w:pPr>
              <w:pStyle w:val="NoSpacing"/>
            </w:pPr>
            <w:r w:rsidRPr="005A3471">
              <w:t>0</w:t>
            </w:r>
          </w:p>
        </w:tc>
      </w:tr>
      <w:tr w:rsidR="006C79D5" w14:paraId="7316F6BA" w14:textId="2B3572BA" w:rsidTr="006C79D5">
        <w:tc>
          <w:tcPr>
            <w:tcW w:w="1806" w:type="dxa"/>
            <w:tcBorders>
              <w:right w:val="single" w:sz="4" w:space="0" w:color="auto"/>
            </w:tcBorders>
          </w:tcPr>
          <w:p w14:paraId="09B7134A" w14:textId="570A48A2" w:rsidR="006C79D5" w:rsidRPr="00F330C5" w:rsidRDefault="006C79D5" w:rsidP="00AF4CAA">
            <w:pPr>
              <w:pStyle w:val="NoSpacing"/>
            </w:pPr>
            <w:r w:rsidRPr="00672853">
              <w:t>Huron</w:t>
            </w:r>
          </w:p>
        </w:tc>
        <w:tc>
          <w:tcPr>
            <w:tcW w:w="1574" w:type="dxa"/>
            <w:tcBorders>
              <w:left w:val="single" w:sz="4" w:space="0" w:color="auto"/>
              <w:right w:val="single" w:sz="4" w:space="0" w:color="auto"/>
            </w:tcBorders>
          </w:tcPr>
          <w:p w14:paraId="4F6BAD89" w14:textId="1977AF3E" w:rsidR="006C79D5" w:rsidRPr="00F330C5" w:rsidRDefault="006C79D5" w:rsidP="00AF4CAA">
            <w:pPr>
              <w:pStyle w:val="NoSpacing"/>
            </w:pPr>
            <w:r w:rsidRPr="005A3471">
              <w:t>3</w:t>
            </w:r>
          </w:p>
        </w:tc>
        <w:tc>
          <w:tcPr>
            <w:tcW w:w="1588" w:type="dxa"/>
            <w:tcBorders>
              <w:left w:val="single" w:sz="4" w:space="0" w:color="auto"/>
            </w:tcBorders>
          </w:tcPr>
          <w:p w14:paraId="70ED4EB0" w14:textId="1F8A9E1D" w:rsidR="006C79D5" w:rsidRPr="00F330C5" w:rsidRDefault="006C79D5" w:rsidP="00AF4CAA">
            <w:pPr>
              <w:pStyle w:val="NoSpacing"/>
            </w:pPr>
            <w:r w:rsidRPr="005A3471">
              <w:t>0</w:t>
            </w:r>
          </w:p>
        </w:tc>
        <w:tc>
          <w:tcPr>
            <w:tcW w:w="1581" w:type="dxa"/>
          </w:tcPr>
          <w:p w14:paraId="5AF0A1AF" w14:textId="2A3F8C0A" w:rsidR="006C79D5" w:rsidRPr="00F330C5" w:rsidRDefault="006C79D5" w:rsidP="00AF4CAA">
            <w:pPr>
              <w:pStyle w:val="NoSpacing"/>
            </w:pPr>
            <w:r w:rsidRPr="003F21FA">
              <w:t>3</w:t>
            </w:r>
          </w:p>
        </w:tc>
        <w:tc>
          <w:tcPr>
            <w:tcW w:w="1556" w:type="dxa"/>
          </w:tcPr>
          <w:p w14:paraId="5C779834" w14:textId="5C888554" w:rsidR="006C79D5" w:rsidRPr="00F330C5" w:rsidRDefault="006C79D5" w:rsidP="00AF4CAA">
            <w:pPr>
              <w:pStyle w:val="NoSpacing"/>
            </w:pPr>
            <w:r w:rsidRPr="005A3471">
              <w:t>0</w:t>
            </w:r>
          </w:p>
        </w:tc>
        <w:tc>
          <w:tcPr>
            <w:tcW w:w="1255" w:type="dxa"/>
          </w:tcPr>
          <w:p w14:paraId="3C7F09EF" w14:textId="7954E415" w:rsidR="006C79D5" w:rsidRPr="00F330C5" w:rsidRDefault="006C79D5" w:rsidP="00AF4CAA">
            <w:pPr>
              <w:pStyle w:val="NoSpacing"/>
            </w:pPr>
            <w:r w:rsidRPr="005A3471">
              <w:t>0</w:t>
            </w:r>
          </w:p>
        </w:tc>
      </w:tr>
      <w:tr w:rsidR="006C79D5" w14:paraId="63132553" w14:textId="70ACF0C9" w:rsidTr="006C79D5">
        <w:tc>
          <w:tcPr>
            <w:tcW w:w="1806" w:type="dxa"/>
            <w:tcBorders>
              <w:right w:val="single" w:sz="4" w:space="0" w:color="auto"/>
            </w:tcBorders>
          </w:tcPr>
          <w:p w14:paraId="21F76AC8" w14:textId="21D7D1E1" w:rsidR="006C79D5" w:rsidRDefault="006C79D5" w:rsidP="00AF4CAA">
            <w:pPr>
              <w:pStyle w:val="NoSpacing"/>
            </w:pPr>
            <w:r w:rsidRPr="00672853">
              <w:t>Indiana</w:t>
            </w:r>
          </w:p>
        </w:tc>
        <w:tc>
          <w:tcPr>
            <w:tcW w:w="1574" w:type="dxa"/>
            <w:tcBorders>
              <w:left w:val="single" w:sz="4" w:space="0" w:color="auto"/>
              <w:right w:val="single" w:sz="4" w:space="0" w:color="auto"/>
            </w:tcBorders>
          </w:tcPr>
          <w:p w14:paraId="2BC83F5E" w14:textId="5F0ACE93" w:rsidR="006C79D5" w:rsidRDefault="006C79D5" w:rsidP="00AF4CAA">
            <w:pPr>
              <w:pStyle w:val="NoSpacing"/>
            </w:pPr>
            <w:r w:rsidRPr="005A3471">
              <w:t>10</w:t>
            </w:r>
          </w:p>
        </w:tc>
        <w:tc>
          <w:tcPr>
            <w:tcW w:w="1588" w:type="dxa"/>
            <w:tcBorders>
              <w:left w:val="single" w:sz="4" w:space="0" w:color="auto"/>
            </w:tcBorders>
          </w:tcPr>
          <w:p w14:paraId="3C33C247" w14:textId="7457020A" w:rsidR="006C79D5" w:rsidRDefault="006C79D5" w:rsidP="00AF4CAA">
            <w:pPr>
              <w:pStyle w:val="NoSpacing"/>
            </w:pPr>
            <w:r w:rsidRPr="005A3471">
              <w:t>4</w:t>
            </w:r>
          </w:p>
        </w:tc>
        <w:tc>
          <w:tcPr>
            <w:tcW w:w="1581" w:type="dxa"/>
          </w:tcPr>
          <w:p w14:paraId="28B1026C" w14:textId="62EC1C26" w:rsidR="006C79D5" w:rsidRDefault="006C79D5" w:rsidP="00AF4CAA">
            <w:pPr>
              <w:pStyle w:val="NoSpacing"/>
            </w:pPr>
            <w:r w:rsidRPr="003F21FA">
              <w:t>3</w:t>
            </w:r>
          </w:p>
        </w:tc>
        <w:tc>
          <w:tcPr>
            <w:tcW w:w="1556" w:type="dxa"/>
          </w:tcPr>
          <w:p w14:paraId="29B6C0E7" w14:textId="66EC2B22" w:rsidR="006C79D5" w:rsidRDefault="006C79D5" w:rsidP="00AF4CAA">
            <w:pPr>
              <w:pStyle w:val="NoSpacing"/>
            </w:pPr>
            <w:r w:rsidRPr="005A3471">
              <w:t>3</w:t>
            </w:r>
          </w:p>
        </w:tc>
        <w:tc>
          <w:tcPr>
            <w:tcW w:w="1255" w:type="dxa"/>
          </w:tcPr>
          <w:p w14:paraId="359E3C7E" w14:textId="5238CCDB" w:rsidR="006C79D5" w:rsidRPr="00F330C5" w:rsidRDefault="006C79D5" w:rsidP="00AF4CAA">
            <w:pPr>
              <w:pStyle w:val="NoSpacing"/>
            </w:pPr>
            <w:r w:rsidRPr="005A3471">
              <w:t>0</w:t>
            </w:r>
          </w:p>
        </w:tc>
      </w:tr>
      <w:tr w:rsidR="006C79D5" w14:paraId="4326C466" w14:textId="12836FCA" w:rsidTr="006C79D5">
        <w:tc>
          <w:tcPr>
            <w:tcW w:w="1806" w:type="dxa"/>
            <w:tcBorders>
              <w:right w:val="single" w:sz="4" w:space="0" w:color="auto"/>
            </w:tcBorders>
          </w:tcPr>
          <w:p w14:paraId="708BBEF6" w14:textId="372F1529" w:rsidR="006C79D5" w:rsidRDefault="006C79D5" w:rsidP="00AF4CAA">
            <w:pPr>
              <w:pStyle w:val="NoSpacing"/>
            </w:pPr>
            <w:r w:rsidRPr="00672853">
              <w:t>Illinois</w:t>
            </w:r>
          </w:p>
        </w:tc>
        <w:tc>
          <w:tcPr>
            <w:tcW w:w="1574" w:type="dxa"/>
            <w:tcBorders>
              <w:left w:val="single" w:sz="4" w:space="0" w:color="auto"/>
              <w:right w:val="single" w:sz="4" w:space="0" w:color="auto"/>
            </w:tcBorders>
          </w:tcPr>
          <w:p w14:paraId="3C29CD17" w14:textId="7596AB36" w:rsidR="006C79D5" w:rsidRDefault="006C79D5" w:rsidP="00AF4CAA">
            <w:pPr>
              <w:pStyle w:val="NoSpacing"/>
            </w:pPr>
            <w:r w:rsidRPr="005A3471">
              <w:t>5</w:t>
            </w:r>
          </w:p>
        </w:tc>
        <w:tc>
          <w:tcPr>
            <w:tcW w:w="1588" w:type="dxa"/>
            <w:tcBorders>
              <w:left w:val="single" w:sz="4" w:space="0" w:color="auto"/>
            </w:tcBorders>
          </w:tcPr>
          <w:p w14:paraId="2AADD096" w14:textId="379A0A4F" w:rsidR="006C79D5" w:rsidRDefault="006C79D5" w:rsidP="00AF4CAA">
            <w:pPr>
              <w:pStyle w:val="NoSpacing"/>
            </w:pPr>
            <w:r w:rsidRPr="005A3471">
              <w:t>1</w:t>
            </w:r>
          </w:p>
        </w:tc>
        <w:tc>
          <w:tcPr>
            <w:tcW w:w="1581" w:type="dxa"/>
          </w:tcPr>
          <w:p w14:paraId="6927CD2D" w14:textId="1700B759" w:rsidR="006C79D5" w:rsidRDefault="006C79D5" w:rsidP="00AF4CAA">
            <w:pPr>
              <w:pStyle w:val="NoSpacing"/>
            </w:pPr>
            <w:r w:rsidRPr="003F21FA">
              <w:t>0</w:t>
            </w:r>
          </w:p>
        </w:tc>
        <w:tc>
          <w:tcPr>
            <w:tcW w:w="1556" w:type="dxa"/>
          </w:tcPr>
          <w:p w14:paraId="36F72A83" w14:textId="5DA2F496" w:rsidR="006C79D5" w:rsidRDefault="006C79D5" w:rsidP="00AF4CAA">
            <w:pPr>
              <w:pStyle w:val="NoSpacing"/>
            </w:pPr>
            <w:r w:rsidRPr="005A3471">
              <w:t>4</w:t>
            </w:r>
          </w:p>
        </w:tc>
        <w:tc>
          <w:tcPr>
            <w:tcW w:w="1255" w:type="dxa"/>
          </w:tcPr>
          <w:p w14:paraId="57644CD5" w14:textId="34E3C5F1" w:rsidR="006C79D5" w:rsidRPr="00F330C5" w:rsidRDefault="006C79D5" w:rsidP="00AF4CAA">
            <w:pPr>
              <w:pStyle w:val="NoSpacing"/>
            </w:pPr>
            <w:r w:rsidRPr="005A3471">
              <w:t>0</w:t>
            </w:r>
          </w:p>
        </w:tc>
      </w:tr>
      <w:tr w:rsidR="006C79D5" w14:paraId="7D34B659" w14:textId="3DE466EA" w:rsidTr="006C79D5">
        <w:tc>
          <w:tcPr>
            <w:tcW w:w="1806" w:type="dxa"/>
            <w:tcBorders>
              <w:right w:val="single" w:sz="4" w:space="0" w:color="auto"/>
            </w:tcBorders>
          </w:tcPr>
          <w:p w14:paraId="41494A9B" w14:textId="0219998B" w:rsidR="006C79D5" w:rsidRDefault="006C79D5" w:rsidP="00AF4CAA">
            <w:pPr>
              <w:pStyle w:val="NoSpacing"/>
            </w:pPr>
            <w:r w:rsidRPr="00672853">
              <w:t>Virginia</w:t>
            </w:r>
          </w:p>
        </w:tc>
        <w:tc>
          <w:tcPr>
            <w:tcW w:w="1574" w:type="dxa"/>
            <w:tcBorders>
              <w:left w:val="single" w:sz="4" w:space="0" w:color="auto"/>
              <w:right w:val="single" w:sz="4" w:space="0" w:color="auto"/>
            </w:tcBorders>
          </w:tcPr>
          <w:p w14:paraId="33BFF613" w14:textId="697D4584" w:rsidR="006C79D5" w:rsidRDefault="006C79D5" w:rsidP="00AF4CAA">
            <w:pPr>
              <w:pStyle w:val="NoSpacing"/>
            </w:pPr>
            <w:r w:rsidRPr="005A3471">
              <w:t>23</w:t>
            </w:r>
          </w:p>
        </w:tc>
        <w:tc>
          <w:tcPr>
            <w:tcW w:w="1588" w:type="dxa"/>
            <w:tcBorders>
              <w:left w:val="single" w:sz="4" w:space="0" w:color="auto"/>
            </w:tcBorders>
          </w:tcPr>
          <w:p w14:paraId="6650019B" w14:textId="1D456D39" w:rsidR="006C79D5" w:rsidRDefault="006C79D5" w:rsidP="00AF4CAA">
            <w:pPr>
              <w:pStyle w:val="NoSpacing"/>
            </w:pPr>
            <w:r w:rsidRPr="005A3471">
              <w:t>16</w:t>
            </w:r>
          </w:p>
        </w:tc>
        <w:tc>
          <w:tcPr>
            <w:tcW w:w="1581" w:type="dxa"/>
          </w:tcPr>
          <w:p w14:paraId="265A74D2" w14:textId="11868722" w:rsidR="006C79D5" w:rsidRDefault="006C79D5" w:rsidP="00AF4CAA">
            <w:pPr>
              <w:pStyle w:val="NoSpacing"/>
            </w:pPr>
            <w:r w:rsidRPr="003F21FA">
              <w:t>0</w:t>
            </w:r>
          </w:p>
        </w:tc>
        <w:tc>
          <w:tcPr>
            <w:tcW w:w="1556" w:type="dxa"/>
          </w:tcPr>
          <w:p w14:paraId="77406A23" w14:textId="19566EAF" w:rsidR="006C79D5" w:rsidRDefault="006C79D5" w:rsidP="00AF4CAA">
            <w:pPr>
              <w:pStyle w:val="NoSpacing"/>
            </w:pPr>
            <w:r w:rsidRPr="005A3471">
              <w:t>4</w:t>
            </w:r>
          </w:p>
        </w:tc>
        <w:tc>
          <w:tcPr>
            <w:tcW w:w="1255" w:type="dxa"/>
          </w:tcPr>
          <w:p w14:paraId="7E4CE92F" w14:textId="51FA3393" w:rsidR="006C79D5" w:rsidRPr="00F330C5" w:rsidRDefault="006C79D5" w:rsidP="00AF4CAA">
            <w:pPr>
              <w:pStyle w:val="NoSpacing"/>
            </w:pPr>
            <w:r w:rsidRPr="005A3471">
              <w:t>3</w:t>
            </w:r>
          </w:p>
        </w:tc>
      </w:tr>
      <w:tr w:rsidR="006C79D5" w14:paraId="0DCF569A" w14:textId="679AA988" w:rsidTr="006C79D5">
        <w:tc>
          <w:tcPr>
            <w:tcW w:w="1806" w:type="dxa"/>
            <w:tcBorders>
              <w:right w:val="single" w:sz="4" w:space="0" w:color="auto"/>
            </w:tcBorders>
          </w:tcPr>
          <w:p w14:paraId="6A447B6D" w14:textId="25C2B3C0" w:rsidR="006C79D5" w:rsidRDefault="006C79D5" w:rsidP="00AF4CAA">
            <w:pPr>
              <w:pStyle w:val="NoSpacing"/>
            </w:pPr>
            <w:r w:rsidRPr="00672853">
              <w:t>Kentucky</w:t>
            </w:r>
          </w:p>
        </w:tc>
        <w:tc>
          <w:tcPr>
            <w:tcW w:w="1574" w:type="dxa"/>
            <w:tcBorders>
              <w:left w:val="single" w:sz="4" w:space="0" w:color="auto"/>
              <w:right w:val="single" w:sz="4" w:space="0" w:color="auto"/>
            </w:tcBorders>
          </w:tcPr>
          <w:p w14:paraId="603FF19E" w14:textId="48156F1D" w:rsidR="006C79D5" w:rsidRDefault="006C79D5" w:rsidP="00AF4CAA">
            <w:pPr>
              <w:pStyle w:val="NoSpacing"/>
            </w:pPr>
            <w:r w:rsidRPr="005A3471">
              <w:t>15</w:t>
            </w:r>
          </w:p>
        </w:tc>
        <w:tc>
          <w:tcPr>
            <w:tcW w:w="1588" w:type="dxa"/>
            <w:tcBorders>
              <w:left w:val="single" w:sz="4" w:space="0" w:color="auto"/>
            </w:tcBorders>
          </w:tcPr>
          <w:p w14:paraId="10251F41" w14:textId="3D4DC5DD" w:rsidR="006C79D5" w:rsidRDefault="006C79D5" w:rsidP="00AF4CAA">
            <w:pPr>
              <w:pStyle w:val="NoSpacing"/>
            </w:pPr>
            <w:r w:rsidRPr="005A3471">
              <w:t>1</w:t>
            </w:r>
          </w:p>
        </w:tc>
        <w:tc>
          <w:tcPr>
            <w:tcW w:w="1581" w:type="dxa"/>
          </w:tcPr>
          <w:p w14:paraId="7B2CC6D1" w14:textId="70FAE6DC" w:rsidR="006C79D5" w:rsidRDefault="006C79D5" w:rsidP="00AF4CAA">
            <w:pPr>
              <w:pStyle w:val="NoSpacing"/>
            </w:pPr>
            <w:r w:rsidRPr="003F21FA">
              <w:t>0</w:t>
            </w:r>
          </w:p>
        </w:tc>
        <w:tc>
          <w:tcPr>
            <w:tcW w:w="1556" w:type="dxa"/>
          </w:tcPr>
          <w:p w14:paraId="7FD447B1" w14:textId="08CBD4DC" w:rsidR="006C79D5" w:rsidRDefault="006C79D5" w:rsidP="00AF4CAA">
            <w:pPr>
              <w:pStyle w:val="NoSpacing"/>
            </w:pPr>
            <w:r w:rsidRPr="005A3471">
              <w:t>14</w:t>
            </w:r>
          </w:p>
        </w:tc>
        <w:tc>
          <w:tcPr>
            <w:tcW w:w="1255" w:type="dxa"/>
          </w:tcPr>
          <w:p w14:paraId="3366B12E" w14:textId="2A5B9F9D" w:rsidR="006C79D5" w:rsidRPr="00F330C5" w:rsidRDefault="006C79D5" w:rsidP="00AF4CAA">
            <w:pPr>
              <w:pStyle w:val="NoSpacing"/>
            </w:pPr>
            <w:r w:rsidRPr="005A3471">
              <w:t>0</w:t>
            </w:r>
          </w:p>
        </w:tc>
      </w:tr>
      <w:tr w:rsidR="006C79D5" w14:paraId="265F0E16" w14:textId="77777777" w:rsidTr="006C79D5">
        <w:tc>
          <w:tcPr>
            <w:tcW w:w="1806" w:type="dxa"/>
            <w:tcBorders>
              <w:right w:val="single" w:sz="4" w:space="0" w:color="auto"/>
            </w:tcBorders>
          </w:tcPr>
          <w:p w14:paraId="240F1A14" w14:textId="39769A14" w:rsidR="006C79D5" w:rsidRPr="00F330C5" w:rsidRDefault="006C79D5" w:rsidP="00AF4CAA">
            <w:pPr>
              <w:pStyle w:val="NoSpacing"/>
            </w:pPr>
            <w:r w:rsidRPr="00672853">
              <w:t>Tennessee</w:t>
            </w:r>
          </w:p>
        </w:tc>
        <w:tc>
          <w:tcPr>
            <w:tcW w:w="1574" w:type="dxa"/>
            <w:tcBorders>
              <w:left w:val="single" w:sz="4" w:space="0" w:color="auto"/>
              <w:right w:val="single" w:sz="4" w:space="0" w:color="auto"/>
            </w:tcBorders>
          </w:tcPr>
          <w:p w14:paraId="726827F6" w14:textId="18071FC2" w:rsidR="006C79D5" w:rsidRPr="00F330C5" w:rsidRDefault="006C79D5" w:rsidP="00AF4CAA">
            <w:pPr>
              <w:pStyle w:val="NoSpacing"/>
            </w:pPr>
            <w:r w:rsidRPr="005A3471">
              <w:t>15</w:t>
            </w:r>
          </w:p>
        </w:tc>
        <w:tc>
          <w:tcPr>
            <w:tcW w:w="1588" w:type="dxa"/>
            <w:tcBorders>
              <w:left w:val="single" w:sz="4" w:space="0" w:color="auto"/>
            </w:tcBorders>
          </w:tcPr>
          <w:p w14:paraId="20D1F923" w14:textId="645A0128" w:rsidR="006C79D5" w:rsidRPr="00F330C5" w:rsidRDefault="006C79D5" w:rsidP="00AF4CAA">
            <w:pPr>
              <w:pStyle w:val="NoSpacing"/>
            </w:pPr>
            <w:r w:rsidRPr="005A3471">
              <w:t>9</w:t>
            </w:r>
          </w:p>
        </w:tc>
        <w:tc>
          <w:tcPr>
            <w:tcW w:w="1581" w:type="dxa"/>
          </w:tcPr>
          <w:p w14:paraId="324F756E" w14:textId="64777903" w:rsidR="006C79D5" w:rsidRPr="00F330C5" w:rsidRDefault="006C79D5" w:rsidP="00AF4CAA">
            <w:pPr>
              <w:pStyle w:val="NoSpacing"/>
            </w:pPr>
            <w:r w:rsidRPr="003F21FA">
              <w:t>0</w:t>
            </w:r>
          </w:p>
        </w:tc>
        <w:tc>
          <w:tcPr>
            <w:tcW w:w="1556" w:type="dxa"/>
          </w:tcPr>
          <w:p w14:paraId="2D58BBE7" w14:textId="51802F47" w:rsidR="006C79D5" w:rsidRPr="00F330C5" w:rsidRDefault="006C79D5" w:rsidP="00AF4CAA">
            <w:pPr>
              <w:pStyle w:val="NoSpacing"/>
            </w:pPr>
            <w:r w:rsidRPr="005A3471">
              <w:t>6</w:t>
            </w:r>
          </w:p>
        </w:tc>
        <w:tc>
          <w:tcPr>
            <w:tcW w:w="1255" w:type="dxa"/>
          </w:tcPr>
          <w:p w14:paraId="402D5693" w14:textId="1D09735B" w:rsidR="006C79D5" w:rsidRPr="00F330C5" w:rsidRDefault="006C79D5" w:rsidP="00AF4CAA">
            <w:pPr>
              <w:pStyle w:val="NoSpacing"/>
            </w:pPr>
            <w:r w:rsidRPr="005A3471">
              <w:t>0</w:t>
            </w:r>
          </w:p>
        </w:tc>
      </w:tr>
      <w:tr w:rsidR="006C79D5" w14:paraId="5697664B" w14:textId="77777777" w:rsidTr="006C79D5">
        <w:tc>
          <w:tcPr>
            <w:tcW w:w="1806" w:type="dxa"/>
            <w:tcBorders>
              <w:right w:val="single" w:sz="4" w:space="0" w:color="auto"/>
            </w:tcBorders>
          </w:tcPr>
          <w:p w14:paraId="425C301A" w14:textId="1601B621" w:rsidR="006C79D5" w:rsidRPr="00F330C5" w:rsidRDefault="006C79D5" w:rsidP="00AF4CAA">
            <w:pPr>
              <w:pStyle w:val="NoSpacing"/>
            </w:pPr>
            <w:r w:rsidRPr="00672853">
              <w:t>North Carolina</w:t>
            </w:r>
          </w:p>
        </w:tc>
        <w:tc>
          <w:tcPr>
            <w:tcW w:w="1574" w:type="dxa"/>
            <w:tcBorders>
              <w:left w:val="single" w:sz="4" w:space="0" w:color="auto"/>
              <w:right w:val="single" w:sz="4" w:space="0" w:color="auto"/>
            </w:tcBorders>
          </w:tcPr>
          <w:p w14:paraId="65AE2AB6" w14:textId="0E9B2B66" w:rsidR="006C79D5" w:rsidRPr="00F330C5" w:rsidRDefault="006C79D5" w:rsidP="00AF4CAA">
            <w:pPr>
              <w:pStyle w:val="NoSpacing"/>
            </w:pPr>
            <w:r w:rsidRPr="005A3471">
              <w:t>15</w:t>
            </w:r>
          </w:p>
        </w:tc>
        <w:tc>
          <w:tcPr>
            <w:tcW w:w="1588" w:type="dxa"/>
            <w:tcBorders>
              <w:left w:val="single" w:sz="4" w:space="0" w:color="auto"/>
            </w:tcBorders>
          </w:tcPr>
          <w:p w14:paraId="65A97D14" w14:textId="71DCAA83" w:rsidR="006C79D5" w:rsidRPr="00F330C5" w:rsidRDefault="006C79D5" w:rsidP="00AF4CAA">
            <w:pPr>
              <w:pStyle w:val="NoSpacing"/>
            </w:pPr>
            <w:r w:rsidRPr="005A3471">
              <w:t>10</w:t>
            </w:r>
          </w:p>
        </w:tc>
        <w:tc>
          <w:tcPr>
            <w:tcW w:w="1581" w:type="dxa"/>
          </w:tcPr>
          <w:p w14:paraId="323056DC" w14:textId="566A41EE" w:rsidR="006C79D5" w:rsidRPr="00F330C5" w:rsidRDefault="006C79D5" w:rsidP="00AF4CAA">
            <w:pPr>
              <w:pStyle w:val="NoSpacing"/>
            </w:pPr>
            <w:r w:rsidRPr="003F21FA">
              <w:t>0</w:t>
            </w:r>
          </w:p>
        </w:tc>
        <w:tc>
          <w:tcPr>
            <w:tcW w:w="1556" w:type="dxa"/>
          </w:tcPr>
          <w:p w14:paraId="038113A9" w14:textId="222B9629" w:rsidR="006C79D5" w:rsidRPr="00F330C5" w:rsidRDefault="006C79D5" w:rsidP="00AF4CAA">
            <w:pPr>
              <w:pStyle w:val="NoSpacing"/>
            </w:pPr>
            <w:r w:rsidRPr="005A3471">
              <w:t>5</w:t>
            </w:r>
          </w:p>
        </w:tc>
        <w:tc>
          <w:tcPr>
            <w:tcW w:w="1255" w:type="dxa"/>
          </w:tcPr>
          <w:p w14:paraId="09DBF6CA" w14:textId="0DBAED8E" w:rsidR="006C79D5" w:rsidRPr="00F330C5" w:rsidRDefault="006C79D5" w:rsidP="00AF4CAA">
            <w:pPr>
              <w:pStyle w:val="NoSpacing"/>
            </w:pPr>
            <w:r w:rsidRPr="005A3471">
              <w:t>0</w:t>
            </w:r>
          </w:p>
        </w:tc>
      </w:tr>
      <w:tr w:rsidR="006C79D5" w14:paraId="6E7B3548" w14:textId="77777777" w:rsidTr="006C79D5">
        <w:tc>
          <w:tcPr>
            <w:tcW w:w="1806" w:type="dxa"/>
            <w:tcBorders>
              <w:right w:val="single" w:sz="4" w:space="0" w:color="auto"/>
            </w:tcBorders>
          </w:tcPr>
          <w:p w14:paraId="38C5579D" w14:textId="5AB4C0B1" w:rsidR="006C79D5" w:rsidRPr="00F330C5" w:rsidRDefault="006C79D5" w:rsidP="00AF4CAA">
            <w:pPr>
              <w:pStyle w:val="NoSpacing"/>
            </w:pPr>
            <w:r w:rsidRPr="00672853">
              <w:t>South Carolina</w:t>
            </w:r>
          </w:p>
        </w:tc>
        <w:tc>
          <w:tcPr>
            <w:tcW w:w="1574" w:type="dxa"/>
            <w:tcBorders>
              <w:left w:val="single" w:sz="4" w:space="0" w:color="auto"/>
              <w:right w:val="single" w:sz="4" w:space="0" w:color="auto"/>
            </w:tcBorders>
          </w:tcPr>
          <w:p w14:paraId="05BEEF24" w14:textId="57381675" w:rsidR="006C79D5" w:rsidRPr="00F330C5" w:rsidRDefault="006C79D5" w:rsidP="00AF4CAA">
            <w:pPr>
              <w:pStyle w:val="NoSpacing"/>
            </w:pPr>
            <w:r w:rsidRPr="005A3471">
              <w:t>11</w:t>
            </w:r>
          </w:p>
        </w:tc>
        <w:tc>
          <w:tcPr>
            <w:tcW w:w="1588" w:type="dxa"/>
            <w:tcBorders>
              <w:left w:val="single" w:sz="4" w:space="0" w:color="auto"/>
            </w:tcBorders>
          </w:tcPr>
          <w:p w14:paraId="08E8E809" w14:textId="1DC27759" w:rsidR="006C79D5" w:rsidRPr="00F330C5" w:rsidRDefault="006C79D5" w:rsidP="00AF4CAA">
            <w:pPr>
              <w:pStyle w:val="NoSpacing"/>
            </w:pPr>
            <w:r w:rsidRPr="005A3471">
              <w:t>7</w:t>
            </w:r>
          </w:p>
        </w:tc>
        <w:tc>
          <w:tcPr>
            <w:tcW w:w="1581" w:type="dxa"/>
          </w:tcPr>
          <w:p w14:paraId="6A1A5E55" w14:textId="45701922" w:rsidR="006C79D5" w:rsidRPr="00F330C5" w:rsidRDefault="006C79D5" w:rsidP="00AF4CAA">
            <w:pPr>
              <w:pStyle w:val="NoSpacing"/>
            </w:pPr>
            <w:r w:rsidRPr="003F21FA">
              <w:t>0</w:t>
            </w:r>
          </w:p>
        </w:tc>
        <w:tc>
          <w:tcPr>
            <w:tcW w:w="1556" w:type="dxa"/>
          </w:tcPr>
          <w:p w14:paraId="10A1E482" w14:textId="2D331B8F" w:rsidR="006C79D5" w:rsidRPr="00F330C5" w:rsidRDefault="006C79D5" w:rsidP="00AF4CAA">
            <w:pPr>
              <w:pStyle w:val="NoSpacing"/>
            </w:pPr>
            <w:r w:rsidRPr="005A3471">
              <w:t>0</w:t>
            </w:r>
          </w:p>
        </w:tc>
        <w:tc>
          <w:tcPr>
            <w:tcW w:w="1255" w:type="dxa"/>
          </w:tcPr>
          <w:p w14:paraId="2DC80BD8" w14:textId="434A0B91" w:rsidR="006C79D5" w:rsidRPr="00F330C5" w:rsidRDefault="006C79D5" w:rsidP="00AF4CAA">
            <w:pPr>
              <w:pStyle w:val="NoSpacing"/>
            </w:pPr>
            <w:r w:rsidRPr="005A3471">
              <w:t>4</w:t>
            </w:r>
          </w:p>
        </w:tc>
      </w:tr>
      <w:tr w:rsidR="006C79D5" w14:paraId="14D6EC36" w14:textId="77777777" w:rsidTr="006C79D5">
        <w:tc>
          <w:tcPr>
            <w:tcW w:w="1806" w:type="dxa"/>
            <w:tcBorders>
              <w:right w:val="single" w:sz="4" w:space="0" w:color="auto"/>
            </w:tcBorders>
          </w:tcPr>
          <w:p w14:paraId="1C5C1DDF" w14:textId="635122AF" w:rsidR="006C79D5" w:rsidRPr="00F330C5" w:rsidRDefault="006C79D5" w:rsidP="00AF4CAA">
            <w:pPr>
              <w:pStyle w:val="NoSpacing"/>
            </w:pPr>
            <w:r w:rsidRPr="00672853">
              <w:t>Georgia</w:t>
            </w:r>
          </w:p>
        </w:tc>
        <w:tc>
          <w:tcPr>
            <w:tcW w:w="1574" w:type="dxa"/>
            <w:tcBorders>
              <w:left w:val="single" w:sz="4" w:space="0" w:color="auto"/>
              <w:right w:val="single" w:sz="4" w:space="0" w:color="auto"/>
            </w:tcBorders>
          </w:tcPr>
          <w:p w14:paraId="14F2B8B9" w14:textId="0AAAA4D4" w:rsidR="006C79D5" w:rsidRPr="00F330C5" w:rsidRDefault="006C79D5" w:rsidP="00AF4CAA">
            <w:pPr>
              <w:pStyle w:val="NoSpacing"/>
            </w:pPr>
            <w:r w:rsidRPr="005A3471">
              <w:t>11</w:t>
            </w:r>
          </w:p>
        </w:tc>
        <w:tc>
          <w:tcPr>
            <w:tcW w:w="1588" w:type="dxa"/>
            <w:tcBorders>
              <w:left w:val="single" w:sz="4" w:space="0" w:color="auto"/>
            </w:tcBorders>
          </w:tcPr>
          <w:p w14:paraId="3EA55A56" w14:textId="4F8202C0" w:rsidR="006C79D5" w:rsidRPr="00F330C5" w:rsidRDefault="006C79D5" w:rsidP="00AF4CAA">
            <w:pPr>
              <w:pStyle w:val="NoSpacing"/>
            </w:pPr>
            <w:r w:rsidRPr="005A3471">
              <w:t>5</w:t>
            </w:r>
          </w:p>
        </w:tc>
        <w:tc>
          <w:tcPr>
            <w:tcW w:w="1581" w:type="dxa"/>
          </w:tcPr>
          <w:p w14:paraId="688779DE" w14:textId="788106BD" w:rsidR="006C79D5" w:rsidRPr="00F330C5" w:rsidRDefault="006C79D5" w:rsidP="00AF4CAA">
            <w:pPr>
              <w:pStyle w:val="NoSpacing"/>
            </w:pPr>
            <w:r w:rsidRPr="003F21FA">
              <w:t>0</w:t>
            </w:r>
          </w:p>
        </w:tc>
        <w:tc>
          <w:tcPr>
            <w:tcW w:w="1556" w:type="dxa"/>
          </w:tcPr>
          <w:p w14:paraId="305B37AE" w14:textId="67EDAF6F" w:rsidR="006C79D5" w:rsidRPr="00F330C5" w:rsidRDefault="006C79D5" w:rsidP="00AF4CAA">
            <w:pPr>
              <w:pStyle w:val="NoSpacing"/>
            </w:pPr>
            <w:r w:rsidRPr="005A3471">
              <w:t>2</w:t>
            </w:r>
          </w:p>
        </w:tc>
        <w:tc>
          <w:tcPr>
            <w:tcW w:w="1255" w:type="dxa"/>
          </w:tcPr>
          <w:p w14:paraId="3673D59E" w14:textId="04932FB5" w:rsidR="006C79D5" w:rsidRPr="00F330C5" w:rsidRDefault="006C79D5" w:rsidP="00AF4CAA">
            <w:pPr>
              <w:pStyle w:val="NoSpacing"/>
            </w:pPr>
            <w:r w:rsidRPr="005A3471">
              <w:t>4</w:t>
            </w:r>
          </w:p>
        </w:tc>
      </w:tr>
      <w:tr w:rsidR="006C79D5" w14:paraId="336E512F" w14:textId="77777777" w:rsidTr="006C79D5">
        <w:tc>
          <w:tcPr>
            <w:tcW w:w="1806" w:type="dxa"/>
            <w:tcBorders>
              <w:right w:val="single" w:sz="4" w:space="0" w:color="auto"/>
            </w:tcBorders>
          </w:tcPr>
          <w:p w14:paraId="49974349" w14:textId="3AAC925B" w:rsidR="006C79D5" w:rsidRPr="00F330C5" w:rsidRDefault="006C79D5" w:rsidP="00AF4CAA">
            <w:pPr>
              <w:pStyle w:val="NoSpacing"/>
            </w:pPr>
            <w:r w:rsidRPr="00672853">
              <w:t>Yazoo</w:t>
            </w:r>
          </w:p>
        </w:tc>
        <w:tc>
          <w:tcPr>
            <w:tcW w:w="1574" w:type="dxa"/>
            <w:tcBorders>
              <w:left w:val="single" w:sz="4" w:space="0" w:color="auto"/>
              <w:right w:val="single" w:sz="4" w:space="0" w:color="auto"/>
            </w:tcBorders>
          </w:tcPr>
          <w:p w14:paraId="4AFD1E10" w14:textId="1D99D599" w:rsidR="006C79D5" w:rsidRPr="00F330C5" w:rsidRDefault="006C79D5" w:rsidP="00AF4CAA">
            <w:pPr>
              <w:pStyle w:val="NoSpacing"/>
            </w:pPr>
            <w:r w:rsidRPr="005A3471">
              <w:t>8</w:t>
            </w:r>
          </w:p>
        </w:tc>
        <w:tc>
          <w:tcPr>
            <w:tcW w:w="1588" w:type="dxa"/>
            <w:tcBorders>
              <w:left w:val="single" w:sz="4" w:space="0" w:color="auto"/>
            </w:tcBorders>
          </w:tcPr>
          <w:p w14:paraId="6B771DC8" w14:textId="31A413D1" w:rsidR="006C79D5" w:rsidRPr="00F330C5" w:rsidRDefault="006C79D5" w:rsidP="00AF4CAA">
            <w:pPr>
              <w:pStyle w:val="NoSpacing"/>
            </w:pPr>
            <w:r w:rsidRPr="005A3471">
              <w:t>5</w:t>
            </w:r>
          </w:p>
        </w:tc>
        <w:tc>
          <w:tcPr>
            <w:tcW w:w="1581" w:type="dxa"/>
          </w:tcPr>
          <w:p w14:paraId="53BE76EB" w14:textId="08EC7541" w:rsidR="006C79D5" w:rsidRPr="00F330C5" w:rsidRDefault="006C79D5" w:rsidP="00AF4CAA">
            <w:pPr>
              <w:pStyle w:val="NoSpacing"/>
            </w:pPr>
            <w:r w:rsidRPr="003F21FA">
              <w:t>0</w:t>
            </w:r>
          </w:p>
        </w:tc>
        <w:tc>
          <w:tcPr>
            <w:tcW w:w="1556" w:type="dxa"/>
          </w:tcPr>
          <w:p w14:paraId="4CE4F98D" w14:textId="7F32942D" w:rsidR="006C79D5" w:rsidRPr="00F330C5" w:rsidRDefault="006C79D5" w:rsidP="00AF4CAA">
            <w:pPr>
              <w:pStyle w:val="NoSpacing"/>
            </w:pPr>
            <w:r w:rsidRPr="005A3471">
              <w:t>2</w:t>
            </w:r>
          </w:p>
        </w:tc>
        <w:tc>
          <w:tcPr>
            <w:tcW w:w="1255" w:type="dxa"/>
          </w:tcPr>
          <w:p w14:paraId="07466A72" w14:textId="64003E19" w:rsidR="006C79D5" w:rsidRPr="00F330C5" w:rsidRDefault="006C79D5" w:rsidP="00AF4CAA">
            <w:pPr>
              <w:pStyle w:val="NoSpacing"/>
            </w:pPr>
            <w:r w:rsidRPr="005A3471">
              <w:t>1</w:t>
            </w:r>
          </w:p>
        </w:tc>
      </w:tr>
      <w:tr w:rsidR="006C79D5" w14:paraId="7EC3E6C4" w14:textId="77777777" w:rsidTr="006C79D5">
        <w:tc>
          <w:tcPr>
            <w:tcW w:w="1806" w:type="dxa"/>
            <w:tcBorders>
              <w:right w:val="single" w:sz="4" w:space="0" w:color="auto"/>
            </w:tcBorders>
          </w:tcPr>
          <w:p w14:paraId="33F537DD" w14:textId="09776D6D" w:rsidR="006C79D5" w:rsidRPr="00F330C5" w:rsidRDefault="006C79D5" w:rsidP="00AF4CAA">
            <w:pPr>
              <w:pStyle w:val="NoSpacing"/>
            </w:pPr>
            <w:r w:rsidRPr="00672853">
              <w:t>Mississippi</w:t>
            </w:r>
          </w:p>
        </w:tc>
        <w:tc>
          <w:tcPr>
            <w:tcW w:w="1574" w:type="dxa"/>
            <w:tcBorders>
              <w:left w:val="single" w:sz="4" w:space="0" w:color="auto"/>
              <w:right w:val="single" w:sz="4" w:space="0" w:color="auto"/>
            </w:tcBorders>
          </w:tcPr>
          <w:p w14:paraId="616CEE1A" w14:textId="785B2822" w:rsidR="006C79D5" w:rsidRPr="00F330C5" w:rsidRDefault="006C79D5" w:rsidP="00AF4CAA">
            <w:pPr>
              <w:pStyle w:val="NoSpacing"/>
            </w:pPr>
            <w:r w:rsidRPr="005A3471">
              <w:t>4</w:t>
            </w:r>
          </w:p>
        </w:tc>
        <w:tc>
          <w:tcPr>
            <w:tcW w:w="1588" w:type="dxa"/>
            <w:tcBorders>
              <w:left w:val="single" w:sz="4" w:space="0" w:color="auto"/>
            </w:tcBorders>
          </w:tcPr>
          <w:p w14:paraId="2AF74CF7" w14:textId="5C1FA57F" w:rsidR="006C79D5" w:rsidRPr="00F330C5" w:rsidRDefault="006C79D5" w:rsidP="00AF4CAA">
            <w:pPr>
              <w:pStyle w:val="NoSpacing"/>
            </w:pPr>
            <w:r w:rsidRPr="005A3471">
              <w:t>3</w:t>
            </w:r>
          </w:p>
        </w:tc>
        <w:tc>
          <w:tcPr>
            <w:tcW w:w="1581" w:type="dxa"/>
          </w:tcPr>
          <w:p w14:paraId="6C505A52" w14:textId="725AE400" w:rsidR="006C79D5" w:rsidRPr="00F330C5" w:rsidRDefault="006C79D5" w:rsidP="00AF4CAA">
            <w:pPr>
              <w:pStyle w:val="NoSpacing"/>
            </w:pPr>
            <w:r w:rsidRPr="003F21FA">
              <w:t>0</w:t>
            </w:r>
          </w:p>
        </w:tc>
        <w:tc>
          <w:tcPr>
            <w:tcW w:w="1556" w:type="dxa"/>
          </w:tcPr>
          <w:p w14:paraId="61A5FDA3" w14:textId="038D152D" w:rsidR="006C79D5" w:rsidRPr="00F330C5" w:rsidRDefault="006C79D5" w:rsidP="00AF4CAA">
            <w:pPr>
              <w:pStyle w:val="NoSpacing"/>
            </w:pPr>
            <w:r w:rsidRPr="005A3471">
              <w:t>1</w:t>
            </w:r>
          </w:p>
        </w:tc>
        <w:tc>
          <w:tcPr>
            <w:tcW w:w="1255" w:type="dxa"/>
          </w:tcPr>
          <w:p w14:paraId="38004E2D" w14:textId="1D3765A6" w:rsidR="006C79D5" w:rsidRPr="00F330C5" w:rsidRDefault="006C79D5" w:rsidP="00AF4CAA">
            <w:pPr>
              <w:pStyle w:val="NoSpacing"/>
            </w:pPr>
            <w:r w:rsidRPr="005A3471">
              <w:t>0</w:t>
            </w:r>
          </w:p>
        </w:tc>
      </w:tr>
      <w:tr w:rsidR="006C79D5" w14:paraId="15391B41" w14:textId="05A80556" w:rsidTr="006C79D5">
        <w:tc>
          <w:tcPr>
            <w:tcW w:w="1806" w:type="dxa"/>
            <w:tcBorders>
              <w:bottom w:val="single" w:sz="4" w:space="0" w:color="auto"/>
              <w:right w:val="single" w:sz="4" w:space="0" w:color="auto"/>
            </w:tcBorders>
          </w:tcPr>
          <w:p w14:paraId="663A0AD0" w14:textId="315AA2A3" w:rsidR="006C79D5" w:rsidRDefault="006C79D5" w:rsidP="00AF4CAA">
            <w:pPr>
              <w:pStyle w:val="NoSpacing"/>
            </w:pPr>
            <w:r w:rsidRPr="00672853">
              <w:t>Orleans</w:t>
            </w:r>
          </w:p>
        </w:tc>
        <w:tc>
          <w:tcPr>
            <w:tcW w:w="1574" w:type="dxa"/>
            <w:tcBorders>
              <w:left w:val="single" w:sz="4" w:space="0" w:color="auto"/>
              <w:bottom w:val="single" w:sz="4" w:space="0" w:color="auto"/>
              <w:right w:val="single" w:sz="4" w:space="0" w:color="auto"/>
            </w:tcBorders>
          </w:tcPr>
          <w:p w14:paraId="5BBDC898" w14:textId="400E0EAA" w:rsidR="006C79D5" w:rsidRDefault="006C79D5" w:rsidP="00AF4CAA">
            <w:pPr>
              <w:pStyle w:val="NoSpacing"/>
            </w:pPr>
            <w:r w:rsidRPr="005A3471">
              <w:t>5</w:t>
            </w:r>
          </w:p>
        </w:tc>
        <w:tc>
          <w:tcPr>
            <w:tcW w:w="1588" w:type="dxa"/>
            <w:tcBorders>
              <w:left w:val="single" w:sz="4" w:space="0" w:color="auto"/>
              <w:bottom w:val="single" w:sz="4" w:space="0" w:color="auto"/>
            </w:tcBorders>
          </w:tcPr>
          <w:p w14:paraId="1AC552CD" w14:textId="43A47C91" w:rsidR="006C79D5" w:rsidRDefault="006C79D5" w:rsidP="00AF4CAA">
            <w:pPr>
              <w:pStyle w:val="NoSpacing"/>
            </w:pPr>
            <w:r w:rsidRPr="005A3471">
              <w:t>2</w:t>
            </w:r>
          </w:p>
        </w:tc>
        <w:tc>
          <w:tcPr>
            <w:tcW w:w="1581" w:type="dxa"/>
            <w:tcBorders>
              <w:bottom w:val="single" w:sz="4" w:space="0" w:color="auto"/>
            </w:tcBorders>
          </w:tcPr>
          <w:p w14:paraId="1F064550" w14:textId="23E9C658" w:rsidR="006C79D5" w:rsidRDefault="006C79D5" w:rsidP="00AF4CAA">
            <w:pPr>
              <w:pStyle w:val="NoSpacing"/>
            </w:pPr>
            <w:r w:rsidRPr="003F21FA">
              <w:t>0</w:t>
            </w:r>
          </w:p>
        </w:tc>
        <w:tc>
          <w:tcPr>
            <w:tcW w:w="1556" w:type="dxa"/>
            <w:tcBorders>
              <w:bottom w:val="single" w:sz="4" w:space="0" w:color="auto"/>
            </w:tcBorders>
          </w:tcPr>
          <w:p w14:paraId="4E9DC270" w14:textId="739BFF8D" w:rsidR="006C79D5" w:rsidRDefault="006C79D5" w:rsidP="00AF4CAA">
            <w:pPr>
              <w:pStyle w:val="NoSpacing"/>
            </w:pPr>
            <w:r w:rsidRPr="005A3471">
              <w:t>3</w:t>
            </w:r>
          </w:p>
        </w:tc>
        <w:tc>
          <w:tcPr>
            <w:tcW w:w="1255" w:type="dxa"/>
            <w:tcBorders>
              <w:bottom w:val="single" w:sz="4" w:space="0" w:color="auto"/>
            </w:tcBorders>
          </w:tcPr>
          <w:p w14:paraId="19E15CA2" w14:textId="127839E4" w:rsidR="006C79D5" w:rsidRPr="00F330C5" w:rsidRDefault="006C79D5" w:rsidP="00AF4CAA">
            <w:pPr>
              <w:pStyle w:val="NoSpacing"/>
            </w:pPr>
            <w:r w:rsidRPr="005A3471">
              <w:t>0</w:t>
            </w:r>
          </w:p>
        </w:tc>
      </w:tr>
      <w:tr w:rsidR="006C79D5" w:rsidRPr="00B457B5" w14:paraId="5F5C7E9E" w14:textId="75AB62A7" w:rsidTr="006C79D5">
        <w:tc>
          <w:tcPr>
            <w:tcW w:w="1806" w:type="dxa"/>
            <w:tcBorders>
              <w:top w:val="single" w:sz="4" w:space="0" w:color="auto"/>
              <w:right w:val="single" w:sz="4" w:space="0" w:color="auto"/>
            </w:tcBorders>
          </w:tcPr>
          <w:p w14:paraId="4AD75AEA" w14:textId="6E79FDFD" w:rsidR="006C79D5" w:rsidRPr="00B457B5" w:rsidRDefault="006C79D5" w:rsidP="00AF4CAA">
            <w:pPr>
              <w:pStyle w:val="NoSpacing"/>
              <w:rPr>
                <w:b/>
                <w:bCs/>
              </w:rPr>
            </w:pPr>
            <w:r w:rsidRPr="00B457B5">
              <w:rPr>
                <w:b/>
                <w:bCs/>
              </w:rPr>
              <w:t>Total</w:t>
            </w:r>
          </w:p>
        </w:tc>
        <w:tc>
          <w:tcPr>
            <w:tcW w:w="1574" w:type="dxa"/>
            <w:tcBorders>
              <w:top w:val="single" w:sz="4" w:space="0" w:color="auto"/>
              <w:left w:val="single" w:sz="4" w:space="0" w:color="auto"/>
              <w:right w:val="single" w:sz="4" w:space="0" w:color="auto"/>
            </w:tcBorders>
          </w:tcPr>
          <w:p w14:paraId="42C795BB" w14:textId="39FD03F7" w:rsidR="006C79D5" w:rsidRPr="00B457B5" w:rsidRDefault="006C79D5" w:rsidP="00AF4CAA">
            <w:pPr>
              <w:pStyle w:val="NoSpacing"/>
              <w:rPr>
                <w:b/>
                <w:bCs/>
              </w:rPr>
            </w:pPr>
            <w:r w:rsidRPr="00B457B5">
              <w:rPr>
                <w:b/>
                <w:bCs/>
              </w:rPr>
              <w:t>299</w:t>
            </w:r>
          </w:p>
        </w:tc>
        <w:tc>
          <w:tcPr>
            <w:tcW w:w="1588" w:type="dxa"/>
            <w:tcBorders>
              <w:top w:val="single" w:sz="4" w:space="0" w:color="auto"/>
              <w:left w:val="single" w:sz="4" w:space="0" w:color="auto"/>
            </w:tcBorders>
          </w:tcPr>
          <w:p w14:paraId="7DC7EEC9" w14:textId="68909BD4" w:rsidR="006C79D5" w:rsidRPr="00B457B5" w:rsidRDefault="006C79D5" w:rsidP="00AF4CAA">
            <w:pPr>
              <w:pStyle w:val="NoSpacing"/>
              <w:rPr>
                <w:b/>
                <w:bCs/>
                <w:u w:val="single"/>
              </w:rPr>
            </w:pPr>
            <w:r w:rsidRPr="00B457B5">
              <w:rPr>
                <w:b/>
                <w:bCs/>
                <w:u w:val="single"/>
              </w:rPr>
              <w:t>14</w:t>
            </w:r>
            <w:r w:rsidR="00E40766" w:rsidRPr="00B457B5">
              <w:rPr>
                <w:b/>
                <w:bCs/>
                <w:u w:val="single"/>
              </w:rPr>
              <w:t>7</w:t>
            </w:r>
          </w:p>
        </w:tc>
        <w:tc>
          <w:tcPr>
            <w:tcW w:w="1581" w:type="dxa"/>
            <w:tcBorders>
              <w:top w:val="single" w:sz="4" w:space="0" w:color="auto"/>
            </w:tcBorders>
          </w:tcPr>
          <w:p w14:paraId="7A209CA3" w14:textId="00F6B759" w:rsidR="006C79D5" w:rsidRPr="00B457B5" w:rsidRDefault="006C79D5" w:rsidP="00AF4CAA">
            <w:pPr>
              <w:pStyle w:val="NoSpacing"/>
              <w:rPr>
                <w:b/>
                <w:bCs/>
                <w:u w:val="single"/>
              </w:rPr>
            </w:pPr>
            <w:r w:rsidRPr="00B457B5">
              <w:rPr>
                <w:b/>
                <w:bCs/>
                <w:u w:val="single"/>
              </w:rPr>
              <w:t>71</w:t>
            </w:r>
          </w:p>
        </w:tc>
        <w:tc>
          <w:tcPr>
            <w:tcW w:w="1556" w:type="dxa"/>
            <w:tcBorders>
              <w:top w:val="single" w:sz="4" w:space="0" w:color="auto"/>
            </w:tcBorders>
          </w:tcPr>
          <w:p w14:paraId="502610BA" w14:textId="20A3991D" w:rsidR="006C79D5" w:rsidRPr="00B457B5" w:rsidRDefault="006C79D5" w:rsidP="00AF4CAA">
            <w:pPr>
              <w:pStyle w:val="NoSpacing"/>
              <w:rPr>
                <w:b/>
                <w:bCs/>
              </w:rPr>
            </w:pPr>
            <w:r w:rsidRPr="00B457B5">
              <w:rPr>
                <w:b/>
                <w:bCs/>
              </w:rPr>
              <w:t>6</w:t>
            </w:r>
            <w:r w:rsidR="00E40766" w:rsidRPr="00B457B5">
              <w:rPr>
                <w:b/>
                <w:bCs/>
              </w:rPr>
              <w:t>9</w:t>
            </w:r>
          </w:p>
        </w:tc>
        <w:tc>
          <w:tcPr>
            <w:tcW w:w="1255" w:type="dxa"/>
            <w:tcBorders>
              <w:top w:val="single" w:sz="4" w:space="0" w:color="auto"/>
            </w:tcBorders>
          </w:tcPr>
          <w:p w14:paraId="4AF49C86" w14:textId="23859AD1" w:rsidR="006C79D5" w:rsidRPr="00B457B5" w:rsidRDefault="006C79D5" w:rsidP="00AF4CAA">
            <w:pPr>
              <w:pStyle w:val="NoSpacing"/>
              <w:rPr>
                <w:b/>
                <w:bCs/>
              </w:rPr>
            </w:pPr>
            <w:r w:rsidRPr="00B457B5">
              <w:rPr>
                <w:b/>
                <w:bCs/>
              </w:rPr>
              <w:t>12</w:t>
            </w:r>
          </w:p>
        </w:tc>
      </w:tr>
    </w:tbl>
    <w:p w14:paraId="4CE91047" w14:textId="77777777" w:rsidR="001C5BCB" w:rsidRDefault="001C5BCB" w:rsidP="001C5BCB"/>
    <w:p w14:paraId="17BE3BEC" w14:textId="20DC2E6B" w:rsidR="008472A7" w:rsidRDefault="008472A7" w:rsidP="001C5BCB">
      <w:r>
        <w:t xml:space="preserve">Pike’s campaign was quite strong, but in the </w:t>
      </w:r>
      <w:proofErr w:type="gramStart"/>
      <w:r>
        <w:t>end</w:t>
      </w:r>
      <w:proofErr w:type="gramEnd"/>
      <w:r>
        <w:t xml:space="preserve"> he was </w:t>
      </w:r>
      <w:r w:rsidR="00206225">
        <w:t>two</w:t>
      </w:r>
      <w:r>
        <w:t xml:space="preserve"> vote</w:t>
      </w:r>
      <w:r w:rsidR="00206225">
        <w:t>s</w:t>
      </w:r>
      <w:r>
        <w:t xml:space="preserve"> away from winning outright</w:t>
      </w:r>
      <w:r w:rsidR="00BF4AB3">
        <w:t>. And Adams ended up losing the numerical and sectional advantage his campaign held</w:t>
      </w:r>
      <w:r>
        <w:t xml:space="preserve">. </w:t>
      </w:r>
      <w:r w:rsidR="00206225">
        <w:t>The election would instead travel to Congress, which would in joint session decide the victor</w:t>
      </w:r>
      <w:r w:rsidR="00F7507A">
        <w:t xml:space="preserve"> between Pike and Adams</w:t>
      </w:r>
      <w:r w:rsidR="00206225">
        <w:t xml:space="preserve">. </w:t>
      </w:r>
      <w:r w:rsidR="00F7507A">
        <w:t xml:space="preserve">Between the two candidates, Harrison and Clay concurred, they much preferred Pike, and indeed the South threatened civil war </w:t>
      </w:r>
      <w:r w:rsidR="00795F58">
        <w:t xml:space="preserve">if Adams ended up president. But in the end, Harrison and Clay organized enough Democrats either voting for Pike or abstaining outright, and this was more than enough to see Pike elected president. </w:t>
      </w:r>
    </w:p>
    <w:p w14:paraId="3761A4AA" w14:textId="5B81EB48" w:rsidR="009108B5" w:rsidRDefault="009108B5" w:rsidP="001C5BCB">
      <w:r>
        <w:lastRenderedPageBreak/>
        <w:t xml:space="preserve">With the nation having clearly voted for compromise, Harrison and Clay now found it easier than ever to </w:t>
      </w:r>
      <w:r w:rsidR="00657ECD">
        <w:t xml:space="preserve">bring one into being. </w:t>
      </w:r>
      <w:r w:rsidR="00F729F4">
        <w:t xml:space="preserve">The ensuing Missouri Compromise brought together several elements. </w:t>
      </w:r>
      <w:r w:rsidR="007652E9">
        <w:t>Clay having successfully convinced the Missourian constitutional convention to bar the additional introduction of slaves, he presented this as a fait accompli to achieve its admission without restriction</w:t>
      </w:r>
      <w:r w:rsidR="0061622D">
        <w:t>, and additionally he established gradual manumission in the remainder of the Missouri Territory</w:t>
      </w:r>
      <w:r w:rsidR="007652E9">
        <w:t xml:space="preserve">; </w:t>
      </w:r>
      <w:r w:rsidR="009E2B6D">
        <w:t>to satisfy Southerners</w:t>
      </w:r>
      <w:r w:rsidR="00ED4C1B">
        <w:t xml:space="preserve"> angered at </w:t>
      </w:r>
      <w:r w:rsidR="00E31396">
        <w:t xml:space="preserve">the use of congressional pressure to </w:t>
      </w:r>
      <w:r w:rsidR="00831D82">
        <w:t>keep slavery out of most of the former Luisiana</w:t>
      </w:r>
      <w:r w:rsidR="00E31396">
        <w:t xml:space="preserve">, he </w:t>
      </w:r>
      <w:r w:rsidR="00D25DC9">
        <w:t>introduced</w:t>
      </w:r>
      <w:r w:rsidR="00E31396">
        <w:t xml:space="preserve"> a </w:t>
      </w:r>
      <w:r w:rsidR="00D25DC9">
        <w:t xml:space="preserve">stronger Fugitive Slave Act, which would </w:t>
      </w:r>
      <w:r w:rsidR="0044034F">
        <w:t>establish federal commissioners over the North</w:t>
      </w:r>
      <w:r w:rsidR="005E52BC">
        <w:t xml:space="preserve"> who would capture suspected fugitive slaves if asked by slaveowners, and there would subsequently be a trial with a jury organized federally, although each juror would be paid an additional dollar if they would rule the accused a slave. This act was clearly lopsided in favor of the South</w:t>
      </w:r>
      <w:r w:rsidR="00B74BC7">
        <w:t xml:space="preserve"> in that it established a new class of officeholders specifically to snatch slaves</w:t>
      </w:r>
      <w:r w:rsidR="005E52BC">
        <w:t>, and almost immediately it resulted in a Northern backlash headed by Daniel Webster</w:t>
      </w:r>
      <w:r w:rsidR="00CF325A">
        <w:t xml:space="preserve">, but that it included some facsimile of a </w:t>
      </w:r>
      <w:r w:rsidR="009A3594">
        <w:t>jury</w:t>
      </w:r>
      <w:r w:rsidR="00CF325A">
        <w:t xml:space="preserve"> trial meant </w:t>
      </w:r>
      <w:r w:rsidR="009A3594">
        <w:t>it had enough Northern support. Additionally came a measure for federally-organized Indian removal; a longstanding demand of westerners, this was to gain the support of the West, including the Southwest for the measure, although given that most of four of the Five Civilized Tribes had already seen the way the wind was blowing and fled to Spanish Texas before they could be forced, it was if anything a recognition of the untenable situation on the ground</w:t>
      </w:r>
      <w:r w:rsidR="00B14D57">
        <w:t xml:space="preserve">. It additionally reserved the lands of modern-day </w:t>
      </w:r>
      <w:proofErr w:type="spellStart"/>
      <w:r w:rsidR="00B14D57">
        <w:t>Cansa</w:t>
      </w:r>
      <w:proofErr w:type="spellEnd"/>
      <w:r w:rsidR="00B14D57">
        <w:t xml:space="preserve"> and </w:t>
      </w:r>
      <w:proofErr w:type="spellStart"/>
      <w:r w:rsidR="00B14D57">
        <w:t>Minasota</w:t>
      </w:r>
      <w:proofErr w:type="spellEnd"/>
      <w:r w:rsidR="00B14D57">
        <w:t xml:space="preserve"> for </w:t>
      </w:r>
      <w:r w:rsidR="00545309">
        <w:t>establishing new reservations for removed Indigenous tribes</w:t>
      </w:r>
      <w:r w:rsidR="00E45A79">
        <w:t xml:space="preserve">. </w:t>
      </w:r>
      <w:r w:rsidR="00064087">
        <w:t xml:space="preserve">After initially trying to pass these acts together in an omnibus bill which failed, Clay instead divided it into several bills, which each passed thanks to different coalitions per bill. Thus, </w:t>
      </w:r>
      <w:r w:rsidR="00B14D57">
        <w:t>the Missouri Compromise had passed, although both Indian removal and fugitive slave capture</w:t>
      </w:r>
      <w:r w:rsidR="006C4118">
        <w:t xml:space="preserve"> would be much longer processes. The nation had cohered, and it had only taken </w:t>
      </w:r>
      <w:r w:rsidR="003B0E74">
        <w:t xml:space="preserve">a compromise with slavery. </w:t>
      </w:r>
      <w:r w:rsidR="00C769B9">
        <w:lastRenderedPageBreak/>
        <w:t>However, this would be remembered as a decided</w:t>
      </w:r>
      <w:r w:rsidR="001705FA">
        <w:t xml:space="preserve"> betrayal of American </w:t>
      </w:r>
      <w:r w:rsidR="002F1195">
        <w:t>values</w:t>
      </w:r>
      <w:r w:rsidR="001705FA">
        <w:t xml:space="preserve">, that </w:t>
      </w:r>
      <w:r w:rsidR="002F1195">
        <w:t xml:space="preserve">the entire government submitted to the </w:t>
      </w:r>
      <w:r w:rsidR="00E61E76">
        <w:t>Planter Ascendancy to the South, and slowly this issue festered</w:t>
      </w:r>
      <w:r w:rsidR="00DE159A">
        <w:rPr>
          <w:rStyle w:val="EndnoteReference"/>
        </w:rPr>
        <w:endnoteReference w:id="100"/>
      </w:r>
      <w:r w:rsidR="00E61E76">
        <w:t xml:space="preserve">. </w:t>
      </w:r>
    </w:p>
    <w:p w14:paraId="5C909627" w14:textId="1DE5A5C9" w:rsidR="002D26BE" w:rsidRDefault="002D26BE" w:rsidP="001C5BCB">
      <w:r>
        <w:t xml:space="preserve">And </w:t>
      </w:r>
      <w:proofErr w:type="gramStart"/>
      <w:r>
        <w:t>thus</w:t>
      </w:r>
      <w:proofErr w:type="gramEnd"/>
      <w:r>
        <w:t xml:space="preserve"> it was that Pike was inaugurated president in a deeply divided nation</w:t>
      </w:r>
      <w:r w:rsidR="0061622D">
        <w:t>; he swore to keep the nation together. He pledged that the Missouri Compromise was a final compromise</w:t>
      </w:r>
      <w:r w:rsidR="00831D82">
        <w:t xml:space="preserve"> and that he would keep </w:t>
      </w:r>
      <w:r w:rsidR="00BE579C">
        <w:t xml:space="preserve">the nation together. </w:t>
      </w:r>
      <w:r w:rsidR="002B3B32">
        <w:t>Over his presidency, however, it would be clear that this was easier said than done, and the Fugitive Slave Act of 1837 would be a running sore for the nation</w:t>
      </w:r>
      <w:r w:rsidR="00D81B8D">
        <w:t xml:space="preserve"> </w:t>
      </w:r>
      <w:proofErr w:type="gramStart"/>
      <w:r w:rsidR="00D81B8D">
        <w:t>as a whole</w:t>
      </w:r>
      <w:r w:rsidR="002B3B32">
        <w:t xml:space="preserve"> until</w:t>
      </w:r>
      <w:proofErr w:type="gramEnd"/>
      <w:r w:rsidR="002B3B32">
        <w:t xml:space="preserve"> the Liberty and Union War. </w:t>
      </w:r>
    </w:p>
    <w:p w14:paraId="72E7E78D" w14:textId="4B585B95" w:rsidR="001C5BCB" w:rsidRDefault="001C5BCB" w:rsidP="001C5BCB">
      <w:r>
        <w:br w:type="page"/>
      </w:r>
    </w:p>
    <w:p w14:paraId="4CD138CA" w14:textId="77777777" w:rsidR="00047099" w:rsidRPr="002B6AF1" w:rsidRDefault="00047099" w:rsidP="002B6AF1"/>
    <w:p w14:paraId="645848A2" w14:textId="77777777" w:rsidR="002B6AF1" w:rsidRDefault="002B6AF1" w:rsidP="002B6AF1">
      <w:pPr>
        <w:sectPr w:rsidR="002B6AF1" w:rsidSect="002B6AF1">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9E765B1" w14:textId="77777777" w:rsidR="002B6AF1" w:rsidRDefault="002B6AF1" w:rsidP="002B6AF1">
      <w:r>
        <w:br w:type="page"/>
      </w:r>
    </w:p>
    <w:p w14:paraId="5484B3F8" w14:textId="5032B1C7" w:rsidR="00E75507" w:rsidRDefault="00E75507" w:rsidP="00E75507">
      <w:pPr>
        <w:pStyle w:val="Heading1"/>
      </w:pPr>
      <w:bookmarkStart w:id="29" w:name="_Toc202006221"/>
      <w:r>
        <w:lastRenderedPageBreak/>
        <w:t>2</w:t>
      </w:r>
      <w:r w:rsidR="00634567">
        <w:t>2</w:t>
      </w:r>
      <w:r>
        <w:t>. Liberty’s Twilight</w:t>
      </w:r>
      <w:bookmarkEnd w:id="29"/>
    </w:p>
    <w:p w14:paraId="3C1BEF3C" w14:textId="27788464" w:rsidR="00E75507" w:rsidRDefault="000241D2" w:rsidP="00E75507">
      <w:r>
        <w:t xml:space="preserve">Zebulon Pike was, at once, a national hero and </w:t>
      </w:r>
      <w:r w:rsidR="00460417">
        <w:t xml:space="preserve">a blank slate upon his ascent to the presidency. </w:t>
      </w:r>
      <w:r w:rsidR="002B5B15">
        <w:t>Born</w:t>
      </w:r>
      <w:r w:rsidR="009F1D78">
        <w:t xml:space="preserve"> in 1779</w:t>
      </w:r>
      <w:r w:rsidR="002B5B15">
        <w:t xml:space="preserve"> to an old settler family, his father was a long-serving military officer, and he grew up </w:t>
      </w:r>
      <w:r w:rsidR="009F1D78">
        <w:t>along the frontier along several posts</w:t>
      </w:r>
      <w:r w:rsidR="00C57606">
        <w:t>; subsequently, Zebulon</w:t>
      </w:r>
      <w:r w:rsidR="007842F1">
        <w:t xml:space="preserve"> joined the army, and he served along several frontier posts</w:t>
      </w:r>
      <w:r w:rsidR="009F1D78">
        <w:t xml:space="preserve">. </w:t>
      </w:r>
      <w:r w:rsidR="008E75CE">
        <w:t>He first made his name</w:t>
      </w:r>
      <w:r w:rsidR="00D01633">
        <w:t xml:space="preserve"> in 1806-7</w:t>
      </w:r>
      <w:r w:rsidR="008E75CE">
        <w:t xml:space="preserve"> when, under the orders of his commanding officer</w:t>
      </w:r>
      <w:r w:rsidR="00403D0E">
        <w:t>, he led a</w:t>
      </w:r>
      <w:r w:rsidR="006D7204">
        <w:t xml:space="preserve">n expedition into Spanish Luisiana, north of St. Louis, to find the source of the </w:t>
      </w:r>
      <w:r w:rsidR="003B7012">
        <w:t xml:space="preserve">Mississippi and several </w:t>
      </w:r>
      <w:r w:rsidR="00D01633">
        <w:t>rivers within its watershed</w:t>
      </w:r>
      <w:r w:rsidR="007F63B3">
        <w:t xml:space="preserve">. Leading this expedition, he travelled deep into Luisiana; travelling southwards, </w:t>
      </w:r>
      <w:r w:rsidR="00447F2D">
        <w:t>the Spanish</w:t>
      </w:r>
      <w:r w:rsidR="007F63B3">
        <w:t xml:space="preserve"> captured</w:t>
      </w:r>
      <w:r w:rsidR="00447F2D">
        <w:t xml:space="preserve"> him</w:t>
      </w:r>
      <w:r w:rsidR="007F63B3">
        <w:t xml:space="preserve"> along the </w:t>
      </w:r>
      <w:proofErr w:type="spellStart"/>
      <w:r w:rsidR="007F63B3">
        <w:t>Cansa</w:t>
      </w:r>
      <w:proofErr w:type="spellEnd"/>
      <w:r w:rsidR="007F63B3">
        <w:t xml:space="preserve"> River. </w:t>
      </w:r>
      <w:r w:rsidR="00447F2D">
        <w:t>In one of the most spectacular bluffs in American history, he pretended to be lost and asked the Spanish counter-expedition, “Is this not the Mississippi River?”.</w:t>
      </w:r>
      <w:r w:rsidR="003B1461">
        <w:t xml:space="preserve"> Afterwards, Pike expanded on his claim that they had crossed the Mississippi quite by accident, on a position upstream where it was little more than</w:t>
      </w:r>
      <w:r w:rsidR="008E097A">
        <w:t xml:space="preserve"> a stream, and he spun a tall tale of meeting hostile Indigenous tribes of virtually every variety.</w:t>
      </w:r>
      <w:r w:rsidR="00447F2D">
        <w:t xml:space="preserve"> </w:t>
      </w:r>
      <w:r w:rsidR="003C24F8">
        <w:t xml:space="preserve">Though it remains unclear as to if </w:t>
      </w:r>
      <w:r w:rsidR="00F8247C">
        <w:t>this claim</w:t>
      </w:r>
      <w:r w:rsidR="003C24F8">
        <w:t xml:space="preserve"> </w:t>
      </w:r>
      <w:r w:rsidR="00F8247C">
        <w:t>was</w:t>
      </w:r>
      <w:r w:rsidR="003C24F8">
        <w:t xml:space="preserve"> </w:t>
      </w:r>
      <w:r w:rsidR="00F8247C">
        <w:t>even remotely</w:t>
      </w:r>
      <w:r w:rsidR="003C24F8">
        <w:t xml:space="preserve"> believed,</w:t>
      </w:r>
      <w:r w:rsidR="00122921">
        <w:t xml:space="preserve"> or if they saw through his claim,</w:t>
      </w:r>
      <w:r w:rsidR="003C24F8">
        <w:t xml:space="preserve"> t</w:t>
      </w:r>
      <w:r w:rsidR="00124CD3">
        <w:t>he Spanish captured hi</w:t>
      </w:r>
      <w:r w:rsidR="00AB6B7C">
        <w:t>m, treating him well as a lost officer,</w:t>
      </w:r>
      <w:r w:rsidR="00124CD3">
        <w:t xml:space="preserve"> and sent </w:t>
      </w:r>
      <w:r w:rsidR="00AB6B7C">
        <w:t>the expedition’s membership</w:t>
      </w:r>
      <w:r w:rsidR="00124CD3">
        <w:t xml:space="preserve"> far south to </w:t>
      </w:r>
      <w:r w:rsidR="00D47EFA">
        <w:t xml:space="preserve">a prison in </w:t>
      </w:r>
      <w:r w:rsidR="00124CD3">
        <w:t>Santa Fe and then</w:t>
      </w:r>
      <w:r w:rsidR="00321EF1">
        <w:t xml:space="preserve"> to</w:t>
      </w:r>
      <w:r w:rsidR="00124CD3">
        <w:t xml:space="preserve"> Sonora, before taking </w:t>
      </w:r>
      <w:r w:rsidR="00AB6B7C">
        <w:t>them</w:t>
      </w:r>
      <w:r w:rsidR="00124CD3">
        <w:t xml:space="preserve"> to Tampico</w:t>
      </w:r>
      <w:r w:rsidR="00634632">
        <w:t xml:space="preserve">, to </w:t>
      </w:r>
      <w:proofErr w:type="spellStart"/>
      <w:r w:rsidR="00634632">
        <w:t>Galveztown</w:t>
      </w:r>
      <w:proofErr w:type="spellEnd"/>
      <w:r w:rsidR="00634632">
        <w:t>, and then to New Orleans where they shipped him across the border back to the United States.</w:t>
      </w:r>
      <w:r w:rsidR="006E6402">
        <w:t xml:space="preserve"> </w:t>
      </w:r>
      <w:r w:rsidR="00D47EFA">
        <w:t>Along the way, Pike wrote several journals</w:t>
      </w:r>
      <w:r w:rsidR="006C2AA2">
        <w:t xml:space="preserve"> on what he saw behind Spanish lines</w:t>
      </w:r>
      <w:r w:rsidR="00B04571">
        <w:t>, and giving th</w:t>
      </w:r>
      <w:r w:rsidR="00DD54DC">
        <w:t>em</w:t>
      </w:r>
      <w:r w:rsidR="00B04571">
        <w:t xml:space="preserve"> to the army, it </w:t>
      </w:r>
      <w:r w:rsidR="00BA1D49">
        <w:t>provided valuable intelligence on Spanish society in the Internal Provinces and Luisiana</w:t>
      </w:r>
      <w:r w:rsidR="007176EB">
        <w:t xml:space="preserve"> – far more than if he had simply provided </w:t>
      </w:r>
      <w:r w:rsidR="00541D51">
        <w:t>information on the sources of various rivers</w:t>
      </w:r>
      <w:r w:rsidR="00B04571">
        <w:t xml:space="preserve">. </w:t>
      </w:r>
      <w:r w:rsidR="00A31225">
        <w:t xml:space="preserve">And he became a national icon, cheered by the nation at large as an intrepid explorer who bluffed his way out of execution. </w:t>
      </w:r>
    </w:p>
    <w:p w14:paraId="2E047B6D" w14:textId="79553EE8" w:rsidR="00DE4801" w:rsidRDefault="00B95054" w:rsidP="00DE4801">
      <w:r>
        <w:t xml:space="preserve">Thus, Pike served as a military officer on frontier posts for over the next decade. Upon the Luisiana War, he was swiftly made a general and headed an army making a </w:t>
      </w:r>
      <w:r w:rsidR="00F56E42">
        <w:t xml:space="preserve">slow advance </w:t>
      </w:r>
      <w:r w:rsidR="00F56E42">
        <w:lastRenderedPageBreak/>
        <w:t>southward</w:t>
      </w:r>
      <w:r>
        <w:t xml:space="preserve"> into Spanish Luisiana. </w:t>
      </w:r>
      <w:r w:rsidR="00EE0A82">
        <w:t>This was a sluggish advance, where American superiority on land met Spanish superiority on sea</w:t>
      </w:r>
      <w:r w:rsidR="000C0D32">
        <w:t xml:space="preserve"> and faced several reversals</w:t>
      </w:r>
      <w:r w:rsidR="00EE0A82">
        <w:t xml:space="preserve"> – but in the end, Pike led his army in a successful advance into New Orleans, and his decision to treat the city well upon its surrender only served to further make his name as a </w:t>
      </w:r>
      <w:r w:rsidR="006D6C31">
        <w:t xml:space="preserve">patriotic hero, perhaps the largest of the entire war. Though the war ultimately came to an end less thanks to Pike’s victory and more to </w:t>
      </w:r>
      <w:r w:rsidR="00DE4801">
        <w:t>the Popular Revolution in the British Isles forcing the Spanish to give up any hopes of a counterattack</w:t>
      </w:r>
      <w:r w:rsidR="005D36AF">
        <w:t xml:space="preserve">, </w:t>
      </w:r>
      <w:r w:rsidR="008959C4">
        <w:t>that it came at the very end, meant that</w:t>
      </w:r>
      <w:r w:rsidR="005D36AF">
        <w:t xml:space="preserve"> the Battle of New Orleans was the defining victory of the whole war. Pike went on to serve as a military officer, and the governor of the Huron Territory, although for the time being he avoided calls </w:t>
      </w:r>
      <w:r w:rsidR="00AD767F">
        <w:t xml:space="preserve">for himself, </w:t>
      </w:r>
      <w:r w:rsidR="005D36AF">
        <w:t>the “Liberator of New Orleans”</w:t>
      </w:r>
      <w:r w:rsidR="00AD767F">
        <w:t>, to be drafted</w:t>
      </w:r>
      <w:r w:rsidR="005D36AF">
        <w:t xml:space="preserve"> as a presidential candidate</w:t>
      </w:r>
      <w:r w:rsidR="005472A4">
        <w:rPr>
          <w:rStyle w:val="EndnoteReference"/>
        </w:rPr>
        <w:endnoteReference w:id="101"/>
      </w:r>
      <w:r w:rsidR="005D36AF">
        <w:t xml:space="preserve">. </w:t>
      </w:r>
      <w:r w:rsidR="00666009">
        <w:t>But he continued to entertain such talk</w:t>
      </w:r>
      <w:r w:rsidR="00030B07">
        <w:t xml:space="preserve">, and </w:t>
      </w:r>
      <w:r w:rsidR="00D5172B">
        <w:t xml:space="preserve">he would keep it on the table. </w:t>
      </w:r>
    </w:p>
    <w:p w14:paraId="40A861CD" w14:textId="19B54A03" w:rsidR="00FA7DA6" w:rsidRDefault="00E45FC3" w:rsidP="00DE4801">
      <w:r>
        <w:t xml:space="preserve">He did accept </w:t>
      </w:r>
      <w:r w:rsidR="00C144B7">
        <w:t>an offer of presidential nomination</w:t>
      </w:r>
      <w:r>
        <w:t xml:space="preserve"> in 1836</w:t>
      </w:r>
      <w:r w:rsidR="00A81C39">
        <w:t>, albeit through the genteel traditionally republican manner of asserting that nomination to the presidency was not in his hands</w:t>
      </w:r>
      <w:r>
        <w:t xml:space="preserve">; he believed it was clear that </w:t>
      </w:r>
      <w:r w:rsidR="002B4895">
        <w:t xml:space="preserve">he could very well win, and </w:t>
      </w:r>
      <w:r w:rsidR="00A81C39">
        <w:t xml:space="preserve">he wrote a series of open letters declaring that he supported sectional unity and the rights of the states, in other words that he was a </w:t>
      </w:r>
      <w:r w:rsidR="00756F72">
        <w:t>standard</w:t>
      </w:r>
      <w:r w:rsidR="00A81C39">
        <w:t xml:space="preserve"> Republican. </w:t>
      </w:r>
      <w:r w:rsidR="00322007">
        <w:t xml:space="preserve">When the election came </w:t>
      </w:r>
      <w:r w:rsidR="006B06F5">
        <w:t>due,</w:t>
      </w:r>
      <w:r w:rsidR="00322007">
        <w:t xml:space="preserve"> </w:t>
      </w:r>
      <w:r w:rsidR="006A0A08">
        <w:t>he narrowly failed to win the presidency</w:t>
      </w:r>
      <w:r w:rsidR="001E0D72">
        <w:t xml:space="preserve"> – but he did make</w:t>
      </w:r>
      <w:r w:rsidR="00433C08">
        <w:t xml:space="preserve"> a strong performance, and as the election travelled to Congress, he was clearly the favorite to win</w:t>
      </w:r>
      <w:r w:rsidR="006B06F5">
        <w:t>.</w:t>
      </w:r>
      <w:r w:rsidR="00322007">
        <w:t xml:space="preserve"> </w:t>
      </w:r>
      <w:r w:rsidR="006B06F5">
        <w:t>W</w:t>
      </w:r>
      <w:r w:rsidR="006A0A08">
        <w:t>hen it came time for the contingent election</w:t>
      </w:r>
      <w:r w:rsidR="006B06F5">
        <w:t>,</w:t>
      </w:r>
      <w:r w:rsidR="006A0A08">
        <w:t xml:space="preserve"> he </w:t>
      </w:r>
      <w:r w:rsidR="006B06F5">
        <w:t>travelled to Washington and he attempted to corral support through a series of dinners with congressmen, where he made several promises for their support</w:t>
      </w:r>
      <w:r w:rsidR="00AD24DF">
        <w:t>, several of which were contradictory</w:t>
      </w:r>
      <w:r w:rsidR="00F514FD">
        <w:t xml:space="preserve"> but none of which saw him conclusively</w:t>
      </w:r>
      <w:r w:rsidR="00036CCB">
        <w:t xml:space="preserve"> pledge in writing on any true, solid policy</w:t>
      </w:r>
      <w:r w:rsidR="006B06F5">
        <w:t xml:space="preserve">. This succeeded, and he was elected president; </w:t>
      </w:r>
      <w:r w:rsidR="0018289F">
        <w:t>shortly before his inauguration, he wrote an open letter praising the Missouri Compromise, and in his inauguration speech he maintained the same themes</w:t>
      </w:r>
      <w:r w:rsidR="00AD24DF">
        <w:t>; as many wits put it, he was a candidate without policy</w:t>
      </w:r>
      <w:r w:rsidR="0018289F">
        <w:t xml:space="preserve">. </w:t>
      </w:r>
    </w:p>
    <w:p w14:paraId="271D51FB" w14:textId="7DB302B3" w:rsidR="003B7B2F" w:rsidRDefault="003B7B2F" w:rsidP="00DE4801">
      <w:r>
        <w:lastRenderedPageBreak/>
        <w:t xml:space="preserve">Pike’s cabinet was almost immediately </w:t>
      </w:r>
      <w:r w:rsidR="00042C20">
        <w:t>demonstrative of the leanings of his party. His Secretary of State was Joel R. Poinsett, a South Carolinian ally of Calhoun</w:t>
      </w:r>
      <w:r w:rsidR="003D0307">
        <w:t xml:space="preserve"> albeit a voice of moderation during the </w:t>
      </w:r>
      <w:r w:rsidR="00FE3A12">
        <w:t xml:space="preserve">First </w:t>
      </w:r>
      <w:r w:rsidR="003D0307">
        <w:t>Nullification Crisis</w:t>
      </w:r>
      <w:r w:rsidR="00042C20">
        <w:t>, his Secretary of the Treasury was</w:t>
      </w:r>
      <w:r w:rsidR="003D0307">
        <w:t xml:space="preserve"> Levi Woodbury, a New Hampshire Calhounist, and his Secretary of Domestic Affairs was</w:t>
      </w:r>
      <w:r w:rsidR="00042C20">
        <w:t xml:space="preserve"> </w:t>
      </w:r>
      <w:r w:rsidR="003D0307">
        <w:t xml:space="preserve">John Tyler, a Virginian who won election to the Senate </w:t>
      </w:r>
      <w:proofErr w:type="gramStart"/>
      <w:r w:rsidR="003D0307">
        <w:t>on the basis of</w:t>
      </w:r>
      <w:proofErr w:type="gramEnd"/>
      <w:r w:rsidR="003D0307">
        <w:t xml:space="preserve"> his support of </w:t>
      </w:r>
      <w:r w:rsidR="00C1400E">
        <w:t>n</w:t>
      </w:r>
      <w:r w:rsidR="003D0307">
        <w:t xml:space="preserve">ullification. </w:t>
      </w:r>
      <w:r w:rsidR="004E74DA">
        <w:t xml:space="preserve">It would be Secretary Tyler who administered over the </w:t>
      </w:r>
      <w:r w:rsidR="003F28C6">
        <w:t xml:space="preserve">introduction of </w:t>
      </w:r>
      <w:r w:rsidR="0020163A">
        <w:t>fugitive slave commissioners</w:t>
      </w:r>
      <w:r w:rsidR="00140166">
        <w:t xml:space="preserve">, to enforce the </w:t>
      </w:r>
      <w:proofErr w:type="gramStart"/>
      <w:r w:rsidR="00140166">
        <w:t>newly-ratified</w:t>
      </w:r>
      <w:proofErr w:type="gramEnd"/>
      <w:r w:rsidR="00140166">
        <w:t xml:space="preserve"> Fugitive Slave Act</w:t>
      </w:r>
      <w:r w:rsidR="002D0C04">
        <w:rPr>
          <w:rStyle w:val="EndnoteReference"/>
        </w:rPr>
        <w:endnoteReference w:id="102"/>
      </w:r>
      <w:r w:rsidR="0020163A">
        <w:t xml:space="preserve">. </w:t>
      </w:r>
      <w:r w:rsidR="00CF7E57">
        <w:t xml:space="preserve">This immediately was a controversial act, </w:t>
      </w:r>
      <w:r w:rsidR="00195B91">
        <w:t>as many in the North regarded it as both unconstitutional and immoral</w:t>
      </w:r>
      <w:r w:rsidR="0055669C">
        <w:t>, and indeed several called for open civil disobedience against the Act</w:t>
      </w:r>
      <w:r w:rsidR="00195B91">
        <w:t xml:space="preserve">, but almost immediately Secretary Tyler sought to secure convictions under it. </w:t>
      </w:r>
      <w:r w:rsidR="008A5363">
        <w:t>Indeed, from the very beginning, several northerners who had voted for Pike, suddenly declared their regrets for their choice</w:t>
      </w:r>
      <w:r w:rsidR="00DA48BC">
        <w:t xml:space="preserve">, and this was a sudden blow to his popularity, though ultimately not for his position. </w:t>
      </w:r>
    </w:p>
    <w:p w14:paraId="0D43D7D3" w14:textId="647AA85A" w:rsidR="00BE666D" w:rsidRDefault="009558E1" w:rsidP="00DE4801">
      <w:r>
        <w:t>The specter of the Fugitive Slave Act almost immediately resulted in a mass exodus of free Coloreds towards Canada</w:t>
      </w:r>
      <w:r w:rsidR="00680816">
        <w:t>, free from the writs of the American government</w:t>
      </w:r>
      <w:r w:rsidR="00680816">
        <w:rPr>
          <w:rStyle w:val="EndnoteReference"/>
        </w:rPr>
        <w:endnoteReference w:id="103"/>
      </w:r>
      <w:r w:rsidR="00680816">
        <w:t>,</w:t>
      </w:r>
      <w:r w:rsidR="000A02FD">
        <w:t xml:space="preserve"> as it was clearly written under the assumption that any Colored person was guilty of being a slave unless ruled innocent</w:t>
      </w:r>
      <w:r>
        <w:t>, but it was not quick enough to stop</w:t>
      </w:r>
      <w:r w:rsidR="00FF1815">
        <w:t xml:space="preserve"> </w:t>
      </w:r>
      <w:r>
        <w:t xml:space="preserve">commissioners from arresting suspected fugitive slaves and </w:t>
      </w:r>
      <w:r w:rsidR="008B35ED">
        <w:t xml:space="preserve">putting them under trial. It was almost immediately clear that the juries – to be called, under the Act, by the same commissioners – were </w:t>
      </w:r>
      <w:r w:rsidR="00B50E72">
        <w:t xml:space="preserve">packed, to consist of </w:t>
      </w:r>
      <w:r w:rsidR="002C08AD">
        <w:t>people who supported the law</w:t>
      </w:r>
      <w:r w:rsidR="00F60668">
        <w:t xml:space="preserve"> rather than nullify it</w:t>
      </w:r>
      <w:r w:rsidR="002C08AD">
        <w:t xml:space="preserve">, and certainly to exclude any free Coloreds from participating. </w:t>
      </w:r>
      <w:r w:rsidR="000A02FD">
        <w:t xml:space="preserve">Within the Lower North such juries were easy to find, but this immediately drew into controversy when it came to New England. </w:t>
      </w:r>
      <w:r w:rsidR="0055669C">
        <w:t>When the commissioners</w:t>
      </w:r>
      <w:r w:rsidR="000A02FD">
        <w:t xml:space="preserve"> </w:t>
      </w:r>
      <w:r w:rsidR="0055669C">
        <w:t>of Boston arrested a fugitive slave</w:t>
      </w:r>
      <w:r w:rsidR="007E162C">
        <w:t xml:space="preserve">, the state government refused it access to its </w:t>
      </w:r>
      <w:r w:rsidR="00680816">
        <w:t xml:space="preserve">jails to install him; instead, they had to place him inside a makeshift cell in the customs house. </w:t>
      </w:r>
      <w:r w:rsidR="00F3241A">
        <w:t>The abolitionist Vigilance Committee of Boston</w:t>
      </w:r>
      <w:r w:rsidR="00680816">
        <w:t xml:space="preserve"> organized a plot to break the accused out of jail and shuffle </w:t>
      </w:r>
      <w:r w:rsidR="00F60668">
        <w:t xml:space="preserve">him to Canada, but this plot ended up defeated. </w:t>
      </w:r>
      <w:r w:rsidR="00F60668">
        <w:lastRenderedPageBreak/>
        <w:t xml:space="preserve">And when it came to </w:t>
      </w:r>
      <w:r w:rsidR="00F3241A">
        <w:t>assembling the jury, prospective jurors were required to swear that first, they wouldn’t nullify the law, and second, that they’d rule the accused free only if they found positive proof. This immediately saw mass protest; antislavery activists were additionally able to claim that this threatened the right to a jury trial for everyone. Most notably, several</w:t>
      </w:r>
      <w:r w:rsidR="00561BBF">
        <w:t xml:space="preserve"> antislavery</w:t>
      </w:r>
      <w:r w:rsidR="00F3241A">
        <w:t xml:space="preserve"> industrialists</w:t>
      </w:r>
      <w:r w:rsidR="008E7FE1">
        <w:t xml:space="preserve"> created a fund </w:t>
      </w:r>
      <w:r w:rsidR="00561BBF">
        <w:t>to pay</w:t>
      </w:r>
      <w:r w:rsidR="008E7FE1">
        <w:t xml:space="preserve"> </w:t>
      </w:r>
      <w:r w:rsidR="00561BBF">
        <w:t>jurors money</w:t>
      </w:r>
      <w:r w:rsidR="00423130">
        <w:t xml:space="preserve"> for </w:t>
      </w:r>
      <w:r w:rsidR="0035458D">
        <w:t>ruling the accused free. In the end though, the jurors all being proslavery thanks to the selection process resulted in them ruling the accused a slave.</w:t>
      </w:r>
      <w:r w:rsidR="00F43ACB">
        <w:t xml:space="preserve"> To send him to the South,</w:t>
      </w:r>
      <w:r w:rsidR="0035458D">
        <w:t xml:space="preserve"> </w:t>
      </w:r>
      <w:r w:rsidR="00F43ACB">
        <w:t xml:space="preserve">Secretary Tyler sent several battalions to march him to the harbor; a crowd of thirty thousand gathered to jeer at the troops, in a scene which evoked nothing less than the Boston Massacre. </w:t>
      </w:r>
      <w:r w:rsidR="007E648F">
        <w:t>To many</w:t>
      </w:r>
      <w:r w:rsidR="00952FD1">
        <w:t xml:space="preserve"> observers</w:t>
      </w:r>
      <w:r w:rsidR="00F43ACB">
        <w:t xml:space="preserve">, the Pike administration was no less tyrannical than the </w:t>
      </w:r>
      <w:r w:rsidR="007E648F">
        <w:t xml:space="preserve">Guelphs of old. </w:t>
      </w:r>
    </w:p>
    <w:p w14:paraId="26DA2E6A" w14:textId="4AEECD37" w:rsidR="00952FD1" w:rsidRDefault="001D0A61" w:rsidP="00DE4801">
      <w:r>
        <w:t xml:space="preserve">In the national arena, Daniel Webster headed the charge of dissent against the Fugitive Slave Act and its implementation; however, he focused on the threat that packed juries posed against white Americans and their liberty. This represented the beginning of the reunion of the Democratic Party: Webster’s moderate antislavery wing converged on Clay’s moderate proslavery wing, and the two could agree that the liberties of white Americans were being threatened by this conduct. </w:t>
      </w:r>
      <w:r w:rsidR="009443A2">
        <w:t xml:space="preserve">Indeed, jury-packing being one of the grievances that led to the British Isles’ Popular Revolution </w:t>
      </w:r>
      <w:r w:rsidR="00C4114C">
        <w:t>allowed the reunited Democratic Party to condemn the betrayal of national values</w:t>
      </w:r>
      <w:r w:rsidR="00CD7753">
        <w:t xml:space="preserve">, without verging on the </w:t>
      </w:r>
      <w:r w:rsidR="004A75E6">
        <w:t>sectionalist</w:t>
      </w:r>
      <w:r w:rsidR="00CD7753">
        <w:t xml:space="preserve"> theme that slavery itself betrayed the Revolution. </w:t>
      </w:r>
      <w:r w:rsidR="00936362">
        <w:t xml:space="preserve">As Webster and Clay together reunited the Democratic Party, a section of the Anti-Missourians refused, and this section swiftly transitioned towards full-blown abolitionism. </w:t>
      </w:r>
      <w:r w:rsidR="00863398">
        <w:t xml:space="preserve">Headed by </w:t>
      </w:r>
      <w:r w:rsidR="003044C6">
        <w:t xml:space="preserve">Congressman </w:t>
      </w:r>
      <w:r w:rsidR="00863398">
        <w:t>William Leggett, whose commit</w:t>
      </w:r>
      <w:r w:rsidR="00247BC0">
        <w:t>ment towards</w:t>
      </w:r>
      <w:r w:rsidR="00F370D6">
        <w:t xml:space="preserve"> </w:t>
      </w:r>
      <w:r w:rsidR="00247BC0">
        <w:t xml:space="preserve">classical radicalism </w:t>
      </w:r>
      <w:r w:rsidR="003044C6">
        <w:t>culminated with him being radicalized against slavery, this section became known as the Equal Rights Party</w:t>
      </w:r>
      <w:r w:rsidR="00656CA9">
        <w:t xml:space="preserve">, and it advocated the end of slavery in all the territories, a ban on interstate slave commerce, and a prohibition on the National Bank participating in </w:t>
      </w:r>
      <w:r w:rsidR="00B36357">
        <w:t xml:space="preserve">slavery. It was nothing less than the divestment of the federal government from </w:t>
      </w:r>
      <w:r w:rsidR="00B36357">
        <w:lastRenderedPageBreak/>
        <w:t xml:space="preserve">slavery, to reduce </w:t>
      </w:r>
      <w:r w:rsidR="00847EF4">
        <w:t xml:space="preserve">the institution to a mere local level where it would be rendered extinct. </w:t>
      </w:r>
      <w:r w:rsidR="005D714A">
        <w:t xml:space="preserve">However, the Equal Rights Party was a mere minority party, and even within the northern states </w:t>
      </w:r>
      <w:r w:rsidR="002B0D58">
        <w:t xml:space="preserve">it could only succeed in electing state legislators and a handful of congressmen; there was also a section of the abolitionist movement, headed by William Lloyd Garrison, which declared any participation within the government meant complicity in slavery. </w:t>
      </w:r>
    </w:p>
    <w:p w14:paraId="30EEA7E7" w14:textId="00B8B8BD" w:rsidR="002D66DA" w:rsidRDefault="00904909" w:rsidP="00DE4801">
      <w:r>
        <w:t xml:space="preserve">The unprecedented organization of the </w:t>
      </w:r>
      <w:r w:rsidR="00227DC8">
        <w:t>abolitionist movement that the Equal Rights Party represented also resulted in a backlash</w:t>
      </w:r>
      <w:r w:rsidR="00B5488D">
        <w:t>.</w:t>
      </w:r>
      <w:r w:rsidR="00227DC8">
        <w:t xml:space="preserve"> </w:t>
      </w:r>
      <w:r w:rsidR="00B5488D">
        <w:t>W</w:t>
      </w:r>
      <w:r w:rsidR="00227DC8">
        <w:t xml:space="preserve">ithin the South, the </w:t>
      </w:r>
      <w:r w:rsidR="00B5488D">
        <w:t>antislavery movement</w:t>
      </w:r>
      <w:r w:rsidR="007E76A2">
        <w:t>, once tolerated as a distinct undercurrent dating from the lofty ideals of the Revolution</w:t>
      </w:r>
      <w:r w:rsidR="00B5488D">
        <w:t xml:space="preserve"> ended up entirely destroyed in several waves of mob violence, as the majority of whites viewed it as nothing less than treason against their section; and within the North, </w:t>
      </w:r>
      <w:r w:rsidR="00567134">
        <w:t xml:space="preserve">influential Republican figures and news editors claimed that Coloreds </w:t>
      </w:r>
      <w:r w:rsidR="00B5488D">
        <w:t>free blacks, upon receiving emancipation, would move northwards and take jobs</w:t>
      </w:r>
      <w:r w:rsidR="00567134">
        <w:t>. This propagand</w:t>
      </w:r>
      <w:r w:rsidR="000E02F4">
        <w:t>izing</w:t>
      </w:r>
      <w:r w:rsidR="00567134">
        <w:t xml:space="preserve"> proved to be a successful affair, and it</w:t>
      </w:r>
      <w:r w:rsidR="00B5488D">
        <w:t xml:space="preserve"> </w:t>
      </w:r>
      <w:r w:rsidR="00D44D59">
        <w:t>led to mechanics</w:t>
      </w:r>
      <w:r w:rsidR="00B5488D">
        <w:t xml:space="preserve"> </w:t>
      </w:r>
      <w:r w:rsidR="00D44D59">
        <w:t>and the working class becomin</w:t>
      </w:r>
      <w:r w:rsidR="00267900">
        <w:t>g less proslavery, and more</w:t>
      </w:r>
      <w:r w:rsidR="00D44D59">
        <w:t xml:space="preserve"> anti-anti-slavery</w:t>
      </w:r>
      <w:r w:rsidR="00767AD8">
        <w:t>; they feared the abolitionists for what they might do to their livelihoods</w:t>
      </w:r>
      <w:r w:rsidR="00D44D59">
        <w:t xml:space="preserve">. </w:t>
      </w:r>
      <w:r w:rsidR="00D632D1">
        <w:t>Such attitudes combined into anti-immigrant sentiment, as nativist Republicans found it too easy to claim that abolitionism was some Irish and British plot</w:t>
      </w:r>
      <w:r w:rsidR="00DA2358">
        <w:t xml:space="preserve"> to disrupt American society</w:t>
      </w:r>
      <w:r w:rsidR="00D632D1">
        <w:t xml:space="preserve">, </w:t>
      </w:r>
      <w:r w:rsidR="00831EA1">
        <w:t xml:space="preserve">of </w:t>
      </w:r>
      <w:r w:rsidR="00D632D1">
        <w:t xml:space="preserve">which abolitionist immigrants were merely the pawns. </w:t>
      </w:r>
      <w:r w:rsidR="003E42BB">
        <w:t xml:space="preserve">Abolitionist celebrations of British emancipation, or of its Charter Day, ceased to be </w:t>
      </w:r>
      <w:r w:rsidR="00B64F9B">
        <w:t>displays</w:t>
      </w:r>
      <w:r w:rsidR="003E42BB">
        <w:t xml:space="preserve"> of republican solidarity; instead, they were</w:t>
      </w:r>
      <w:r w:rsidR="00B64F9B">
        <w:t xml:space="preserve"> proof of some abolitionist conspiracy operating out of London and</w:t>
      </w:r>
      <w:r w:rsidR="00C13935">
        <w:t>, to give it a special Irish tinge, they claimed it was</w:t>
      </w:r>
      <w:r w:rsidR="00B64F9B">
        <w:t xml:space="preserve"> managed by </w:t>
      </w:r>
      <w:r w:rsidR="001B38ED">
        <w:t>the infamous</w:t>
      </w:r>
      <w:r w:rsidR="008E724D">
        <w:t xml:space="preserve"> Daniel</w:t>
      </w:r>
      <w:r w:rsidR="00B64F9B">
        <w:t xml:space="preserve"> O’Connell.</w:t>
      </w:r>
      <w:r w:rsidR="003E42BB">
        <w:t xml:space="preserve"> </w:t>
      </w:r>
      <w:r w:rsidR="00831EA1">
        <w:t>Anti-abolitionist mobs coursed through</w:t>
      </w:r>
      <w:r w:rsidR="006C2A22">
        <w:t xml:space="preserve"> several Northern cities</w:t>
      </w:r>
      <w:r w:rsidR="006303A9">
        <w:t>;</w:t>
      </w:r>
      <w:r w:rsidR="006C2A22">
        <w:t xml:space="preserve"> even in</w:t>
      </w:r>
      <w:r w:rsidR="00831EA1">
        <w:t xml:space="preserve"> Boston, </w:t>
      </w:r>
      <w:r w:rsidR="006303A9">
        <w:t>that old stronghold of anti-slavery thought, a mob</w:t>
      </w:r>
      <w:r w:rsidR="00831EA1">
        <w:t xml:space="preserve"> nearly lynched William Lloyd Garrison</w:t>
      </w:r>
      <w:r w:rsidR="00097A10">
        <w:t>. But the one which attracted national attention was in S</w:t>
      </w:r>
      <w:r w:rsidR="004A0CFF">
        <w:t>aint</w:t>
      </w:r>
      <w:r w:rsidR="00097A10">
        <w:t xml:space="preserve"> Paul. </w:t>
      </w:r>
    </w:p>
    <w:p w14:paraId="65265B39" w14:textId="4AF3A1F1" w:rsidR="00904909" w:rsidRDefault="00097A10" w:rsidP="00DE4801">
      <w:r>
        <w:lastRenderedPageBreak/>
        <w:t xml:space="preserve">A frontier town in Ontonagon Territory, </w:t>
      </w:r>
      <w:r w:rsidR="003E49E7">
        <w:t>Saint Paul</w:t>
      </w:r>
      <w:r>
        <w:t xml:space="preserve"> was on the Mississippi River, in its far north</w:t>
      </w:r>
      <w:r w:rsidR="009A2268">
        <w:t>, the</w:t>
      </w:r>
      <w:r>
        <w:t xml:space="preserve"> </w:t>
      </w:r>
      <w:r w:rsidR="009A2268">
        <w:t>only part</w:t>
      </w:r>
      <w:r>
        <w:t xml:space="preserve"> free from slavery. </w:t>
      </w:r>
      <w:r w:rsidR="00C07966">
        <w:t>Benjamin Lundy was an abolitionist who printed a newspaper to spread over the Mississippi River network. Hounded out of Illinois and Missouri</w:t>
      </w:r>
      <w:r w:rsidR="004A0CFF">
        <w:t xml:space="preserve"> by proslavery mobs, Lundy instead travelled up the Mississippi to free-soil Saint Paul, and he distributed the newspaper southward. </w:t>
      </w:r>
      <w:r w:rsidR="00F73111">
        <w:t xml:space="preserve">However, this </w:t>
      </w:r>
      <w:r w:rsidR="00891F24">
        <w:t xml:space="preserve">faced anger from its settler </w:t>
      </w:r>
      <w:proofErr w:type="gramStart"/>
      <w:r w:rsidR="00530091">
        <w:t>working-classes</w:t>
      </w:r>
      <w:proofErr w:type="gramEnd"/>
      <w:r w:rsidR="00891F24">
        <w:t xml:space="preserve">, which believed </w:t>
      </w:r>
      <w:r w:rsidR="00530091">
        <w:t>abolition</w:t>
      </w:r>
      <w:r w:rsidR="00891F24">
        <w:t xml:space="preserve"> a threat to their economic prosperity, and </w:t>
      </w:r>
      <w:r w:rsidR="00530091">
        <w:t>they destroyed his printing press three times. But each time, Lundy simply built a new press</w:t>
      </w:r>
      <w:r w:rsidR="00AC6CAE">
        <w:t xml:space="preserve"> and got back to work. The fourth time, however, when the mob came, he was at his printing press. The mob snatched him and beat him to death</w:t>
      </w:r>
      <w:r w:rsidR="004F02B1">
        <w:rPr>
          <w:rStyle w:val="EndnoteReference"/>
        </w:rPr>
        <w:endnoteReference w:id="104"/>
      </w:r>
      <w:r w:rsidR="00AC6CAE">
        <w:t xml:space="preserve">. News of Benjamin Lundy’s death coursed through the nation. Membership in abolitionist societies suddenly escalated dramatically, and </w:t>
      </w:r>
      <w:r w:rsidR="00F42478">
        <w:t>they immediately heralded him as a martyr</w:t>
      </w:r>
      <w:r w:rsidR="00F56E42">
        <w:t xml:space="preserve">. </w:t>
      </w:r>
      <w:r w:rsidR="00D812E6">
        <w:t>The unceasing, radical abolitionist journalist William Lloyd Garrison</w:t>
      </w:r>
      <w:r w:rsidR="001B61B2">
        <w:t>, who</w:t>
      </w:r>
      <w:r w:rsidR="00D812E6">
        <w:t xml:space="preserve"> was first converted to </w:t>
      </w:r>
      <w:proofErr w:type="gramStart"/>
      <w:r w:rsidR="00D812E6">
        <w:t>ultra abolitionism</w:t>
      </w:r>
      <w:proofErr w:type="gramEnd"/>
      <w:r w:rsidR="00D812E6">
        <w:t xml:space="preserve"> by Lundy</w:t>
      </w:r>
      <w:r w:rsidR="001B61B2">
        <w:t>,</w:t>
      </w:r>
      <w:r w:rsidR="00D812E6">
        <w:t xml:space="preserve"> </w:t>
      </w:r>
      <w:r w:rsidR="001B61B2">
        <w:t>deeply</w:t>
      </w:r>
      <w:r w:rsidR="00D812E6">
        <w:t xml:space="preserve"> mourned his life; and t</w:t>
      </w:r>
      <w:r w:rsidR="00F56E42">
        <w:t>he great abolitionist agitator Wendell Phillips first made his name in a speech praising Lundy as a martyr and the just inheritor of the values of 1776</w:t>
      </w:r>
      <w:r w:rsidR="00F42478">
        <w:t xml:space="preserve">. With the Liberty and Union War and the abolition of slavery, Lundy would ultimately be heralded as a national martyr; today, in the National Colosseum, a statue of Benjamin Lundy is one of several which represents the state of Ontonagon. </w:t>
      </w:r>
    </w:p>
    <w:p w14:paraId="4D4EAC56" w14:textId="060F28B2" w:rsidR="00F56E42" w:rsidRDefault="00A1407C" w:rsidP="00DE4801">
      <w:r>
        <w:t xml:space="preserve">Thus, coming into 1839, the Pike administration saw the </w:t>
      </w:r>
      <w:r w:rsidR="00B0237D">
        <w:t xml:space="preserve">Missouri Compromise buckle, but nevertheless hold. Sectionalism bubbled beneath the surface, but it </w:t>
      </w:r>
      <w:r w:rsidR="008D7474">
        <w:t>remained there. The abolitionist movement matured and became something cohesive complete with organizations and even a political party, but it could not grow beyond that</w:t>
      </w:r>
      <w:r w:rsidR="00AA1EBC">
        <w:t>, and indeed it faced a mass campaign of opposition, especially by the street mob</w:t>
      </w:r>
      <w:r w:rsidR="008D7474">
        <w:t xml:space="preserve">. </w:t>
      </w:r>
      <w:r w:rsidR="002E65CA">
        <w:t xml:space="preserve">But opposition to Pike grew. The Democratic Party successfully surmounted the sectional divide, and slowly they organized an opposition to him and his administration. </w:t>
      </w:r>
      <w:r w:rsidR="00C5084D">
        <w:t xml:space="preserve">They pointed to him as nothing less than the second incarnation the </w:t>
      </w:r>
      <w:r w:rsidR="00C5084D">
        <w:lastRenderedPageBreak/>
        <w:t xml:space="preserve">Federalists, like them abusing national power – and in </w:t>
      </w:r>
      <w:r w:rsidR="001D15F8">
        <w:t xml:space="preserve">the years that followed, they would challenge his rule of the United States. </w:t>
      </w:r>
    </w:p>
    <w:p w14:paraId="366AAA24" w14:textId="15DBD845" w:rsidR="00DE4801" w:rsidRDefault="00DE4801" w:rsidP="00DE4801">
      <w:r>
        <w:br w:type="page"/>
      </w:r>
    </w:p>
    <w:p w14:paraId="72EEEBF9" w14:textId="350E00EB" w:rsidR="00B95054" w:rsidRPr="00E75507" w:rsidRDefault="00B95054" w:rsidP="00E75507"/>
    <w:p w14:paraId="01F9083D" w14:textId="77777777" w:rsidR="00E75507" w:rsidRDefault="00E75507" w:rsidP="00E75507">
      <w:pPr>
        <w:sectPr w:rsidR="00E75507" w:rsidSect="00E75507">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49BDC927" w14:textId="77777777" w:rsidR="00E75507" w:rsidRDefault="00E75507" w:rsidP="00E75507">
      <w:r>
        <w:br w:type="page"/>
      </w:r>
    </w:p>
    <w:p w14:paraId="7BF5624E" w14:textId="072B9F74" w:rsidR="002F3CE6" w:rsidRDefault="002F3CE6" w:rsidP="002F3CE6">
      <w:pPr>
        <w:pStyle w:val="Heading1"/>
      </w:pPr>
      <w:bookmarkStart w:id="30" w:name="_Toc202006222"/>
      <w:r>
        <w:lastRenderedPageBreak/>
        <w:t>23. The New Resolve</w:t>
      </w:r>
      <w:bookmarkEnd w:id="30"/>
    </w:p>
    <w:p w14:paraId="621AFF58" w14:textId="6E17145E" w:rsidR="002F3CE6" w:rsidRDefault="002F3CE6" w:rsidP="002F3CE6">
      <w:r>
        <w:t xml:space="preserve">Pike’s election also represented a new era in foreign policy. </w:t>
      </w:r>
      <w:r w:rsidR="00922018">
        <w:t xml:space="preserve">President Harrison and Secretary Clay held sympathies for republican revolution everywhere, including those that </w:t>
      </w:r>
      <w:r w:rsidR="007B27E1">
        <w:t xml:space="preserve">tended towards </w:t>
      </w:r>
      <w:r w:rsidR="009D68A4">
        <w:t xml:space="preserve">the </w:t>
      </w:r>
      <w:r w:rsidR="007B27E1">
        <w:t>abolition of slavery</w:t>
      </w:r>
      <w:r w:rsidR="00474C2D">
        <w:t>. Harrison and Clay both met the Popular Revolution in the British Isles with joy, and their Anglophobia very suddenly turned towards</w:t>
      </w:r>
      <w:r w:rsidR="003B696D">
        <w:t xml:space="preserve"> Anglophilia. </w:t>
      </w:r>
      <w:r w:rsidR="00582929">
        <w:t>Come 1830 and the British revolutionary government abolishing slavery</w:t>
      </w:r>
      <w:r w:rsidR="002776F9">
        <w:t xml:space="preserve">, Harrison and Clay continued to have quite warm relations with </w:t>
      </w:r>
      <w:r w:rsidR="0057070A">
        <w:t>the British Isles</w:t>
      </w:r>
      <w:r w:rsidR="002776F9">
        <w:t>, but the Planter Ascendancy suddenly</w:t>
      </w:r>
      <w:r w:rsidR="00143CAE">
        <w:t xml:space="preserve"> felt under siege. Having long feared the </w:t>
      </w:r>
      <w:r w:rsidR="002212E6">
        <w:t>French would take their slaves, they now feared the British would join them</w:t>
      </w:r>
      <w:r w:rsidR="009A4B4A">
        <w:t xml:space="preserve"> and they saw the </w:t>
      </w:r>
      <w:r w:rsidR="003F4E35">
        <w:t>warmth of American relations as something dangerous</w:t>
      </w:r>
      <w:r w:rsidR="005E7D98">
        <w:rPr>
          <w:rStyle w:val="EndnoteReference"/>
        </w:rPr>
        <w:endnoteReference w:id="105"/>
      </w:r>
      <w:r w:rsidR="003F4E35">
        <w:t xml:space="preserve">. This ultimately led to </w:t>
      </w:r>
      <w:r w:rsidR="003E5DED">
        <w:t xml:space="preserve">the anxieties that peaked with the </w:t>
      </w:r>
      <w:r w:rsidR="000E62B0">
        <w:t xml:space="preserve">First Nullification Crisis, but ultimately the stress to the union passed with the Compromise Tariff. </w:t>
      </w:r>
      <w:r w:rsidR="00FD1011">
        <w:t>In the years that followed, the Democratic Party tended towards Anglophilia and the Republicans towards Anglophobia – this foreign policy</w:t>
      </w:r>
      <w:r w:rsidR="00073197">
        <w:t xml:space="preserve"> realignment</w:t>
      </w:r>
      <w:r w:rsidR="00FD1011">
        <w:t xml:space="preserve"> directly owed itself to slavery. </w:t>
      </w:r>
    </w:p>
    <w:p w14:paraId="28291FA3" w14:textId="135BBB78" w:rsidR="00B94EBC" w:rsidRDefault="00A27F62" w:rsidP="002F3CE6">
      <w:r>
        <w:t>Additionally came new relations with Venezuela. Venezuela</w:t>
      </w:r>
      <w:r w:rsidR="00451E6E">
        <w:t xml:space="preserve">’s </w:t>
      </w:r>
      <w:r w:rsidR="005C5EE1">
        <w:t>nationhood was one which saw strong support in the United States</w:t>
      </w:r>
      <w:r w:rsidR="00C60B99">
        <w:t>.</w:t>
      </w:r>
      <w:r w:rsidR="00245AF0">
        <w:t xml:space="preserve"> Francisco de Miranda </w:t>
      </w:r>
      <w:r w:rsidR="002355D4">
        <w:t>was</w:t>
      </w:r>
      <w:r w:rsidR="00245AF0">
        <w:t>, before returning</w:t>
      </w:r>
      <w:r w:rsidR="00827ABA">
        <w:t xml:space="preserve"> to Venezuela</w:t>
      </w:r>
      <w:r w:rsidR="00245AF0">
        <w:t xml:space="preserve"> at the head of a British army</w:t>
      </w:r>
      <w:r w:rsidR="002307CC">
        <w:t xml:space="preserve">, </w:t>
      </w:r>
      <w:r w:rsidR="002355D4">
        <w:t>stuck</w:t>
      </w:r>
      <w:r w:rsidR="00827ABA">
        <w:t xml:space="preserve"> in a long </w:t>
      </w:r>
      <w:r w:rsidR="00517D89">
        <w:t xml:space="preserve">exile for </w:t>
      </w:r>
      <w:r w:rsidR="002355D4">
        <w:t>over half a century</w:t>
      </w:r>
      <w:r w:rsidR="00BA4A70">
        <w:t xml:space="preserve"> where he had an exciting life as an eternal agitator for the cause of Spanish American liberty</w:t>
      </w:r>
      <w:r w:rsidR="00BB5773">
        <w:rPr>
          <w:rStyle w:val="EndnoteReference"/>
        </w:rPr>
        <w:endnoteReference w:id="106"/>
      </w:r>
      <w:r w:rsidR="006B6A32">
        <w:t xml:space="preserve">; </w:t>
      </w:r>
      <w:r w:rsidR="00E42068">
        <w:t>in the 1780s</w:t>
      </w:r>
      <w:r w:rsidR="006B6A32">
        <w:t>, he had for some time</w:t>
      </w:r>
      <w:r w:rsidR="00306CB0">
        <w:t xml:space="preserve"> lived </w:t>
      </w:r>
      <w:r w:rsidR="00E42068">
        <w:t xml:space="preserve">in the </w:t>
      </w:r>
      <w:r w:rsidR="00306CB0">
        <w:t xml:space="preserve">United States where he </w:t>
      </w:r>
      <w:r w:rsidR="00621E64">
        <w:t>met George Washington</w:t>
      </w:r>
      <w:r w:rsidR="00C453DF">
        <w:t xml:space="preserve">, Thomas Jefferson, and several other </w:t>
      </w:r>
      <w:r w:rsidR="00C15A8A">
        <w:t xml:space="preserve">great Americans. </w:t>
      </w:r>
      <w:r w:rsidR="00875306">
        <w:t xml:space="preserve">Thus, by the time he made his return to Venezuela in 1823, Americans cheered him on and only lamented that it was the British and not the Americans who </w:t>
      </w:r>
      <w:r w:rsidR="00B24823">
        <w:t>could aid him in this project of national liberation</w:t>
      </w:r>
      <w:r w:rsidR="00C71539">
        <w:t>; the nation saw swift American recognition</w:t>
      </w:r>
      <w:r w:rsidR="00E55FEE">
        <w:t xml:space="preserve">. </w:t>
      </w:r>
      <w:r w:rsidR="001023B4">
        <w:t xml:space="preserve">And though that the traitor Hamilton, upon fleeing into exile in Canada, then made his way to </w:t>
      </w:r>
      <w:r w:rsidR="00E82B78">
        <w:t xml:space="preserve">Venezuela to assist Miranda, </w:t>
      </w:r>
      <w:r w:rsidR="00E82B78">
        <w:lastRenderedPageBreak/>
        <w:t>certainly tarnished the cause</w:t>
      </w:r>
      <w:r w:rsidR="0052076E">
        <w:t xml:space="preserve">, </w:t>
      </w:r>
      <w:r w:rsidR="00B26825">
        <w:t xml:space="preserve">it still seemed to </w:t>
      </w:r>
      <w:proofErr w:type="gramStart"/>
      <w:r w:rsidR="00B26825">
        <w:t>the vast majority of</w:t>
      </w:r>
      <w:proofErr w:type="gramEnd"/>
      <w:r w:rsidR="00B26825">
        <w:t xml:space="preserve"> Americans a quest for national liberty and an echo of America’s own revolution. </w:t>
      </w:r>
    </w:p>
    <w:p w14:paraId="52A05778" w14:textId="3A92AAF0" w:rsidR="00A27F62" w:rsidRDefault="00585519" w:rsidP="002F3CE6">
      <w:r>
        <w:t>Upon the end of the Luisiana War, it did not take long for the United States to immediately make arms available for Venezuelan purchase, nor did it take long</w:t>
      </w:r>
      <w:r w:rsidR="00B9254D">
        <w:t xml:space="preserve"> for several American veterans to enlist in the Venezuelan army</w:t>
      </w:r>
      <w:r w:rsidR="00FC4C09">
        <w:t xml:space="preserve">, </w:t>
      </w:r>
      <w:proofErr w:type="gramStart"/>
      <w:r w:rsidR="00FC4C09">
        <w:t>in order to</w:t>
      </w:r>
      <w:proofErr w:type="gramEnd"/>
      <w:r w:rsidR="00FC4C09">
        <w:t xml:space="preserve"> fight against latent anti-independentist sentiment</w:t>
      </w:r>
      <w:r w:rsidR="00E07410">
        <w:t>. In total, some ten thousand Americans took up arms in the Venezuelan Patriot army</w:t>
      </w:r>
      <w:r w:rsidR="00B9254D">
        <w:t xml:space="preserve">. This the Spanish government protested, but its fears of some grand republican alliance meant it did little beyond this. </w:t>
      </w:r>
      <w:r w:rsidR="009276CF">
        <w:t>Instead, unofficial American assistance proved crucial for the Venezuelan cause</w:t>
      </w:r>
      <w:r w:rsidR="00E07410">
        <w:t>, against both royalists</w:t>
      </w:r>
      <w:r w:rsidR="00A71287">
        <w:t>,</w:t>
      </w:r>
      <w:r w:rsidR="00E07410">
        <w:t xml:space="preserve"> </w:t>
      </w:r>
      <w:r w:rsidR="00A71287">
        <w:t>as well as</w:t>
      </w:r>
      <w:r w:rsidR="00E07410">
        <w:t xml:space="preserve"> independentists who hated the Patriots</w:t>
      </w:r>
      <w:r w:rsidR="00DD1148">
        <w:rPr>
          <w:rStyle w:val="EndnoteReference"/>
        </w:rPr>
        <w:endnoteReference w:id="107"/>
      </w:r>
      <w:r w:rsidR="009276CF">
        <w:t xml:space="preserve">; Miranda, and </w:t>
      </w:r>
      <w:r w:rsidR="00965521">
        <w:t xml:space="preserve">after his death </w:t>
      </w:r>
      <w:r w:rsidR="002F5A1B" w:rsidRPr="002F5A1B">
        <w:t>José Antonio Anzoátegui</w:t>
      </w:r>
      <w:r w:rsidR="009276CF">
        <w:t xml:space="preserve">, armed their troops with </w:t>
      </w:r>
      <w:r w:rsidR="004B166B">
        <w:t xml:space="preserve">American </w:t>
      </w:r>
      <w:r w:rsidR="009276CF">
        <w:t>guns, and by 1830 they successfully established a Venezuelan state</w:t>
      </w:r>
      <w:r w:rsidR="0012136D">
        <w:t>; by the time the Spanish Interregnum permanently put an end to Spanish designs of reconquest, the line had already been drawn</w:t>
      </w:r>
      <w:r w:rsidR="009276CF">
        <w:t xml:space="preserve">. </w:t>
      </w:r>
      <w:proofErr w:type="gramStart"/>
      <w:r w:rsidR="0095704E">
        <w:t>Also</w:t>
      </w:r>
      <w:proofErr w:type="gramEnd"/>
      <w:r w:rsidR="0095704E">
        <w:t xml:space="preserve"> in 1830 </w:t>
      </w:r>
      <w:r w:rsidR="00206D71">
        <w:t>Venezuela</w:t>
      </w:r>
      <w:r w:rsidR="0095704E">
        <w:t xml:space="preserve"> </w:t>
      </w:r>
      <w:r w:rsidR="00206D71">
        <w:t>ratified for itself</w:t>
      </w:r>
      <w:r w:rsidR="0095704E">
        <w:t xml:space="preserve"> a new constitution; </w:t>
      </w:r>
      <w:r w:rsidR="00321BF6">
        <w:t xml:space="preserve">within its complicated arrangements was </w:t>
      </w:r>
      <w:r w:rsidR="00CE5066">
        <w:t xml:space="preserve">freedom of the womb, which would bring slavery to extinction within several decades. </w:t>
      </w:r>
      <w:r w:rsidR="00E07410">
        <w:t>T</w:t>
      </w:r>
      <w:r w:rsidR="005F2117">
        <w:t xml:space="preserve">he Venezuelan Patriots had already freed </w:t>
      </w:r>
      <w:r w:rsidR="009E0A6F">
        <w:t>a large proportion</w:t>
      </w:r>
      <w:r w:rsidR="005F2117">
        <w:t xml:space="preserve"> of slaves</w:t>
      </w:r>
      <w:r w:rsidR="009E0A6F">
        <w:t xml:space="preserve">, </w:t>
      </w:r>
      <w:r w:rsidR="00E8198D">
        <w:t xml:space="preserve">either because they enlisted in the army or because </w:t>
      </w:r>
      <w:r w:rsidR="004C0C8C">
        <w:t>they were owned by royalists</w:t>
      </w:r>
      <w:r w:rsidR="00D536A8">
        <w:t>, and indeed winning the support of the Colored and mixed-race population</w:t>
      </w:r>
      <w:r w:rsidR="00E07410">
        <w:t xml:space="preserve">, especially the </w:t>
      </w:r>
      <w:r w:rsidR="00E07410" w:rsidRPr="00E07410">
        <w:rPr>
          <w:i/>
          <w:iCs/>
        </w:rPr>
        <w:t>llanero</w:t>
      </w:r>
      <w:r w:rsidR="00E07410">
        <w:t xml:space="preserve"> culture of the plains,</w:t>
      </w:r>
      <w:r w:rsidR="00D536A8">
        <w:t xml:space="preserve"> was crucial to the success of the Venezuelan Patriots</w:t>
      </w:r>
      <w:r w:rsidR="00E07410">
        <w:t>. But</w:t>
      </w:r>
      <w:r w:rsidR="004C0C8C">
        <w:t xml:space="preserve"> this </w:t>
      </w:r>
      <w:r w:rsidR="00D536A8">
        <w:t>put this policy at the front and center of its agenda</w:t>
      </w:r>
      <w:r w:rsidR="004C0C8C">
        <w:t xml:space="preserve">. </w:t>
      </w:r>
      <w:r w:rsidR="002064F6">
        <w:t>Suddenly, Southern opinion on Venezuela changed, as along with Haiti’s</w:t>
      </w:r>
      <w:r w:rsidR="008A2C6A">
        <w:t xml:space="preserve"> and Bahia’s</w:t>
      </w:r>
      <w:r w:rsidR="002064F6">
        <w:t xml:space="preserve"> independence as Colored republic</w:t>
      </w:r>
      <w:r w:rsidR="008A2C6A">
        <w:t>s</w:t>
      </w:r>
      <w:r w:rsidR="002064F6">
        <w:t>, it seemed another chain in the link of “race-mixing”</w:t>
      </w:r>
      <w:r w:rsidR="00224390">
        <w:rPr>
          <w:rStyle w:val="EndnoteReference"/>
        </w:rPr>
        <w:endnoteReference w:id="108"/>
      </w:r>
      <w:r w:rsidR="002064F6">
        <w:t xml:space="preserve">. </w:t>
      </w:r>
    </w:p>
    <w:p w14:paraId="449D7F7C" w14:textId="4D317530" w:rsidR="009341B2" w:rsidRDefault="009341B2" w:rsidP="002F3CE6">
      <w:r>
        <w:t xml:space="preserve">In 1834, the Venezuelan government </w:t>
      </w:r>
      <w:r w:rsidR="007E4EA1">
        <w:t xml:space="preserve">declared the convening of a </w:t>
      </w:r>
      <w:r w:rsidR="005739A8">
        <w:t>congress of all the independent nations of the continent</w:t>
      </w:r>
      <w:r>
        <w:t xml:space="preserve"> </w:t>
      </w:r>
      <w:r w:rsidR="005739A8">
        <w:t>of America.</w:t>
      </w:r>
      <w:r w:rsidR="0021277E">
        <w:t xml:space="preserve"> Coming after the Popular Revolution and the ensuing collapse of Britain’s empire in the Caribbean,</w:t>
      </w:r>
      <w:r w:rsidR="005739A8">
        <w:t xml:space="preserve"> </w:t>
      </w:r>
      <w:r w:rsidR="0021277E">
        <w:t>this included the United States, Venezuela</w:t>
      </w:r>
      <w:r w:rsidR="00D1214A">
        <w:t xml:space="preserve">, </w:t>
      </w:r>
      <w:r w:rsidR="00D1214A">
        <w:lastRenderedPageBreak/>
        <w:t>Bahia</w:t>
      </w:r>
      <w:r w:rsidR="0021277E">
        <w:t xml:space="preserve">, Haiti, Grenada, Sainte-Lucie, and </w:t>
      </w:r>
      <w:proofErr w:type="spellStart"/>
      <w:r w:rsidR="0021277E">
        <w:t>Youloumain</w:t>
      </w:r>
      <w:proofErr w:type="spellEnd"/>
      <w:r w:rsidR="0021277E">
        <w:t>; in addition, it called for British and French delegates as observers. A supporter of Pan-American independence</w:t>
      </w:r>
      <w:r w:rsidR="00CF1B8B">
        <w:rPr>
          <w:rStyle w:val="EndnoteReference"/>
        </w:rPr>
        <w:endnoteReference w:id="109"/>
      </w:r>
      <w:r w:rsidR="0021277E">
        <w:t>, Secretary Clay swiftly made for the sending of delegates to this new Pan-American Congress in Cumana; however, the Planter Ascendancy being beyond disturbed at the idea of entreating with the freedmen’s state of Haiti</w:t>
      </w:r>
      <w:r w:rsidR="00B92A3C">
        <w:t>, and the mulatto state of Bahia,</w:t>
      </w:r>
      <w:r w:rsidR="0021277E">
        <w:t xml:space="preserve"> as equals, it successfully blocked congressional appropriations. Clay nevertheless sent delegates to Cumana – but here,</w:t>
      </w:r>
      <w:r w:rsidR="002865E4">
        <w:t xml:space="preserve"> talks proved unfruitful. Supreme Director </w:t>
      </w:r>
      <w:r w:rsidR="00455F40" w:rsidRPr="00455F40">
        <w:t>Anzoátegui</w:t>
      </w:r>
      <w:r w:rsidR="002865E4">
        <w:t>’s attempts to get an American alliance of mutual defence failed, and all th</w:t>
      </w:r>
      <w:r w:rsidR="00784881">
        <w:t>ese talks</w:t>
      </w:r>
      <w:r w:rsidR="002865E4">
        <w:t xml:space="preserve"> really succeeded in was loosening some trade restrictions. </w:t>
      </w:r>
      <w:r w:rsidR="003D5A68">
        <w:t xml:space="preserve">This made the nation a market for </w:t>
      </w:r>
      <w:r w:rsidR="001D0A57">
        <w:t xml:space="preserve">the burgeoning American manufacturing sector, although it was not much one. </w:t>
      </w:r>
      <w:r w:rsidR="000B5BF3">
        <w:t>And with Haiti and Bahia, the American delegates maintained a cool indifference</w:t>
      </w:r>
      <w:r w:rsidR="00073CA8">
        <w:t xml:space="preserve"> – both to avoid making a </w:t>
      </w:r>
      <w:r w:rsidR="00947617">
        <w:t>commotion</w:t>
      </w:r>
      <w:r w:rsidR="00073CA8">
        <w:t>, and to not treat them like equals – though even this</w:t>
      </w:r>
      <w:r w:rsidR="003011FE">
        <w:t>, many Southerners regarded as too much recognition</w:t>
      </w:r>
      <w:r w:rsidR="000B5BF3">
        <w:t xml:space="preserve">. </w:t>
      </w:r>
    </w:p>
    <w:p w14:paraId="048F756D" w14:textId="3B0FF6EB" w:rsidR="00B94EBC" w:rsidRDefault="00B94EBC" w:rsidP="002F3CE6">
      <w:r>
        <w:t xml:space="preserve">When Pike ascended to the presidency in 1837, he suddenly put an end to </w:t>
      </w:r>
      <w:r w:rsidR="00530BE1">
        <w:t xml:space="preserve">Clay’s </w:t>
      </w:r>
      <w:r w:rsidR="00B31456">
        <w:t>ambitions of hemispheric liberty. He put an end to good relations with the “race-mixing” state</w:t>
      </w:r>
      <w:r w:rsidR="00705EE8">
        <w:t xml:space="preserve"> of Venezuela</w:t>
      </w:r>
      <w:r w:rsidR="00B31456">
        <w:t xml:space="preserve">, and suddenly relations became far more contentious. </w:t>
      </w:r>
      <w:r w:rsidR="00A21754">
        <w:t xml:space="preserve">More momentous would be the dramatic changes to the </w:t>
      </w:r>
      <w:r w:rsidR="0057591B">
        <w:t xml:space="preserve">diplomatic corps. </w:t>
      </w:r>
      <w:r w:rsidR="00920986">
        <w:t>The Planter Ascendancy, seeing Harrison and Clay as especially weak when it c</w:t>
      </w:r>
      <w:r w:rsidR="005B2670">
        <w:t xml:space="preserve">ame to the international scope of slavery, </w:t>
      </w:r>
      <w:r w:rsidR="0094408B">
        <w:t xml:space="preserve">sought to </w:t>
      </w:r>
      <w:r w:rsidR="0043237A">
        <w:t>ensure</w:t>
      </w:r>
      <w:r w:rsidR="0094408B">
        <w:t xml:space="preserve"> that consuls and ministers to abroad would </w:t>
      </w:r>
      <w:r w:rsidR="0043237A">
        <w:t>fight to ensure th</w:t>
      </w:r>
      <w:r w:rsidR="00430D13">
        <w:t xml:space="preserve">e protection of slavery from foreign threats – and thus, that they’d be from the South itself. </w:t>
      </w:r>
      <w:r w:rsidR="0038662A">
        <w:t>No part of this</w:t>
      </w:r>
      <w:r w:rsidR="00C674DD">
        <w:t xml:space="preserve"> change in personnel</w:t>
      </w:r>
      <w:r w:rsidR="0038662A">
        <w:t xml:space="preserve"> was as famous as </w:t>
      </w:r>
      <w:r w:rsidR="00AE7DCF">
        <w:t xml:space="preserve">the consul-general sent to the British Isles, Andrew Stevenson. </w:t>
      </w:r>
      <w:r w:rsidR="000D17BD">
        <w:t xml:space="preserve">A Virginian planter, </w:t>
      </w:r>
      <w:r w:rsidR="00B11A25">
        <w:t xml:space="preserve">he was a stark change from his antislavery predecessor Daniel Webster; </w:t>
      </w:r>
      <w:r w:rsidR="000D17BD">
        <w:t>he immediately</w:t>
      </w:r>
      <w:r w:rsidR="008B3B6F">
        <w:t xml:space="preserve"> got to work trying to fight against its increasingly influential abolitionist lobby, and here he tried to ensure the British government would </w:t>
      </w:r>
      <w:r w:rsidR="002912E2">
        <w:t xml:space="preserve">not </w:t>
      </w:r>
      <w:proofErr w:type="gramStart"/>
      <w:r w:rsidR="002912E2">
        <w:t>just not</w:t>
      </w:r>
      <w:proofErr w:type="gramEnd"/>
      <w:r w:rsidR="002912E2">
        <w:t xml:space="preserve"> undercut</w:t>
      </w:r>
      <w:r w:rsidR="008B3B6F">
        <w:t xml:space="preserve"> American slavery</w:t>
      </w:r>
      <w:r w:rsidR="00D1214A">
        <w:t xml:space="preserve">, </w:t>
      </w:r>
      <w:r w:rsidR="008844B3">
        <w:t>but also</w:t>
      </w:r>
      <w:r w:rsidR="00D1214A">
        <w:t xml:space="preserve"> slavery anywhere else</w:t>
      </w:r>
      <w:r w:rsidR="008B3B6F">
        <w:t xml:space="preserve">. </w:t>
      </w:r>
      <w:r w:rsidR="002B311D">
        <w:t xml:space="preserve">Here, he got the </w:t>
      </w:r>
      <w:r w:rsidR="002912E2">
        <w:t xml:space="preserve">enmity of perhaps the foremost leader of the abolitionist movement in the British Isles – </w:t>
      </w:r>
      <w:r w:rsidR="00FB1E94">
        <w:lastRenderedPageBreak/>
        <w:t xml:space="preserve">the great “Advocate for Humanity” himself, </w:t>
      </w:r>
      <w:r w:rsidR="002912E2">
        <w:t xml:space="preserve">Daniel O’Connell. </w:t>
      </w:r>
      <w:r w:rsidR="00616E32">
        <w:t xml:space="preserve">After O’Connell </w:t>
      </w:r>
      <w:r w:rsidR="007B6301">
        <w:t>r</w:t>
      </w:r>
      <w:r w:rsidR="002912E2">
        <w:t>epeatedly derid</w:t>
      </w:r>
      <w:r w:rsidR="00616E32">
        <w:t>ed</w:t>
      </w:r>
      <w:r w:rsidR="002912E2">
        <w:t xml:space="preserve"> </w:t>
      </w:r>
      <w:r w:rsidR="000E20D1">
        <w:t>him as a slave breeder, a far more extreme condemnation than merely calling him a slaveowner, Stevenson challenged O’Connell to a duel to satisfy his tainted honor</w:t>
      </w:r>
      <w:r w:rsidR="00A73A09">
        <w:t>, and perhaps</w:t>
      </w:r>
      <w:r w:rsidR="00AC5238">
        <w:t xml:space="preserve"> to kill him,</w:t>
      </w:r>
      <w:r w:rsidR="00A73A09">
        <w:t xml:space="preserve"> to prevent him from influencing </w:t>
      </w:r>
      <w:r w:rsidR="00AC5238">
        <w:t>British politics</w:t>
      </w:r>
      <w:r w:rsidR="000E20D1">
        <w:t xml:space="preserve">. </w:t>
      </w:r>
      <w:r w:rsidR="00CA6568">
        <w:t xml:space="preserve">However, O’Connell was a committed pacifist, and so </w:t>
      </w:r>
      <w:r w:rsidR="00410760">
        <w:t>he refused</w:t>
      </w:r>
      <w:r w:rsidR="001645BE">
        <w:t xml:space="preserve"> all these entreaties to duelling</w:t>
      </w:r>
      <w:r w:rsidR="00410760">
        <w:t>.</w:t>
      </w:r>
      <w:r w:rsidR="001645BE">
        <w:t xml:space="preserve"> Despite Stevenson subsequently deriding him as a coward,</w:t>
      </w:r>
      <w:r w:rsidR="00410760">
        <w:t xml:space="preserve"> </w:t>
      </w:r>
      <w:r w:rsidR="001645BE">
        <w:t>i</w:t>
      </w:r>
      <w:r w:rsidR="00410760">
        <w:t xml:space="preserve">t helped to set O’Connell above the honor code of the day – and it put Stevenson, and the American South as a whole, below the British Isles. </w:t>
      </w:r>
      <w:r w:rsidR="00A903D0">
        <w:t>This caused a great controversy and no shortage of embarrassment for Britain’s Russell administration</w:t>
      </w:r>
      <w:r w:rsidR="00A672A3">
        <w:t xml:space="preserve"> – which now had to suddenly answer for </w:t>
      </w:r>
      <w:r w:rsidR="00AC5238">
        <w:t>a man it regarded as</w:t>
      </w:r>
      <w:r w:rsidR="00AA47B2">
        <w:t xml:space="preserve"> dangerous Irish radical, without also alienating its own wing of abolitionist moralists. </w:t>
      </w:r>
    </w:p>
    <w:p w14:paraId="6CD47754" w14:textId="088B2664" w:rsidR="00152589" w:rsidRDefault="00152589" w:rsidP="002F3CE6">
      <w:r>
        <w:t xml:space="preserve">But most decisive </w:t>
      </w:r>
      <w:r w:rsidR="00FF7502">
        <w:t>was</w:t>
      </w:r>
      <w:r>
        <w:t xml:space="preserve"> relations</w:t>
      </w:r>
      <w:r w:rsidR="00FF7502">
        <w:t xml:space="preserve"> with France. The </w:t>
      </w:r>
      <w:proofErr w:type="gramStart"/>
      <w:r w:rsidR="00FF7502">
        <w:t>newly-appointed</w:t>
      </w:r>
      <w:proofErr w:type="gramEnd"/>
      <w:r w:rsidR="00FF7502">
        <w:t xml:space="preserve"> consul-general, William C. Rives, was a</w:t>
      </w:r>
      <w:r w:rsidR="001C3632">
        <w:t>n agent</w:t>
      </w:r>
      <w:r w:rsidR="00FF7502">
        <w:t xml:space="preserve"> </w:t>
      </w:r>
      <w:r w:rsidR="001C3632">
        <w:t>of the Planter Ascendancy but certainly a more measured one</w:t>
      </w:r>
      <w:r w:rsidR="00012538">
        <w:t xml:space="preserve">. Between France and the United </w:t>
      </w:r>
      <w:r w:rsidR="008519ED">
        <w:t>States,</w:t>
      </w:r>
      <w:r w:rsidR="00012538">
        <w:t xml:space="preserve"> a dispute emerged; France had, during the War of Roussin’s Fleet, impounded several American ships, and postwar negotiations over restitution stalled. A similar dispute with the British Isles having been resolved by the Clay-Tierney Treaty, American diplomacy increasingly focused on this situation. And though Rives </w:t>
      </w:r>
      <w:r w:rsidR="008519ED">
        <w:t xml:space="preserve">attempted to </w:t>
      </w:r>
      <w:r w:rsidR="00012538">
        <w:t xml:space="preserve">negotiate French restitution to France early on in his tenure, </w:t>
      </w:r>
      <w:r w:rsidR="008519ED">
        <w:t>these efforts were stalled by the French government; indeed, when the issue travelled to its legislature</w:t>
      </w:r>
      <w:r w:rsidR="00775BBA">
        <w:t xml:space="preserve">, </w:t>
      </w:r>
      <w:r w:rsidR="008519ED">
        <w:t>the Tribunate and Council of State clashed against one another</w:t>
      </w:r>
      <w:r w:rsidR="00DD0D91">
        <w:t>, and the legislature was wholly undecided</w:t>
      </w:r>
      <w:r w:rsidR="00775BBA">
        <w:t xml:space="preserve">. </w:t>
      </w:r>
      <w:r w:rsidR="00050DBA">
        <w:t>Across the pond</w:t>
      </w:r>
      <w:r w:rsidR="00775BBA">
        <w:t>, it seemed</w:t>
      </w:r>
      <w:r w:rsidR="00DD0D91">
        <w:t xml:space="preserve"> American</w:t>
      </w:r>
      <w:r w:rsidR="00775BBA">
        <w:t xml:space="preserve"> honor had been </w:t>
      </w:r>
      <w:r w:rsidR="00050DBA">
        <w:t xml:space="preserve">violated, and many increasingly called for war, no less than President Pike. </w:t>
      </w:r>
      <w:r w:rsidR="00E33B0C">
        <w:t xml:space="preserve">Such sentiments inevitably meshed with the slavery issue. </w:t>
      </w:r>
      <w:r w:rsidR="00D9043B">
        <w:t>This was for a variety of reasons: one that cannot be understated is that the French Republic had been an object of fear for many southerners, since it had abolished slavery in 1794, and its support of Bahia in its war of independence was only more evidence of some sort of “French abolitionist” conspiracy</w:t>
      </w:r>
      <w:r w:rsidR="00BD6ABC">
        <w:t xml:space="preserve">. The </w:t>
      </w:r>
      <w:r w:rsidR="00BD6ABC">
        <w:lastRenderedPageBreak/>
        <w:t>independence of Haiti was less a disproof of such a conspiracy, and more just proof that the French were willing to take the “disease” of abolitionism wherever it went, even at their expense</w:t>
      </w:r>
      <w:r w:rsidR="00D9043B">
        <w:t xml:space="preserve">. </w:t>
      </w:r>
      <w:r w:rsidR="00081E6D">
        <w:t>But another</w:t>
      </w:r>
      <w:r w:rsidR="00BD6ABC">
        <w:t xml:space="preserve"> reason</w:t>
      </w:r>
      <w:r w:rsidR="00081E6D">
        <w:t xml:space="preserve"> was that,</w:t>
      </w:r>
      <w:r w:rsidR="00E33B0C">
        <w:t xml:space="preserve"> despite the formal ban, the United States was increasingly </w:t>
      </w:r>
      <w:r w:rsidR="005C7717">
        <w:t xml:space="preserve">enmeshed in the slave trade. </w:t>
      </w:r>
    </w:p>
    <w:p w14:paraId="1CAEF27D" w14:textId="0564C2BB" w:rsidR="000411BC" w:rsidRDefault="000411BC" w:rsidP="002F3CE6">
      <w:r>
        <w:t xml:space="preserve">The French navy had, since the end of the War of the French Revolution in 1804, </w:t>
      </w:r>
      <w:r w:rsidR="0039625E">
        <w:t xml:space="preserve">been involved in a unilateral war against the slave trade. This was </w:t>
      </w:r>
      <w:r w:rsidR="00E75477">
        <w:t>only partially motivated by morality and the principles of the Rights of Man, for it also undercut its rivals</w:t>
      </w:r>
      <w:r w:rsidR="00D71404">
        <w:t xml:space="preserve"> whose economic well-being, after all, was dependent on the </w:t>
      </w:r>
      <w:r w:rsidR="00745FF6">
        <w:t xml:space="preserve">slave trade. </w:t>
      </w:r>
      <w:r w:rsidR="006849FB">
        <w:t>This suppression slowly escalated over the course of the 1810s, and</w:t>
      </w:r>
      <w:r w:rsidR="001638DA">
        <w:t xml:space="preserve"> </w:t>
      </w:r>
      <w:r w:rsidR="006849FB">
        <w:t xml:space="preserve">after the British abolished the slave trade in 1815, it too began to suppress it. </w:t>
      </w:r>
      <w:r w:rsidR="007D1664">
        <w:t>With it being harder than ever to transport Africans across the Atlantic</w:t>
      </w:r>
      <w:r w:rsidR="00186CA2">
        <w:t xml:space="preserve">, this allowed for the bloom of a </w:t>
      </w:r>
      <w:r w:rsidR="007D1664">
        <w:t xml:space="preserve">trans-Caribbean slave trade, as in their stead American slaves were exported from America. This was technically illegal, but the United States lacked any semblance of a navy or military to enforce this; additionally, neither France nor the British Isles wanted to get on America’s bad side, and this meant they did not inspect their ships. But this was only an undercurrent; it would only be after the Luisiana War in 1828, and especially the dawn of peace in Europe in 1832, that </w:t>
      </w:r>
      <w:r w:rsidR="003E7F45">
        <w:t>this slave trade escalated as France and the British Isles now worked together to suppress it</w:t>
      </w:r>
      <w:r w:rsidR="00A0556B">
        <w:t>, as squadrons sailed</w:t>
      </w:r>
      <w:r w:rsidR="00C22115">
        <w:t xml:space="preserve"> across West Africa to stop and force an end to the transatlantic slave trade</w:t>
      </w:r>
      <w:r w:rsidR="003E7F45">
        <w:t xml:space="preserve">. </w:t>
      </w:r>
      <w:r w:rsidR="00C22115">
        <w:t>American ships docked the harbors of Spanish and Portuguese America, filled to the brim with Virginian slaves</w:t>
      </w:r>
      <w:r w:rsidR="000C4480">
        <w:t>, and indeed slave-breeding in much of the South escalated to supply these new markets</w:t>
      </w:r>
      <w:r w:rsidR="00C22115">
        <w:t>. But</w:t>
      </w:r>
      <w:r w:rsidR="00E04E90">
        <w:t xml:space="preserve"> with Portugal barred</w:t>
      </w:r>
      <w:r w:rsidR="000B2873">
        <w:t xml:space="preserve"> by treaty from trading slaves across the Atlantic, French ships zealously inspected any ships which docked in the harbors of Recife, Rio de Janeiro, and Belem for slaves</w:t>
      </w:r>
      <w:r w:rsidR="00C22115">
        <w:t>, and this meant they impounded many American ships</w:t>
      </w:r>
      <w:r w:rsidR="00C043B7">
        <w:t xml:space="preserve">. </w:t>
      </w:r>
      <w:proofErr w:type="gramStart"/>
      <w:r w:rsidR="00C043B7">
        <w:t>In particular came</w:t>
      </w:r>
      <w:proofErr w:type="gramEnd"/>
      <w:r w:rsidR="00C043B7">
        <w:t xml:space="preserve"> the</w:t>
      </w:r>
      <w:r w:rsidR="009826BB">
        <w:t xml:space="preserve"> French</w:t>
      </w:r>
      <w:r w:rsidR="00C043B7">
        <w:t xml:space="preserve"> impounding of the </w:t>
      </w:r>
      <w:r w:rsidR="00C043B7" w:rsidRPr="00C043B7">
        <w:rPr>
          <w:i/>
          <w:iCs/>
        </w:rPr>
        <w:t>Seneca Chief</w:t>
      </w:r>
      <w:r w:rsidR="00C043B7">
        <w:t xml:space="preserve"> </w:t>
      </w:r>
      <w:r w:rsidR="009826BB">
        <w:t>just outside the coast of</w:t>
      </w:r>
      <w:r w:rsidR="00C043B7">
        <w:t xml:space="preserve"> Recife, and this sparked </w:t>
      </w:r>
      <w:r w:rsidR="009826BB">
        <w:t>outrage across the United States</w:t>
      </w:r>
      <w:r w:rsidR="000B2873">
        <w:t xml:space="preserve">. </w:t>
      </w:r>
      <w:r w:rsidR="00C22115">
        <w:t xml:space="preserve">Coming at the same time as </w:t>
      </w:r>
      <w:r w:rsidR="00891261">
        <w:t>the</w:t>
      </w:r>
      <w:r w:rsidR="00C22115">
        <w:t xml:space="preserve"> controversy with France over restitution, this </w:t>
      </w:r>
      <w:r w:rsidR="003A2E86">
        <w:t xml:space="preserve">only increased the </w:t>
      </w:r>
      <w:r w:rsidR="003A2E86">
        <w:lastRenderedPageBreak/>
        <w:t>scale of the insult</w:t>
      </w:r>
      <w:r w:rsidR="002131E1">
        <w:t xml:space="preserve"> – and it </w:t>
      </w:r>
      <w:r w:rsidR="00D51F13">
        <w:t xml:space="preserve">only </w:t>
      </w:r>
      <w:r w:rsidR="002131E1">
        <w:t>made it much harder for the French to attempt to renegotiate the issue</w:t>
      </w:r>
      <w:r w:rsidR="003A2E86">
        <w:t xml:space="preserve">. </w:t>
      </w:r>
    </w:p>
    <w:p w14:paraId="34F3382B" w14:textId="6A66694F" w:rsidR="006F1A9F" w:rsidRDefault="003A2E86" w:rsidP="002F3CE6">
      <w:r>
        <w:t>In his annual message to Congress, Pike declared th</w:t>
      </w:r>
      <w:r w:rsidR="00E749D0">
        <w:t>e impounding of American ships in Portuguese Brazil</w:t>
      </w:r>
      <w:r>
        <w:t xml:space="preserve"> nothing short of an insult to</w:t>
      </w:r>
      <w:r w:rsidR="00E749D0">
        <w:t xml:space="preserve"> American honor</w:t>
      </w:r>
      <w:r w:rsidR="00A85BAA">
        <w:t>, and he declared the possible necessity of war</w:t>
      </w:r>
      <w:r w:rsidR="00956EDA">
        <w:t xml:space="preserve">. At this juncture, the </w:t>
      </w:r>
      <w:r w:rsidR="00A85BAA">
        <w:t>British Isles came in and offered mediation; however, Pike refused it. Many, then and now, have accused Pike of cooking up a war to throw aside controversy over the fugitive slave controversy; if he did, it succeeded and, indeed, Americans both sides of the Mason-Dixon line joined together to condemn</w:t>
      </w:r>
      <w:r w:rsidR="005045DC">
        <w:t xml:space="preserve"> French conduct. </w:t>
      </w:r>
      <w:r w:rsidR="0082550F">
        <w:t xml:space="preserve">In the end, 1839 saw Congress authorize not a declaration of war, but American retaliation against French shipping; Pike drew up letters of marque to arm a fleet for this purpose. </w:t>
      </w:r>
      <w:r w:rsidR="00940859">
        <w:t>Within the Democratic Party, the Clay and Webster wings joined together to condemn Pike’s conduct as having caused a useless war when it could have been avoided through simple negotiation</w:t>
      </w:r>
      <w:r w:rsidR="009C56E8">
        <w:t>, and despite a smaller minority which believed war having happened, needed to be fought honorably, the</w:t>
      </w:r>
      <w:r w:rsidR="00CF28A5">
        <w:t xml:space="preserve"> Democratic Party in general believed the war a mistake</w:t>
      </w:r>
      <w:r w:rsidR="00684941">
        <w:t>. Indeed, as Webster derided, fighting the war would spend more money than even a generous restitution would provide</w:t>
      </w:r>
      <w:r w:rsidR="00940859">
        <w:t>. They condemned it as a repeat of the Quasi War of Adams’ time; that we today call the war what they called it, the Second Quasi War, shows which view has ultimately succeeded</w:t>
      </w:r>
      <w:r w:rsidR="00A4172E">
        <w:rPr>
          <w:rStyle w:val="EndnoteReference"/>
        </w:rPr>
        <w:endnoteReference w:id="110"/>
      </w:r>
      <w:r w:rsidR="00940859">
        <w:t xml:space="preserve">. </w:t>
      </w:r>
    </w:p>
    <w:p w14:paraId="4003673A" w14:textId="2465A582" w:rsidR="003A2E86" w:rsidRPr="002F3CE6" w:rsidRDefault="006F1A9F" w:rsidP="002F3CE6">
      <w:r>
        <w:t>Under Consul Lafitte, France was hardly enthusiastic about it</w:t>
      </w:r>
      <w:r w:rsidR="006817CA">
        <w:t xml:space="preserve"> because it considered it a sideshow to the entire effort</w:t>
      </w:r>
      <w:r>
        <w:t xml:space="preserve"> - but it did seek a swift retaliation campaign to bring America to the negotiation table</w:t>
      </w:r>
      <w:r w:rsidR="0013644B">
        <w:t>. It saw that its navy was superior, and therefore it could be used to</w:t>
      </w:r>
      <w:r w:rsidR="00D00B52">
        <w:t xml:space="preserve"> bring</w:t>
      </w:r>
      <w:r w:rsidR="0013644B">
        <w:t xml:space="preserve"> </w:t>
      </w:r>
      <w:r w:rsidR="00D00B52">
        <w:t>shock and awe to the to bring them to the negotiation table</w:t>
      </w:r>
      <w:r>
        <w:t xml:space="preserve">. Thus began the Second Quasi War – not a war </w:t>
      </w:r>
      <w:r w:rsidR="00EE53E6">
        <w:t>that many</w:t>
      </w:r>
      <w:r>
        <w:t xml:space="preserve"> wanted, but a war which </w:t>
      </w:r>
      <w:proofErr w:type="gramStart"/>
      <w:r>
        <w:t>happened</w:t>
      </w:r>
      <w:proofErr w:type="gramEnd"/>
      <w:r>
        <w:t xml:space="preserve"> nevertheless. </w:t>
      </w:r>
      <w:r w:rsidR="00EE53E6">
        <w:t xml:space="preserve">Both sides could not back down – and </w:t>
      </w:r>
      <w:r w:rsidR="00EE53E6">
        <w:lastRenderedPageBreak/>
        <w:t xml:space="preserve">so they fought. </w:t>
      </w:r>
      <w:r w:rsidR="007620E4">
        <w:t>Thus began the war which dominated Pike’s tenure</w:t>
      </w:r>
      <w:r w:rsidR="00C9068D">
        <w:t>, brought him to the high point</w:t>
      </w:r>
      <w:r w:rsidR="001B15FD">
        <w:t xml:space="preserve"> of his popularity</w:t>
      </w:r>
      <w:r w:rsidR="00C9068D">
        <w:t xml:space="preserve">, and </w:t>
      </w:r>
      <w:r w:rsidR="001570B7">
        <w:t>led him to his end</w:t>
      </w:r>
      <w:r w:rsidR="007620E4">
        <w:t xml:space="preserve">. </w:t>
      </w:r>
    </w:p>
    <w:p w14:paraId="6539B3C0" w14:textId="77777777" w:rsidR="00194573" w:rsidRDefault="00194573" w:rsidP="00194573">
      <w:r>
        <w:br w:type="page"/>
      </w:r>
    </w:p>
    <w:p w14:paraId="478A3DF1" w14:textId="77777777" w:rsidR="002F3CE6" w:rsidRDefault="002F3CE6" w:rsidP="002F3CE6"/>
    <w:p w14:paraId="0FC94260" w14:textId="77777777" w:rsidR="00194573" w:rsidRDefault="00194573" w:rsidP="002F3CE6">
      <w:pPr>
        <w:sectPr w:rsidR="00194573" w:rsidSect="002F3CE6">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3704100D" w14:textId="77777777" w:rsidR="002F3CE6" w:rsidRDefault="002F3CE6" w:rsidP="002F3CE6">
      <w:r>
        <w:br w:type="page"/>
      </w:r>
    </w:p>
    <w:p w14:paraId="2F5AF9EF" w14:textId="7975BBD3" w:rsidR="00A60B31" w:rsidRDefault="00A60B31" w:rsidP="00A60B31">
      <w:pPr>
        <w:pStyle w:val="Heading1"/>
      </w:pPr>
      <w:bookmarkStart w:id="31" w:name="_Toc202006223"/>
      <w:r>
        <w:lastRenderedPageBreak/>
        <w:t xml:space="preserve">24. </w:t>
      </w:r>
      <w:r w:rsidR="00631E2C">
        <w:t>The Fallen Government</w:t>
      </w:r>
      <w:bookmarkEnd w:id="31"/>
    </w:p>
    <w:p w14:paraId="64FD1768" w14:textId="3EA2DB2A" w:rsidR="00631E2C" w:rsidRDefault="00F849BA" w:rsidP="00631E2C">
      <w:r>
        <w:t xml:space="preserve">The declaration of </w:t>
      </w:r>
      <w:r w:rsidR="0027153B">
        <w:t xml:space="preserve">reprisal against the French government saw a </w:t>
      </w:r>
      <w:r w:rsidR="00773851">
        <w:t>sudden wave of nationalism as Americans rallied around the flag. Though the Democratic</w:t>
      </w:r>
      <w:r w:rsidR="00272D9E">
        <w:t xml:space="preserve"> Party was less sure that going to war was smart, for the moment most Democrats similarly rallied behind the war</w:t>
      </w:r>
      <w:r w:rsidR="006B7677">
        <w:t>, but if only</w:t>
      </w:r>
      <w:r w:rsidR="00A3351E">
        <w:t xml:space="preserve"> to bring it to a swift and honorable end</w:t>
      </w:r>
      <w:r w:rsidR="00A775DE">
        <w:t>; they feared that if they truly opposed the war, they’d be linked with “Hamiltonian treason”</w:t>
      </w:r>
      <w:r w:rsidR="00401260">
        <w:t xml:space="preserve">. And though the abolitionist movement and the Equal Rights Party condemned this as a war on behalf of the Planter Ascendancy, </w:t>
      </w:r>
      <w:r w:rsidR="00876376">
        <w:t>they found themselves a distinct minority</w:t>
      </w:r>
      <w:r w:rsidR="00A3351E">
        <w:t xml:space="preserve">. </w:t>
      </w:r>
      <w:r w:rsidR="00107B30">
        <w:t>And thus, Pike saw ample support from among the American public for outfitting squadrons of ships into the Caribbean to engage French ships they came across</w:t>
      </w:r>
      <w:r w:rsidR="00567A26">
        <w:t>, and from New Orleans, New York, and Norfolk, they made their departure</w:t>
      </w:r>
      <w:r w:rsidR="00D23CB7">
        <w:rPr>
          <w:rStyle w:val="EndnoteReference"/>
        </w:rPr>
        <w:endnoteReference w:id="111"/>
      </w:r>
      <w:r w:rsidR="00107B30">
        <w:t xml:space="preserve">. </w:t>
      </w:r>
      <w:r w:rsidR="00BA623F">
        <w:t>More famous would be the use of letters of marque to deploy converted commercial ships</w:t>
      </w:r>
      <w:r w:rsidR="00FE6DEB">
        <w:t xml:space="preserve"> to that same end – which was both a move to keep the war small, and to </w:t>
      </w:r>
      <w:r w:rsidR="002941B1">
        <w:t>supplement American forces</w:t>
      </w:r>
      <w:r w:rsidR="00FE6DEB">
        <w:t xml:space="preserve">. </w:t>
      </w:r>
    </w:p>
    <w:p w14:paraId="143A8518" w14:textId="6A73AA26" w:rsidR="00E36D52" w:rsidRDefault="00DB5259" w:rsidP="00631E2C">
      <w:r>
        <w:t xml:space="preserve">The first strike would come from </w:t>
      </w:r>
      <w:r w:rsidR="005F66CB">
        <w:t xml:space="preserve">just off the </w:t>
      </w:r>
      <w:r w:rsidR="001D6859">
        <w:t>coast</w:t>
      </w:r>
      <w:r w:rsidR="005F66CB">
        <w:t xml:space="preserve"> of </w:t>
      </w:r>
      <w:r w:rsidR="001D6859">
        <w:t xml:space="preserve">Guadeloupe. Here, American ships successfully </w:t>
      </w:r>
      <w:r w:rsidR="00391D55">
        <w:t xml:space="preserve">seized </w:t>
      </w:r>
      <w:r w:rsidR="00EA3591">
        <w:t xml:space="preserve">five </w:t>
      </w:r>
      <w:r w:rsidR="000D07C6">
        <w:t xml:space="preserve">entirely defenceless </w:t>
      </w:r>
      <w:r w:rsidR="00391D55">
        <w:t>French merchant vessels as prizes</w:t>
      </w:r>
      <w:r w:rsidR="00EA3591">
        <w:t xml:space="preserve"> – it having been too early for the French to prepare for the war – and this was quickly celebrated across the United States, and the man whose skill </w:t>
      </w:r>
      <w:r w:rsidR="008F02FB">
        <w:t>made this operation</w:t>
      </w:r>
      <w:r w:rsidR="00EA3591">
        <w:t>, Captain Robert F</w:t>
      </w:r>
      <w:r w:rsidR="00391D55">
        <w:t xml:space="preserve">. </w:t>
      </w:r>
      <w:r w:rsidR="00EA3591">
        <w:t>Stockton, became an American national hero</w:t>
      </w:r>
      <w:r w:rsidR="00180A54">
        <w:t>,</w:t>
      </w:r>
      <w:r w:rsidR="00EA3591">
        <w:t xml:space="preserve"> almost overnight. </w:t>
      </w:r>
      <w:r w:rsidR="0031188D">
        <w:t xml:space="preserve">He was paraded on the streets, cheered as America’s Lord Cochrane. </w:t>
      </w:r>
      <w:r w:rsidR="00576C06">
        <w:t>But</w:t>
      </w:r>
      <w:r w:rsidR="0014431D">
        <w:t xml:space="preserve"> the United States did not have long to relish in this victory.</w:t>
      </w:r>
      <w:r w:rsidR="00576C06">
        <w:t xml:space="preserve"> </w:t>
      </w:r>
      <w:r w:rsidR="003B6CB7">
        <w:t>French retaliation was swift, and it was decisive</w:t>
      </w:r>
      <w:r w:rsidR="009E03D7">
        <w:t xml:space="preserve">. </w:t>
      </w:r>
    </w:p>
    <w:p w14:paraId="60C8B1D3" w14:textId="3F07404C" w:rsidR="00342E0F" w:rsidRDefault="00077C5A" w:rsidP="00631E2C">
      <w:r>
        <w:t>France already had</w:t>
      </w:r>
      <w:r w:rsidR="0042455B">
        <w:t xml:space="preserve"> a sizeable fleet scattered across the </w:t>
      </w:r>
      <w:r w:rsidR="0071017E">
        <w:t xml:space="preserve">Caribbean, to protect its trading interests against the </w:t>
      </w:r>
      <w:r w:rsidR="00513F0B">
        <w:t>spike in piracy that came following Britain’s Popular Revolution</w:t>
      </w:r>
      <w:r w:rsidR="0026133A">
        <w:t>, and indeed</w:t>
      </w:r>
      <w:r w:rsidR="00D900EE">
        <w:t xml:space="preserve"> </w:t>
      </w:r>
      <w:r w:rsidR="00D900EE">
        <w:t>prior to the Popular Revolution</w:t>
      </w:r>
      <w:r w:rsidR="0026133A">
        <w:t xml:space="preserve"> France having invested in a large navy to fight against British naval superiority</w:t>
      </w:r>
      <w:r w:rsidR="00D900EE">
        <w:t>. It did not take long</w:t>
      </w:r>
      <w:r w:rsidR="00513F0B">
        <w:t xml:space="preserve"> </w:t>
      </w:r>
      <w:r w:rsidR="00D900EE">
        <w:t>for it</w:t>
      </w:r>
      <w:r w:rsidR="00513F0B">
        <w:t xml:space="preserve"> </w:t>
      </w:r>
      <w:r w:rsidR="00D900EE">
        <w:t>to</w:t>
      </w:r>
      <w:r w:rsidR="002C7051">
        <w:t xml:space="preserve"> </w:t>
      </w:r>
      <w:r w:rsidR="00D900EE">
        <w:t>get</w:t>
      </w:r>
      <w:r w:rsidR="002C7051">
        <w:t xml:space="preserve"> to work against American shipping interests.</w:t>
      </w:r>
      <w:r w:rsidR="00513F0B">
        <w:t xml:space="preserve"> </w:t>
      </w:r>
      <w:r w:rsidR="003F5394">
        <w:t xml:space="preserve">This proved </w:t>
      </w:r>
      <w:proofErr w:type="gramStart"/>
      <w:r w:rsidR="003F5394">
        <w:lastRenderedPageBreak/>
        <w:t>fairly rapid</w:t>
      </w:r>
      <w:proofErr w:type="gramEnd"/>
      <w:r w:rsidR="003F5394">
        <w:t xml:space="preserve">; </w:t>
      </w:r>
      <w:r w:rsidR="00B50251">
        <w:t xml:space="preserve">just </w:t>
      </w:r>
      <w:r w:rsidR="003F5394">
        <w:t xml:space="preserve">outside </w:t>
      </w:r>
      <w:r w:rsidR="00B50251">
        <w:t xml:space="preserve">the harbor of </w:t>
      </w:r>
      <w:r w:rsidR="003F5394">
        <w:t xml:space="preserve">Caracas, </w:t>
      </w:r>
      <w:r w:rsidR="00D35EA3">
        <w:t xml:space="preserve">the French seized no less than fifteen American merchant vessels, in what was less a battle and more an extended surrender. </w:t>
      </w:r>
      <w:r w:rsidR="0014127B">
        <w:t>These seizures slowly expanded up the Caribbean</w:t>
      </w:r>
      <w:r w:rsidR="00183D77">
        <w:t>,</w:t>
      </w:r>
      <w:r w:rsidR="0014127B">
        <w:t xml:space="preserve"> and </w:t>
      </w:r>
      <w:r w:rsidR="00183D77">
        <w:t xml:space="preserve">the United States Navy, despite the degree to which it had been built up, had little to show for it. </w:t>
      </w:r>
      <w:r w:rsidR="001E630E">
        <w:t xml:space="preserve">Additionally, French retribution against American shipping increased internationally; with New Englander ships, then and now, having a presence worldwide, </w:t>
      </w:r>
      <w:r w:rsidR="00EE1508">
        <w:t xml:space="preserve">French retribution made itself known </w:t>
      </w:r>
      <w:r w:rsidR="00CB1EB3">
        <w:t>as</w:t>
      </w:r>
      <w:r w:rsidR="00060BE8">
        <w:t xml:space="preserve"> far as</w:t>
      </w:r>
      <w:r w:rsidR="00EE1508">
        <w:t xml:space="preserve"> </w:t>
      </w:r>
      <w:r w:rsidR="0042266C">
        <w:t>the Indian Ocean</w:t>
      </w:r>
      <w:r w:rsidR="00060BE8">
        <w:t xml:space="preserve">; </w:t>
      </w:r>
      <w:r w:rsidR="0042266C">
        <w:t>operat</w:t>
      </w:r>
      <w:r w:rsidR="00060BE8">
        <w:t>ing</w:t>
      </w:r>
      <w:r w:rsidR="0042266C">
        <w:t xml:space="preserve"> out of the Mascarene Islands</w:t>
      </w:r>
      <w:r w:rsidR="00060BE8">
        <w:t>, it went after New Englander whalers, many of whom had not even heard of the war</w:t>
      </w:r>
      <w:r w:rsidR="00CB1EB3">
        <w:t xml:space="preserve">. </w:t>
      </w:r>
      <w:r w:rsidR="003959D1">
        <w:t xml:space="preserve">Additionally, against the </w:t>
      </w:r>
      <w:r w:rsidR="00B52200">
        <w:t xml:space="preserve">American </w:t>
      </w:r>
      <w:r w:rsidR="003959D1">
        <w:t xml:space="preserve">freedmen’s colony </w:t>
      </w:r>
      <w:r w:rsidR="00655FAB">
        <w:t>on</w:t>
      </w:r>
      <w:r w:rsidR="003959D1">
        <w:t xml:space="preserve"> the coast of West Africa, </w:t>
      </w:r>
      <w:r w:rsidR="00D40B21">
        <w:t>the French launched a naval raid; to avoid potentially brutal retaliation</w:t>
      </w:r>
      <w:r w:rsidR="00786CA7">
        <w:t>, the colonists immediately declared independence as the Republic of Fredonia, in a decided blow against American honor.</w:t>
      </w:r>
      <w:r w:rsidR="003A70B0">
        <w:t xml:space="preserve"> But this was counterproductive;</w:t>
      </w:r>
      <w:r w:rsidR="003959D1">
        <w:t xml:space="preserve"> </w:t>
      </w:r>
      <w:r w:rsidR="003A70B0">
        <w:t>i</w:t>
      </w:r>
      <w:r w:rsidR="00060BE8">
        <w:t>f the French hoped this would bring the Americans to the table, it did not</w:t>
      </w:r>
      <w:r w:rsidR="002A3BC0">
        <w:t xml:space="preserve"> as instead Americans called for bloody retaliation to redeem national honor</w:t>
      </w:r>
      <w:r w:rsidR="00060BE8">
        <w:t xml:space="preserve">, and offers of British mediation continued to be refused. </w:t>
      </w:r>
    </w:p>
    <w:p w14:paraId="0AA64B09" w14:textId="13ABC54E" w:rsidR="00FE6DEB" w:rsidRDefault="00342E0F" w:rsidP="00631E2C">
      <w:r>
        <w:t xml:space="preserve">An attempt to bring the French on the defensive came when </w:t>
      </w:r>
      <w:r w:rsidR="00A5126B">
        <w:t>an American fleet invaded Saint Pierre and Miquelon, a French dependency just off the coast of Newfoundland</w:t>
      </w:r>
      <w:r w:rsidR="00A21831">
        <w:t>, in the hopes that the French having been at peace with the British since the end of the Popular Revolution, they had largely dismantled the naval apparatus in the area. But this proved a mistake;</w:t>
      </w:r>
      <w:r w:rsidR="00A5126B">
        <w:t xml:space="preserve"> the ensuing battle pitted American vessels against a French protective fleet</w:t>
      </w:r>
      <w:r w:rsidR="00A21831">
        <w:t xml:space="preserve"> which had been sent there not long after relations broke down</w:t>
      </w:r>
      <w:r w:rsidR="00A5126B">
        <w:t>, and it culminated with most of the American fleet sunk</w:t>
      </w:r>
      <w:r w:rsidR="00C10455">
        <w:t>. W</w:t>
      </w:r>
      <w:r w:rsidR="00A5126B">
        <w:t>hen the Americans launched a beating retreat</w:t>
      </w:r>
      <w:r w:rsidR="00A21831">
        <w:t xml:space="preserve"> to avoid being entirely</w:t>
      </w:r>
      <w:r w:rsidR="00A5126B">
        <w:t>, it ended with the remainder captured by French ships</w:t>
      </w:r>
      <w:r w:rsidR="006A253C">
        <w:t xml:space="preserve">. </w:t>
      </w:r>
      <w:r w:rsidR="00A20EB0">
        <w:t>This</w:t>
      </w:r>
      <w:r w:rsidR="006A253C">
        <w:t xml:space="preserve"> attempt to bring the war on the offensive</w:t>
      </w:r>
      <w:r w:rsidR="00A20EB0">
        <w:t xml:space="preserve"> thus ended in rank American humiliation and demonstrated it was</w:t>
      </w:r>
      <w:r w:rsidR="009F09F0">
        <w:t>, despite the great expansion of the Luisiana War</w:t>
      </w:r>
      <w:r w:rsidR="00A96920">
        <w:t>,</w:t>
      </w:r>
      <w:r w:rsidR="00A20EB0">
        <w:t xml:space="preserve"> a second-rate power</w:t>
      </w:r>
      <w:r w:rsidR="00AD01E1">
        <w:t>.</w:t>
      </w:r>
      <w:r>
        <w:t xml:space="preserve"> </w:t>
      </w:r>
      <w:r w:rsidR="00525756">
        <w:t xml:space="preserve">And thus, the United States continued to assemble fleets to shadowbox with </w:t>
      </w:r>
      <w:r w:rsidR="007222A1">
        <w:t>the French over the Caribbean</w:t>
      </w:r>
      <w:r w:rsidR="00D826AE">
        <w:t xml:space="preserve"> and little outside there</w:t>
      </w:r>
      <w:r w:rsidR="000916EA">
        <w:t xml:space="preserve">, and they failed to make their way to </w:t>
      </w:r>
      <w:r w:rsidR="001F6C3A">
        <w:t xml:space="preserve">truly making a fight with </w:t>
      </w:r>
      <w:r w:rsidR="001F6C3A">
        <w:lastRenderedPageBreak/>
        <w:t>them</w:t>
      </w:r>
      <w:r w:rsidR="000916EA">
        <w:t xml:space="preserve">. </w:t>
      </w:r>
      <w:r w:rsidR="001F6C3A">
        <w:t xml:space="preserve">At the same time, French attempts to bring the United States to the table </w:t>
      </w:r>
      <w:r w:rsidR="00AA1CF1">
        <w:t>largely failed</w:t>
      </w:r>
      <w:r w:rsidR="00373C72">
        <w:t>, as Pike proved intransigent and instead requested higher and higher sums of money as compensation</w:t>
      </w:r>
      <w:r w:rsidR="00AA1CF1">
        <w:t xml:space="preserve">. </w:t>
      </w:r>
      <w:r w:rsidR="00E36D52">
        <w:t xml:space="preserve">When predictably, these offers failed, Pike came back to the American people and blamed the French for refusing them. </w:t>
      </w:r>
    </w:p>
    <w:p w14:paraId="596BA95A" w14:textId="561C7D58" w:rsidR="001E68F2" w:rsidRDefault="001F6C3A" w:rsidP="00631E2C">
      <w:r>
        <w:t>As the war continued, the position of the Democratic Party slowly changed. Suddenly, it declared that American honor had been satisfied, and it called for peace</w:t>
      </w:r>
      <w:r w:rsidR="001E7854">
        <w:t>. And Pike seemed like nothing less than a warmonger, orchestrating a war between two great republics for nothing but his own personal gain</w:t>
      </w:r>
      <w:r>
        <w:t xml:space="preserve">. Daniel Webster, who had never been particularly prowar, suddenly turned hard against it, under the influence of New Englander opinion which wanted to reopen </w:t>
      </w:r>
      <w:r w:rsidR="00490F35">
        <w:t>the now-bottled commerce</w:t>
      </w:r>
      <w:r w:rsidR="00416593">
        <w:t xml:space="preserve">. In Faneuil Hall in </w:t>
      </w:r>
      <w:proofErr w:type="gramStart"/>
      <w:r w:rsidR="00416593">
        <w:t>Boston</w:t>
      </w:r>
      <w:proofErr w:type="gramEnd"/>
      <w:r w:rsidR="001C6342">
        <w:t xml:space="preserve"> he gave a speech damning Pike as a warmonger who turned American honor into an excuse for mindless militarism,</w:t>
      </w:r>
      <w:r w:rsidR="00490F35">
        <w:t xml:space="preserve"> </w:t>
      </w:r>
      <w:r w:rsidR="007568AA">
        <w:t xml:space="preserve">and </w:t>
      </w:r>
      <w:r w:rsidR="00490F35">
        <w:t xml:space="preserve">this </w:t>
      </w:r>
      <w:r w:rsidR="007568AA">
        <w:t xml:space="preserve">turned this </w:t>
      </w:r>
      <w:r w:rsidR="00490F35">
        <w:t xml:space="preserve">opinion </w:t>
      </w:r>
      <w:r w:rsidR="006F42BD">
        <w:t>respectable,</w:t>
      </w:r>
      <w:r w:rsidR="001C6342">
        <w:t xml:space="preserve"> and it</w:t>
      </w:r>
      <w:r w:rsidR="00490F35">
        <w:t xml:space="preserve"> spread</w:t>
      </w:r>
      <w:r w:rsidR="006F42BD">
        <w:t>. New Englander whalers were now far more reluctant to offer their services to the government, as they increasingly saw this as little more than a war fought on behalf of the Planter Ascendancy</w:t>
      </w:r>
      <w:r w:rsidR="0077047C">
        <w:t>; instead, beached seamen in the ports of Boston and Portsmouth</w:t>
      </w:r>
      <w:r w:rsidR="00A5549D">
        <w:t xml:space="preserve"> launched </w:t>
      </w:r>
      <w:r w:rsidR="00984C59">
        <w:t xml:space="preserve">peaceful </w:t>
      </w:r>
      <w:proofErr w:type="gramStart"/>
      <w:r w:rsidR="00A5549D">
        <w:t>protests against</w:t>
      </w:r>
      <w:proofErr w:type="gramEnd"/>
      <w:r w:rsidR="00A5549D">
        <w:t xml:space="preserve"> the government</w:t>
      </w:r>
      <w:r w:rsidR="00A04F6E">
        <w:t xml:space="preserve">. Some even talked of </w:t>
      </w:r>
      <w:r w:rsidR="00051813">
        <w:t>secession</w:t>
      </w:r>
      <w:r w:rsidR="00A04F6E">
        <w:t>, declaring that as dear as Union was, Commerce was yet more dear, though this was nothing more than some loose talk</w:t>
      </w:r>
      <w:r w:rsidR="009D13C0">
        <w:t>; that trade was successfully redirected through the St. Lawrence</w:t>
      </w:r>
      <w:r w:rsidR="00EA6CED">
        <w:t>, through British vessels</w:t>
      </w:r>
      <w:r w:rsidR="009D13C0">
        <w:t xml:space="preserve">, meant the </w:t>
      </w:r>
      <w:r w:rsidR="00EA6CED">
        <w:t>bite to commerce that French attacks represented,</w:t>
      </w:r>
      <w:r w:rsidR="009D13C0">
        <w:t xml:space="preserve"> wasn’t as bruising as would’ve seemed</w:t>
      </w:r>
      <w:r w:rsidR="00546DEC">
        <w:t xml:space="preserve">. But it was a bite to American commerce, which </w:t>
      </w:r>
      <w:r w:rsidR="00546DEC">
        <w:t>spread to encompass grain and cotton</w:t>
      </w:r>
      <w:r w:rsidR="00546DEC">
        <w:t>, and the Pike administration’s management of the</w:t>
      </w:r>
      <w:r w:rsidR="001C0661">
        <w:t xml:space="preserve"> home front did little to redirect trade through the secure St. Lawrence</w:t>
      </w:r>
      <w:r w:rsidR="00490F35">
        <w:t xml:space="preserve">. </w:t>
      </w:r>
    </w:p>
    <w:p w14:paraId="2C3B2A5E" w14:textId="685BD796" w:rsidR="001F6C3A" w:rsidRDefault="00FD0BCD" w:rsidP="00631E2C">
      <w:r>
        <w:t xml:space="preserve">As more and more Democrats regarded this war as an increasingly pointless affair, </w:t>
      </w:r>
      <w:r w:rsidR="00F2355B">
        <w:t>antiwar sentiments</w:t>
      </w:r>
      <w:r w:rsidR="00430739">
        <w:t xml:space="preserve"> expanded</w:t>
      </w:r>
      <w:r w:rsidR="001E68F2">
        <w:t xml:space="preserve"> within it</w:t>
      </w:r>
      <w:r w:rsidR="001D6BEC">
        <w:t>. The specter of the First Quasi War</w:t>
      </w:r>
      <w:r w:rsidR="000D51E0">
        <w:t xml:space="preserve"> one generation ago, and its role </w:t>
      </w:r>
      <w:r w:rsidR="000D51E0">
        <w:lastRenderedPageBreak/>
        <w:t xml:space="preserve">in destroying the </w:t>
      </w:r>
      <w:r w:rsidR="005F786C">
        <w:t xml:space="preserve">Federalist Party, hung over the </w:t>
      </w:r>
      <w:r w:rsidR="0023567A">
        <w:t>war</w:t>
      </w:r>
      <w:r w:rsidR="005F786C">
        <w:t xml:space="preserve"> like a Sword of Damocles</w:t>
      </w:r>
      <w:r w:rsidR="00443FCC">
        <w:t>; and though Pike fastidiously avoided</w:t>
      </w:r>
      <w:r w:rsidR="00F54550">
        <w:t xml:space="preserve"> repeating the mistakes of the Adams administration, the Democratic Party increasingly flew the standard of the Jefferson-Burr ticket of 1800</w:t>
      </w:r>
      <w:r>
        <w:t xml:space="preserve">. </w:t>
      </w:r>
      <w:r w:rsidR="005B156C">
        <w:t>Even</w:t>
      </w:r>
      <w:r w:rsidR="00700949">
        <w:t xml:space="preserve"> the Western wing of the Democrat</w:t>
      </w:r>
      <w:r w:rsidR="005B156C">
        <w:t>ic Party, which initially regarded this as an affair of national honor</w:t>
      </w:r>
      <w:r w:rsidR="00700949">
        <w:t xml:space="preserve">, </w:t>
      </w:r>
      <w:r w:rsidR="005B156C">
        <w:t>saw this as</w:t>
      </w:r>
      <w:r w:rsidR="00700949">
        <w:t xml:space="preserve"> little else than a repeat of the First Quasi War, with Pike being</w:t>
      </w:r>
      <w:r w:rsidR="00616F7B">
        <w:t xml:space="preserve"> a puppet of Calhoun in the same way that Adams had been a puppet of Hamilton</w:t>
      </w:r>
      <w:r w:rsidR="005B156C">
        <w:t>, and that they needed to oppose in the same fashion.</w:t>
      </w:r>
      <w:r w:rsidR="00616F7B">
        <w:t xml:space="preserve"> Democratic newspaper editors increasingly dared Pike to repeat history by subjecting them to Alien and Sedition Acts</w:t>
      </w:r>
      <w:r w:rsidR="00B569F8">
        <w:t xml:space="preserve">; and though Pike refused to take the bait and </w:t>
      </w:r>
      <w:r w:rsidR="00F00E3F">
        <w:t>tried to kill this opposition with kindness, such criticism only escalated</w:t>
      </w:r>
      <w:r w:rsidR="00616F7B">
        <w:t xml:space="preserve">. This </w:t>
      </w:r>
      <w:proofErr w:type="gramStart"/>
      <w:r w:rsidR="00616F7B">
        <w:t>increasingly-frantic</w:t>
      </w:r>
      <w:proofErr w:type="gramEnd"/>
      <w:r w:rsidR="00616F7B">
        <w:t xml:space="preserve"> criticism flowed into </w:t>
      </w:r>
      <w:r w:rsidR="0096544E">
        <w:t>Congress, where</w:t>
      </w:r>
      <w:r w:rsidR="00FE0531">
        <w:t xml:space="preserve"> Webster and Clay attempted to attach riders to war appropriation bills requiring </w:t>
      </w:r>
      <w:r w:rsidR="007229D9">
        <w:t xml:space="preserve">President </w:t>
      </w:r>
      <w:r w:rsidR="00FE0531">
        <w:t xml:space="preserve">Pike to </w:t>
      </w:r>
      <w:r w:rsidR="007229D9">
        <w:t xml:space="preserve">begin </w:t>
      </w:r>
      <w:r w:rsidR="00CC4D73">
        <w:t>negotiations on ending the war</w:t>
      </w:r>
      <w:r w:rsidR="007229D9">
        <w:t>. But</w:t>
      </w:r>
      <w:r w:rsidR="00C90BDD">
        <w:t xml:space="preserve"> with Republican majorities in both houses of Congress,</w:t>
      </w:r>
      <w:r w:rsidR="007229D9">
        <w:t xml:space="preserve"> these riders failed, and</w:t>
      </w:r>
      <w:r w:rsidR="00572CEB">
        <w:t xml:space="preserve"> special</w:t>
      </w:r>
      <w:r w:rsidR="007229D9">
        <w:t xml:space="preserve"> </w:t>
      </w:r>
      <w:r w:rsidR="00572CEB">
        <w:t xml:space="preserve">elections to the House saw the confirmation that </w:t>
      </w:r>
      <w:r w:rsidR="009F33F4">
        <w:t xml:space="preserve">he still had broad enough support to keep the war going. </w:t>
      </w:r>
    </w:p>
    <w:p w14:paraId="20749379" w14:textId="3FA9EC1B" w:rsidR="001C6342" w:rsidRPr="0042266C" w:rsidRDefault="001C6342" w:rsidP="00631E2C">
      <w:r>
        <w:t>Thus, battles continued. The Caribbean saw some frantic battling between American and French fleets, and though the Americans consistently found themselves outmatched</w:t>
      </w:r>
      <w:r w:rsidR="00B64745">
        <w:t xml:space="preserve"> by the French state-of-the-art paddle steamers</w:t>
      </w:r>
      <w:r>
        <w:t>,</w:t>
      </w:r>
      <w:r w:rsidR="008D141F">
        <w:t xml:space="preserve"> that</w:t>
      </w:r>
      <w:r>
        <w:t xml:space="preserve"> </w:t>
      </w:r>
      <w:r w:rsidR="003F7628">
        <w:t xml:space="preserve">they were </w:t>
      </w:r>
      <w:r w:rsidR="00040B8C">
        <w:t>far more enthusiastic about this business than the Fren</w:t>
      </w:r>
      <w:r w:rsidR="00B85412">
        <w:t>c</w:t>
      </w:r>
      <w:r w:rsidR="00040B8C">
        <w:t>h</w:t>
      </w:r>
      <w:r w:rsidR="008D141F">
        <w:t>, closed in on this advantage</w:t>
      </w:r>
      <w:r w:rsidR="003F7628">
        <w:t xml:space="preserve">. </w:t>
      </w:r>
      <w:r w:rsidR="005B156C">
        <w:t xml:space="preserve">But still, the war was a miserable little affair, and the </w:t>
      </w:r>
      <w:r w:rsidR="00342E0F">
        <w:t xml:space="preserve">lack of truly decisive battles either way, as forces were involved in what seemed little else than shadowboxing, only served to diminish </w:t>
      </w:r>
      <w:r w:rsidR="000B0819">
        <w:t xml:space="preserve">the war in its full capacity. </w:t>
      </w:r>
      <w:r w:rsidR="00F73250">
        <w:t xml:space="preserve">It seemed less that American national honor was on the line and more that </w:t>
      </w:r>
      <w:r w:rsidR="00122BDA">
        <w:t>this was a silly little dispute</w:t>
      </w:r>
      <w:r w:rsidR="005245A2">
        <w:t xml:space="preserve"> which had been blown out of proportion</w:t>
      </w:r>
      <w:r w:rsidR="00122BDA">
        <w:t xml:space="preserve">. </w:t>
      </w:r>
      <w:proofErr w:type="gramStart"/>
      <w:r w:rsidR="00722DA3">
        <w:t>But yet</w:t>
      </w:r>
      <w:proofErr w:type="gramEnd"/>
      <w:r w:rsidR="00722DA3">
        <w:t>, there was still a degree of enthusiasm</w:t>
      </w:r>
      <w:r w:rsidR="00A83140">
        <w:t xml:space="preserve"> for the war</w:t>
      </w:r>
      <w:r w:rsidR="00722DA3">
        <w:t>, especially in the South which had long regarded the French Republic as a source of abolition and “race-mixing”, and to a degree in the West which still regarded this</w:t>
      </w:r>
      <w:r w:rsidR="00E3722B">
        <w:t>, despite everything,</w:t>
      </w:r>
      <w:r w:rsidR="00722DA3">
        <w:t xml:space="preserve"> as a war for national honor. </w:t>
      </w:r>
      <w:r w:rsidR="000522F6">
        <w:t xml:space="preserve">Thus, </w:t>
      </w:r>
      <w:r w:rsidR="000522F6">
        <w:lastRenderedPageBreak/>
        <w:t xml:space="preserve">as 1839 turned to 1840 and </w:t>
      </w:r>
      <w:r w:rsidR="004708DA">
        <w:t xml:space="preserve">the nation turned towards the coming election, </w:t>
      </w:r>
      <w:r w:rsidR="003B2760">
        <w:t xml:space="preserve">nobody knew </w:t>
      </w:r>
      <w:r w:rsidR="008A3EED">
        <w:t>if continuing or ending</w:t>
      </w:r>
      <w:r w:rsidR="003B2760">
        <w:t xml:space="preserve"> </w:t>
      </w:r>
      <w:r w:rsidR="008A3EED">
        <w:t>the war would win on the ballot</w:t>
      </w:r>
      <w:r w:rsidR="004708DA">
        <w:t xml:space="preserve">. </w:t>
      </w:r>
    </w:p>
    <w:p w14:paraId="46D1A72D" w14:textId="77777777" w:rsidR="001E630E" w:rsidRDefault="001E630E" w:rsidP="001E630E">
      <w:r>
        <w:br w:type="page"/>
      </w:r>
    </w:p>
    <w:p w14:paraId="56CE8CEB" w14:textId="77777777" w:rsidR="00A60B31" w:rsidRDefault="00A60B31" w:rsidP="00A60B31"/>
    <w:p w14:paraId="50331360" w14:textId="77777777" w:rsidR="001E630E" w:rsidRDefault="001E630E" w:rsidP="00A60B31">
      <w:pPr>
        <w:sectPr w:rsidR="001E630E" w:rsidSect="00A60B31">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27B23A3" w14:textId="77777777" w:rsidR="00A60B31" w:rsidRDefault="00A60B31" w:rsidP="00A60B31">
      <w:r>
        <w:br w:type="page"/>
      </w:r>
    </w:p>
    <w:p w14:paraId="00C7E78D" w14:textId="38C9E0CA" w:rsidR="00944BCE" w:rsidRDefault="00944BCE" w:rsidP="00944BCE">
      <w:pPr>
        <w:pStyle w:val="Heading1"/>
      </w:pPr>
      <w:bookmarkStart w:id="32" w:name="_Toc202006224"/>
      <w:r>
        <w:lastRenderedPageBreak/>
        <w:t xml:space="preserve">25. </w:t>
      </w:r>
      <w:r w:rsidR="00C9775D">
        <w:t xml:space="preserve">The Spirit of </w:t>
      </w:r>
      <w:r w:rsidR="00702C71">
        <w:t>‘00</w:t>
      </w:r>
      <w:bookmarkEnd w:id="32"/>
    </w:p>
    <w:p w14:paraId="2CDB488F" w14:textId="3B4EB65D" w:rsidR="00C9775D" w:rsidRDefault="00702C71" w:rsidP="00C9775D">
      <w:r>
        <w:t xml:space="preserve">As election season came, the Democrats </w:t>
      </w:r>
      <w:r w:rsidR="00456197">
        <w:t>believed they would</w:t>
      </w:r>
      <w:r>
        <w:t xml:space="preserve"> </w:t>
      </w:r>
      <w:r w:rsidR="00456197">
        <w:t xml:space="preserve">be ready for an easy electoral win. </w:t>
      </w:r>
      <w:r w:rsidR="00B3172E">
        <w:t>For just like 1800, 1840 was an election year happening in a time of a quasi war with France. Just like 1800, after one term, a president</w:t>
      </w:r>
      <w:r w:rsidR="00771E04">
        <w:t xml:space="preserve"> was accused of going to war for personal aggrandizement, while being a patsy for a </w:t>
      </w:r>
      <w:r w:rsidR="0020774D">
        <w:t xml:space="preserve">traitor outside the Cabinet. This time, the accused traitor in question was not the </w:t>
      </w:r>
      <w:r w:rsidR="005144C3">
        <w:t>centralizing</w:t>
      </w:r>
      <w:r w:rsidR="00A51B1E">
        <w:t xml:space="preserve"> Federalist</w:t>
      </w:r>
      <w:r w:rsidR="0020774D">
        <w:t xml:space="preserve"> Alexander Hamilton</w:t>
      </w:r>
      <w:r w:rsidR="00A51B1E">
        <w:t xml:space="preserve">, but the decentralist Republican John C. Calhoun – but nevertheless, the Democrats believed the time had come for a Revolution of 1800. </w:t>
      </w:r>
      <w:r w:rsidR="002B0D5A">
        <w:t>This was hardly the first time the specter of a ballot-box revolution had been raised</w:t>
      </w:r>
      <w:r w:rsidR="003126A0">
        <w:rPr>
          <w:rStyle w:val="EndnoteReference"/>
        </w:rPr>
        <w:endnoteReference w:id="112"/>
      </w:r>
      <w:r w:rsidR="002B0D5A">
        <w:t xml:space="preserve"> – already, the 1816, 1824, and 1836 elections had all been compared in their own time </w:t>
      </w:r>
      <w:r w:rsidR="0090632C">
        <w:t xml:space="preserve">to 1800, and in the future the 1844, 1852, 1868, and 1916 elections would all be compared to 1800 – but this time, the resemblance was a little uncanny. </w:t>
      </w:r>
    </w:p>
    <w:p w14:paraId="2F5B08A2" w14:textId="71DCCB60" w:rsidR="006601B2" w:rsidRDefault="006601B2" w:rsidP="00C9775D">
      <w:r>
        <w:t>Thus, when the Democrats held their</w:t>
      </w:r>
      <w:r w:rsidR="00902E34">
        <w:t xml:space="preserve"> national</w:t>
      </w:r>
      <w:r>
        <w:t xml:space="preserve"> convention, </w:t>
      </w:r>
      <w:r w:rsidR="00902E34">
        <w:t xml:space="preserve">the presidential nomination was a prize much fought over. </w:t>
      </w:r>
      <w:r w:rsidR="00C96BD3">
        <w:t xml:space="preserve">Both </w:t>
      </w:r>
      <w:r w:rsidR="00093B23">
        <w:t>its</w:t>
      </w:r>
      <w:r w:rsidR="00C96BD3">
        <w:t xml:space="preserve"> great personalities</w:t>
      </w:r>
      <w:r w:rsidR="00093B23">
        <w:t xml:space="preserve">, Henry Clay and Daniel Webster, fought their all for the nomination – indeed, to win the votes of antiwar Democrats, Clay wrote an open letter </w:t>
      </w:r>
      <w:r w:rsidR="00C53F79">
        <w:t xml:space="preserve">where he finally elucidated his opinion that the war needed to be brought to </w:t>
      </w:r>
      <w:r w:rsidR="007A16CF">
        <w:t xml:space="preserve">an honorable end – but in the end, what was decisive was Webster’s associations with antislavery. </w:t>
      </w:r>
      <w:r w:rsidR="00E90430">
        <w:t xml:space="preserve">Southern Democrats went in hard on Clay, while Northern Democrats went in hard on </w:t>
      </w:r>
      <w:r w:rsidR="007E5C94">
        <w:t xml:space="preserve">Webster; in contrast, the West was divided, and though in the past it may have been all in on </w:t>
      </w:r>
      <w:r w:rsidR="00C759FC">
        <w:t>“Harry of the West”</w:t>
      </w:r>
      <w:r w:rsidR="007E5C94">
        <w:t xml:space="preserve">, </w:t>
      </w:r>
      <w:r w:rsidR="00645FF4">
        <w:t xml:space="preserve">both settlement from </w:t>
      </w:r>
      <w:r w:rsidR="00B0677E">
        <w:t>New England</w:t>
      </w:r>
      <w:r w:rsidR="00645FF4">
        <w:t xml:space="preserve"> and </w:t>
      </w:r>
      <w:r w:rsidR="00D361C6">
        <w:t>Webster’s electioneering</w:t>
      </w:r>
      <w:r w:rsidR="00645FF4">
        <w:t xml:space="preserve"> </w:t>
      </w:r>
      <w:r w:rsidR="00B0677E">
        <w:t>had successfully</w:t>
      </w:r>
      <w:r w:rsidR="008577EE">
        <w:t xml:space="preserve"> resulted in </w:t>
      </w:r>
      <w:r w:rsidR="00E51E4A">
        <w:t xml:space="preserve">a West </w:t>
      </w:r>
      <w:r w:rsidR="007E2F1D">
        <w:t xml:space="preserve">divided between him and Clay. </w:t>
      </w:r>
      <w:r w:rsidR="0006778A">
        <w:t xml:space="preserve">The ensuing deadlock lasted for over a dozen ballots, until </w:t>
      </w:r>
      <w:r w:rsidR="00066BE8">
        <w:t>delegates finally called for drafting a compromise candidate. After a</w:t>
      </w:r>
      <w:r w:rsidR="009F2A36">
        <w:t>n</w:t>
      </w:r>
      <w:r w:rsidR="00066BE8">
        <w:t xml:space="preserve"> attempt to draft William Henry Harrison ultimately</w:t>
      </w:r>
      <w:r w:rsidR="009F2A36">
        <w:t xml:space="preserve"> failed,</w:t>
      </w:r>
      <w:r w:rsidR="00066BE8">
        <w:t xml:space="preserve"> this </w:t>
      </w:r>
      <w:r w:rsidR="009F2A36">
        <w:t>being</w:t>
      </w:r>
      <w:r w:rsidR="00066BE8">
        <w:t xml:space="preserve"> too reminiscent of Burr’s two failed runs</w:t>
      </w:r>
      <w:r w:rsidR="00420748">
        <w:t xml:space="preserve"> to </w:t>
      </w:r>
      <w:r w:rsidR="009F2A36">
        <w:t>prevail</w:t>
      </w:r>
      <w:r w:rsidR="003818C0">
        <w:t>,</w:t>
      </w:r>
      <w:r w:rsidR="009F2A36">
        <w:t xml:space="preserve"> instead </w:t>
      </w:r>
      <w:r w:rsidR="003818C0">
        <w:t xml:space="preserve">delegates moved over to Admiral Stephen Decatur. Known as a supporter of the Democratic agenda, he had </w:t>
      </w:r>
      <w:r w:rsidR="003818C0">
        <w:lastRenderedPageBreak/>
        <w:t>occasionally dabbled in presidential politics, but this had previously gone nowhere</w:t>
      </w:r>
      <w:r w:rsidR="008104D5">
        <w:t>; his success in the Second Quasi War had suddenly brought his name on everybody’s lips</w:t>
      </w:r>
      <w:r w:rsidR="00C11145">
        <w:t xml:space="preserve">, and it would, </w:t>
      </w:r>
      <w:r w:rsidR="00AB007C">
        <w:t>the delegates</w:t>
      </w:r>
      <w:r w:rsidR="00C11145">
        <w:t xml:space="preserve"> hoped, give credit to the Democratic position that the war had to be brought to an honorable end</w:t>
      </w:r>
      <w:r w:rsidR="003818C0">
        <w:t xml:space="preserve">. </w:t>
      </w:r>
      <w:r w:rsidR="003E67AF">
        <w:t>This movement successfully made headway</w:t>
      </w:r>
      <w:r w:rsidR="00812F11">
        <w:t xml:space="preserve">, and on the thirty-fourth ballot, </w:t>
      </w:r>
      <w:r w:rsidR="00DE4765">
        <w:t xml:space="preserve">Decatur won </w:t>
      </w:r>
      <w:proofErr w:type="gramStart"/>
      <w:r w:rsidR="00DE4765">
        <w:t>a majority of</w:t>
      </w:r>
      <w:proofErr w:type="gramEnd"/>
      <w:r w:rsidR="00DE4765">
        <w:t xml:space="preserve"> delegates. </w:t>
      </w:r>
      <w:r w:rsidR="00CA6E2D">
        <w:t xml:space="preserve">Being too busy in the war effort, </w:t>
      </w:r>
      <w:r w:rsidR="008E0D39">
        <w:t xml:space="preserve">Decatur did not go on </w:t>
      </w:r>
      <w:r w:rsidR="0085076E">
        <w:t>a national tour</w:t>
      </w:r>
      <w:r w:rsidR="008E0D39">
        <w:t xml:space="preserve">– but he did become the focal point of a national campaign, which </w:t>
      </w:r>
      <w:r w:rsidR="00CA6E2D">
        <w:t xml:space="preserve">ran on his considerable personal reputation. </w:t>
      </w:r>
    </w:p>
    <w:p w14:paraId="56DAA88F" w14:textId="77777777" w:rsidR="00882949" w:rsidRDefault="009E3678" w:rsidP="00C9775D">
      <w:r>
        <w:t xml:space="preserve">This faced off against </w:t>
      </w:r>
      <w:r w:rsidR="00DF48D3">
        <w:t xml:space="preserve">President </w:t>
      </w:r>
      <w:r>
        <w:t>Pike, who the Republican convention easily acclaimed</w:t>
      </w:r>
      <w:r w:rsidR="004E772D">
        <w:t xml:space="preserve"> as their candidate. The ensuing campaign ran on </w:t>
      </w:r>
      <w:r w:rsidR="005067C7">
        <w:t>the war, and it declared that only the Republican Party was the party of the war and national honor</w:t>
      </w:r>
      <w:r w:rsidR="00772F2F">
        <w:t xml:space="preserve"> – and the Democrats as the party of surrender</w:t>
      </w:r>
      <w:r w:rsidR="005067C7">
        <w:t xml:space="preserve">. </w:t>
      </w:r>
      <w:r w:rsidR="00C3566B">
        <w:t xml:space="preserve">This was a patriotic campaign which </w:t>
      </w:r>
      <w:r w:rsidR="00923D6B">
        <w:t xml:space="preserve">threw Republicans’ past of political sectionalism into the dust; this patriotism stitched up the party and allowed it to ignore its great divides. </w:t>
      </w:r>
      <w:r w:rsidR="002F47E5">
        <w:t xml:space="preserve">Despite the flagging popularity of the war, the Pike </w:t>
      </w:r>
      <w:r w:rsidR="00DF48D3">
        <w:t>administration saw a ground</w:t>
      </w:r>
      <w:r w:rsidR="00854BEE">
        <w:t xml:space="preserve">swell of support </w:t>
      </w:r>
      <w:r w:rsidR="000C3086">
        <w:t xml:space="preserve">for its agenda </w:t>
      </w:r>
      <w:proofErr w:type="gramStart"/>
      <w:r w:rsidR="000C3086">
        <w:t>all across</w:t>
      </w:r>
      <w:proofErr w:type="gramEnd"/>
      <w:r w:rsidR="000C3086">
        <w:t xml:space="preserve"> the nation, and despite the abstract nature of “national honor”, it proved a</w:t>
      </w:r>
      <w:r w:rsidR="002B76A3">
        <w:t xml:space="preserve"> rallying cry for the nation at large. </w:t>
      </w:r>
    </w:p>
    <w:p w14:paraId="04652592" w14:textId="4DFED06F" w:rsidR="009E3678" w:rsidRDefault="002B76A3" w:rsidP="00C9775D">
      <w:r>
        <w:t>And compounding this already hard-fought election was the</w:t>
      </w:r>
      <w:r w:rsidR="008B102F">
        <w:t xml:space="preserve"> run of the abolitionist Equal Rights Party</w:t>
      </w:r>
      <w:r w:rsidR="00837857">
        <w:rPr>
          <w:rStyle w:val="EndnoteReference"/>
        </w:rPr>
        <w:endnoteReference w:id="113"/>
      </w:r>
      <w:r w:rsidR="00D80DC3">
        <w:t>; it saw in how both the major parties nominated</w:t>
      </w:r>
      <w:r w:rsidR="00BD141C">
        <w:t xml:space="preserve"> </w:t>
      </w:r>
      <w:proofErr w:type="spellStart"/>
      <w:r w:rsidR="00C40EB1">
        <w:t>slaveowning</w:t>
      </w:r>
      <w:proofErr w:type="spellEnd"/>
      <w:r w:rsidR="00C40EB1">
        <w:t xml:space="preserve"> southerners as evidence of the undemocratic and unrepublican Planter Ascendancy</w:t>
      </w:r>
      <w:r w:rsidR="00BC2A32">
        <w:t xml:space="preserve"> and its</w:t>
      </w:r>
      <w:r w:rsidR="00D06132">
        <w:t xml:space="preserve"> </w:t>
      </w:r>
      <w:r w:rsidR="00E57DD8">
        <w:t>influence and prerogative</w:t>
      </w:r>
      <w:r w:rsidR="00BC2A32">
        <w:t xml:space="preserve"> over both parties, at the expense of the American people</w:t>
      </w:r>
      <w:r w:rsidR="00B67889">
        <w:t xml:space="preserve">, which the war was simply </w:t>
      </w:r>
      <w:r w:rsidR="00F847CE">
        <w:t xml:space="preserve">a </w:t>
      </w:r>
      <w:r w:rsidR="00022244">
        <w:t>manifestation of</w:t>
      </w:r>
      <w:r w:rsidR="00385308">
        <w:t>. They also swiftly went to work calling themselves the only truly antiwar party, and they accused the Democrats of selling that cause out by nominating Decatur</w:t>
      </w:r>
      <w:r w:rsidR="00BC2A32">
        <w:t xml:space="preserve">. </w:t>
      </w:r>
      <w:r w:rsidR="00CC3444">
        <w:t>To this end</w:t>
      </w:r>
      <w:r w:rsidR="00C56A20">
        <w:t>, after attempts to nominate Daniel Webster, John Quincy Adams</w:t>
      </w:r>
      <w:r w:rsidR="008A21F9">
        <w:t>, and several other high-profile politicians</w:t>
      </w:r>
      <w:r w:rsidR="00CC3444">
        <w:t>, it nominated William Leggett</w:t>
      </w:r>
      <w:r w:rsidR="00741D19">
        <w:t xml:space="preserve">, a classical radical newspaper editor radicalized into </w:t>
      </w:r>
      <w:r w:rsidR="00837857">
        <w:t>supporting emancipation</w:t>
      </w:r>
      <w:r w:rsidR="00837857">
        <w:rPr>
          <w:rStyle w:val="EndnoteReference"/>
        </w:rPr>
        <w:endnoteReference w:id="114"/>
      </w:r>
      <w:r w:rsidR="00741D19">
        <w:t xml:space="preserve"> </w:t>
      </w:r>
      <w:r w:rsidR="00741D19">
        <w:lastRenderedPageBreak/>
        <w:t xml:space="preserve">and who had briefly served as </w:t>
      </w:r>
      <w:r w:rsidR="001D4A1A">
        <w:t xml:space="preserve">a </w:t>
      </w:r>
      <w:r w:rsidR="00741D19">
        <w:t>congressman</w:t>
      </w:r>
      <w:r w:rsidR="00880066">
        <w:t xml:space="preserve">; even within this fringe party, </w:t>
      </w:r>
      <w:r w:rsidR="00687669">
        <w:t>his support of r</w:t>
      </w:r>
      <w:r w:rsidR="00B34822">
        <w:t>acial equality was controversial</w:t>
      </w:r>
      <w:r w:rsidR="00F10DA3">
        <w:rPr>
          <w:rStyle w:val="EndnoteReference"/>
        </w:rPr>
        <w:endnoteReference w:id="115"/>
      </w:r>
      <w:r w:rsidR="00B34822">
        <w:t>. But nevertheless, h</w:t>
      </w:r>
      <w:r w:rsidR="002F1926">
        <w:t>e</w:t>
      </w:r>
      <w:r w:rsidR="00B34822">
        <w:t xml:space="preserve"> successfully </w:t>
      </w:r>
      <w:r w:rsidR="00B67889">
        <w:t>won the support of a considerable</w:t>
      </w:r>
      <w:r w:rsidR="0057731C">
        <w:t xml:space="preserve"> portion of the North</w:t>
      </w:r>
      <w:r w:rsidR="00D860B8">
        <w:t xml:space="preserve"> which similarly abhorred the outsized influence of the planters</w:t>
      </w:r>
      <w:r w:rsidR="0057731C">
        <w:t xml:space="preserve">, and this </w:t>
      </w:r>
      <w:r w:rsidR="0025436D">
        <w:t>only added</w:t>
      </w:r>
      <w:r w:rsidR="0057731C">
        <w:t xml:space="preserve"> </w:t>
      </w:r>
      <w:r w:rsidR="0025436D">
        <w:t xml:space="preserve">to the convolution of the coming election. </w:t>
      </w:r>
    </w:p>
    <w:p w14:paraId="09DD600E" w14:textId="2BC0B27A" w:rsidR="00893023" w:rsidRDefault="005C47A2" w:rsidP="00C9775D">
      <w:r>
        <w:t>T</w:t>
      </w:r>
      <w:r w:rsidR="00893023">
        <w:t>he election</w:t>
      </w:r>
      <w:r>
        <w:t xml:space="preserve"> would ultimately come down to the </w:t>
      </w:r>
      <w:r w:rsidR="00740CF9">
        <w:t xml:space="preserve">wire – in yet another reminiscence of the 1800 election. </w:t>
      </w:r>
      <w:r w:rsidR="00EC57E6">
        <w:t xml:space="preserve">But where it ultimately </w:t>
      </w:r>
      <w:r w:rsidR="00CA7414">
        <w:t xml:space="preserve">was not reminiscent of </w:t>
      </w:r>
      <w:r w:rsidR="00F56790">
        <w:t>1800 was that the incumbent candidate prevailed</w:t>
      </w:r>
      <w:r w:rsidR="00133F8E">
        <w:t>. The abolitionist Leggett campaign hadn’t won any electoral votes – but it certainly swallowed a lot of Northern votes which would have otherwise gone for Decatur</w:t>
      </w:r>
      <w:r w:rsidR="00F56790">
        <w:t xml:space="preserve">. </w:t>
      </w:r>
      <w:r w:rsidR="006C19F1">
        <w:t>President Pike would serve out for another four years, and most observers agreed that this would mean the war would be fought to its eventual end</w:t>
      </w:r>
      <w:r w:rsidR="003A0141">
        <w:t xml:space="preserve"> – </w:t>
      </w:r>
      <w:r w:rsidR="00E47D25">
        <w:t xml:space="preserve">be that </w:t>
      </w:r>
      <w:r w:rsidR="003A0141">
        <w:t>victory or defeat</w:t>
      </w:r>
      <w:r w:rsidR="00966D66">
        <w:rPr>
          <w:rStyle w:val="EndnoteReference"/>
        </w:rPr>
        <w:endnoteReference w:id="116"/>
      </w:r>
      <w:r w:rsidR="006C19F1">
        <w:t xml:space="preserve">. </w:t>
      </w:r>
    </w:p>
    <w:p w14:paraId="5CB199B4" w14:textId="77777777" w:rsidR="00765882" w:rsidRDefault="00765882" w:rsidP="00765882">
      <w:r>
        <w:br w:type="page"/>
      </w:r>
    </w:p>
    <w:p w14:paraId="7F0591C9" w14:textId="05CD8753" w:rsidR="00740CF9" w:rsidRDefault="00740CF9" w:rsidP="00740CF9">
      <w:pPr>
        <w:pStyle w:val="Caption"/>
      </w:pPr>
      <w:bookmarkStart w:id="33" w:name="_Toc202006265"/>
      <w:r>
        <w:lastRenderedPageBreak/>
        <w:t xml:space="preserve">Figure </w:t>
      </w:r>
      <w:fldSimple w:instr=" SEQ Figure \* ARABIC ">
        <w:r w:rsidR="00567D66">
          <w:rPr>
            <w:noProof/>
          </w:rPr>
          <w:t>9</w:t>
        </w:r>
      </w:fldSimple>
      <w:r>
        <w:t>: The 1840 election, by state</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226"/>
        <w:gridCol w:w="2245"/>
        <w:gridCol w:w="2235"/>
      </w:tblGrid>
      <w:tr w:rsidR="005C47A2" w:rsidRPr="008C14CF" w14:paraId="10BB48C0" w14:textId="77777777" w:rsidTr="005C47A2">
        <w:trPr>
          <w:trHeight w:val="272"/>
        </w:trPr>
        <w:tc>
          <w:tcPr>
            <w:tcW w:w="2554" w:type="dxa"/>
            <w:tcBorders>
              <w:bottom w:val="single" w:sz="4" w:space="0" w:color="auto"/>
              <w:right w:val="single" w:sz="4" w:space="0" w:color="auto"/>
            </w:tcBorders>
          </w:tcPr>
          <w:p w14:paraId="15A1F6FB" w14:textId="77777777" w:rsidR="005C47A2" w:rsidRPr="008C14CF" w:rsidRDefault="005C47A2" w:rsidP="00AF4CAA">
            <w:pPr>
              <w:pStyle w:val="NoSpacing"/>
            </w:pPr>
            <w:r w:rsidRPr="008C14CF">
              <w:t>State</w:t>
            </w:r>
          </w:p>
        </w:tc>
        <w:tc>
          <w:tcPr>
            <w:tcW w:w="2226" w:type="dxa"/>
            <w:tcBorders>
              <w:left w:val="single" w:sz="4" w:space="0" w:color="auto"/>
              <w:bottom w:val="single" w:sz="4" w:space="0" w:color="auto"/>
              <w:right w:val="single" w:sz="4" w:space="0" w:color="auto"/>
            </w:tcBorders>
          </w:tcPr>
          <w:p w14:paraId="018CB28F" w14:textId="77777777" w:rsidR="005C47A2" w:rsidRPr="008C14CF" w:rsidRDefault="005C47A2" w:rsidP="00AF4CAA">
            <w:pPr>
              <w:pStyle w:val="NoSpacing"/>
            </w:pPr>
            <w:r w:rsidRPr="008C14CF">
              <w:t>Electors</w:t>
            </w:r>
          </w:p>
        </w:tc>
        <w:tc>
          <w:tcPr>
            <w:tcW w:w="2245" w:type="dxa"/>
            <w:tcBorders>
              <w:left w:val="single" w:sz="4" w:space="0" w:color="auto"/>
              <w:bottom w:val="single" w:sz="4" w:space="0" w:color="auto"/>
            </w:tcBorders>
          </w:tcPr>
          <w:p w14:paraId="0DAAD458" w14:textId="77777777" w:rsidR="005C47A2" w:rsidRPr="008C14CF" w:rsidRDefault="005C47A2" w:rsidP="00AF4CAA">
            <w:pPr>
              <w:pStyle w:val="NoSpacing"/>
            </w:pPr>
            <w:r>
              <w:t>Pike</w:t>
            </w:r>
          </w:p>
        </w:tc>
        <w:tc>
          <w:tcPr>
            <w:tcW w:w="2235" w:type="dxa"/>
            <w:tcBorders>
              <w:bottom w:val="single" w:sz="4" w:space="0" w:color="auto"/>
            </w:tcBorders>
          </w:tcPr>
          <w:p w14:paraId="6DA0F6E1" w14:textId="6257DB1A" w:rsidR="005C47A2" w:rsidRPr="008C14CF" w:rsidRDefault="00D149D6" w:rsidP="00AF4CAA">
            <w:pPr>
              <w:pStyle w:val="NoSpacing"/>
            </w:pPr>
            <w:r>
              <w:t>Decatur</w:t>
            </w:r>
          </w:p>
        </w:tc>
      </w:tr>
      <w:tr w:rsidR="00740CF9" w14:paraId="50CE9BBC" w14:textId="77777777" w:rsidTr="005C47A2">
        <w:trPr>
          <w:trHeight w:val="266"/>
        </w:trPr>
        <w:tc>
          <w:tcPr>
            <w:tcW w:w="2554" w:type="dxa"/>
            <w:tcBorders>
              <w:top w:val="single" w:sz="4" w:space="0" w:color="auto"/>
              <w:right w:val="single" w:sz="4" w:space="0" w:color="auto"/>
            </w:tcBorders>
          </w:tcPr>
          <w:p w14:paraId="7BE2BAD9" w14:textId="77777777" w:rsidR="00740CF9" w:rsidRDefault="00740CF9" w:rsidP="00AF4CAA">
            <w:pPr>
              <w:pStyle w:val="NoSpacing"/>
            </w:pPr>
            <w:r w:rsidRPr="00672853">
              <w:t>Mass</w:t>
            </w:r>
            <w:r>
              <w:t>achusetts</w:t>
            </w:r>
          </w:p>
        </w:tc>
        <w:tc>
          <w:tcPr>
            <w:tcW w:w="2226" w:type="dxa"/>
            <w:tcBorders>
              <w:top w:val="single" w:sz="4" w:space="0" w:color="auto"/>
              <w:left w:val="single" w:sz="4" w:space="0" w:color="auto"/>
              <w:right w:val="single" w:sz="4" w:space="0" w:color="auto"/>
            </w:tcBorders>
          </w:tcPr>
          <w:p w14:paraId="44271383" w14:textId="77777777" w:rsidR="00740CF9" w:rsidRDefault="00740CF9" w:rsidP="00AF4CAA">
            <w:pPr>
              <w:pStyle w:val="NoSpacing"/>
            </w:pPr>
            <w:r w:rsidRPr="005A3471">
              <w:t>23</w:t>
            </w:r>
          </w:p>
        </w:tc>
        <w:tc>
          <w:tcPr>
            <w:tcW w:w="2245" w:type="dxa"/>
            <w:tcBorders>
              <w:top w:val="single" w:sz="4" w:space="0" w:color="auto"/>
              <w:left w:val="single" w:sz="4" w:space="0" w:color="auto"/>
            </w:tcBorders>
          </w:tcPr>
          <w:p w14:paraId="2A246C05" w14:textId="5BC9B914" w:rsidR="00740CF9" w:rsidRDefault="00740CF9" w:rsidP="00AF4CAA">
            <w:pPr>
              <w:pStyle w:val="NoSpacing"/>
            </w:pPr>
            <w:r w:rsidRPr="00083F64">
              <w:t>3</w:t>
            </w:r>
          </w:p>
        </w:tc>
        <w:tc>
          <w:tcPr>
            <w:tcW w:w="2235" w:type="dxa"/>
            <w:tcBorders>
              <w:top w:val="single" w:sz="4" w:space="0" w:color="auto"/>
            </w:tcBorders>
          </w:tcPr>
          <w:p w14:paraId="5250D714" w14:textId="519B00FC" w:rsidR="00740CF9" w:rsidRDefault="00740CF9" w:rsidP="00AF4CAA">
            <w:pPr>
              <w:pStyle w:val="NoSpacing"/>
            </w:pPr>
            <w:r w:rsidRPr="00083F64">
              <w:t>20</w:t>
            </w:r>
          </w:p>
        </w:tc>
      </w:tr>
      <w:tr w:rsidR="00740CF9" w14:paraId="06827E2C" w14:textId="77777777" w:rsidTr="005C47A2">
        <w:trPr>
          <w:trHeight w:val="272"/>
        </w:trPr>
        <w:tc>
          <w:tcPr>
            <w:tcW w:w="2554" w:type="dxa"/>
            <w:tcBorders>
              <w:right w:val="single" w:sz="4" w:space="0" w:color="auto"/>
            </w:tcBorders>
          </w:tcPr>
          <w:p w14:paraId="213967DC" w14:textId="77777777" w:rsidR="00740CF9" w:rsidRDefault="00740CF9" w:rsidP="00AF4CAA">
            <w:pPr>
              <w:pStyle w:val="NoSpacing"/>
            </w:pPr>
            <w:r w:rsidRPr="00672853">
              <w:t>New Hamp</w:t>
            </w:r>
            <w:r>
              <w:t>shire</w:t>
            </w:r>
          </w:p>
        </w:tc>
        <w:tc>
          <w:tcPr>
            <w:tcW w:w="2226" w:type="dxa"/>
            <w:tcBorders>
              <w:left w:val="single" w:sz="4" w:space="0" w:color="auto"/>
              <w:right w:val="single" w:sz="4" w:space="0" w:color="auto"/>
            </w:tcBorders>
          </w:tcPr>
          <w:p w14:paraId="3252350B" w14:textId="77777777" w:rsidR="00740CF9" w:rsidRDefault="00740CF9" w:rsidP="00AF4CAA">
            <w:pPr>
              <w:pStyle w:val="NoSpacing"/>
            </w:pPr>
            <w:r w:rsidRPr="005A3471">
              <w:t>8</w:t>
            </w:r>
          </w:p>
        </w:tc>
        <w:tc>
          <w:tcPr>
            <w:tcW w:w="2245" w:type="dxa"/>
            <w:tcBorders>
              <w:left w:val="single" w:sz="4" w:space="0" w:color="auto"/>
            </w:tcBorders>
          </w:tcPr>
          <w:p w14:paraId="16C9C3D6" w14:textId="051A6721" w:rsidR="00740CF9" w:rsidRDefault="00740CF9" w:rsidP="00AF4CAA">
            <w:pPr>
              <w:pStyle w:val="NoSpacing"/>
            </w:pPr>
            <w:r w:rsidRPr="00083F64">
              <w:t>5</w:t>
            </w:r>
          </w:p>
        </w:tc>
        <w:tc>
          <w:tcPr>
            <w:tcW w:w="2235" w:type="dxa"/>
          </w:tcPr>
          <w:p w14:paraId="556A9E3D" w14:textId="64F4379F" w:rsidR="00740CF9" w:rsidRDefault="00740CF9" w:rsidP="00AF4CAA">
            <w:pPr>
              <w:pStyle w:val="NoSpacing"/>
            </w:pPr>
            <w:r w:rsidRPr="00083F64">
              <w:t>3</w:t>
            </w:r>
          </w:p>
        </w:tc>
      </w:tr>
      <w:tr w:rsidR="00740CF9" w14:paraId="0350E8FA" w14:textId="77777777" w:rsidTr="005C47A2">
        <w:trPr>
          <w:trHeight w:val="272"/>
        </w:trPr>
        <w:tc>
          <w:tcPr>
            <w:tcW w:w="2554" w:type="dxa"/>
            <w:tcBorders>
              <w:right w:val="single" w:sz="4" w:space="0" w:color="auto"/>
            </w:tcBorders>
          </w:tcPr>
          <w:p w14:paraId="572F1761" w14:textId="77777777" w:rsidR="00740CF9" w:rsidRDefault="00740CF9" w:rsidP="00AF4CAA">
            <w:pPr>
              <w:pStyle w:val="NoSpacing"/>
            </w:pPr>
            <w:r w:rsidRPr="00672853">
              <w:t>Vermont</w:t>
            </w:r>
          </w:p>
        </w:tc>
        <w:tc>
          <w:tcPr>
            <w:tcW w:w="2226" w:type="dxa"/>
            <w:tcBorders>
              <w:left w:val="single" w:sz="4" w:space="0" w:color="auto"/>
              <w:right w:val="single" w:sz="4" w:space="0" w:color="auto"/>
            </w:tcBorders>
          </w:tcPr>
          <w:p w14:paraId="44A0C353" w14:textId="77777777" w:rsidR="00740CF9" w:rsidRDefault="00740CF9" w:rsidP="00AF4CAA">
            <w:pPr>
              <w:pStyle w:val="NoSpacing"/>
            </w:pPr>
            <w:r w:rsidRPr="005A3471">
              <w:t>7</w:t>
            </w:r>
          </w:p>
        </w:tc>
        <w:tc>
          <w:tcPr>
            <w:tcW w:w="2245" w:type="dxa"/>
            <w:tcBorders>
              <w:left w:val="single" w:sz="4" w:space="0" w:color="auto"/>
            </w:tcBorders>
          </w:tcPr>
          <w:p w14:paraId="66720DE2" w14:textId="037342A1" w:rsidR="00740CF9" w:rsidRDefault="00740CF9" w:rsidP="00AF4CAA">
            <w:pPr>
              <w:pStyle w:val="NoSpacing"/>
            </w:pPr>
            <w:r w:rsidRPr="00083F64">
              <w:t>1</w:t>
            </w:r>
          </w:p>
        </w:tc>
        <w:tc>
          <w:tcPr>
            <w:tcW w:w="2235" w:type="dxa"/>
          </w:tcPr>
          <w:p w14:paraId="408B82EC" w14:textId="794B77D7" w:rsidR="00740CF9" w:rsidRDefault="00740CF9" w:rsidP="00AF4CAA">
            <w:pPr>
              <w:pStyle w:val="NoSpacing"/>
            </w:pPr>
            <w:r w:rsidRPr="00083F64">
              <w:t>6</w:t>
            </w:r>
          </w:p>
        </w:tc>
      </w:tr>
      <w:tr w:rsidR="00740CF9" w14:paraId="3B271871" w14:textId="77777777" w:rsidTr="005C47A2">
        <w:trPr>
          <w:trHeight w:val="266"/>
        </w:trPr>
        <w:tc>
          <w:tcPr>
            <w:tcW w:w="2554" w:type="dxa"/>
            <w:tcBorders>
              <w:right w:val="single" w:sz="4" w:space="0" w:color="auto"/>
            </w:tcBorders>
          </w:tcPr>
          <w:p w14:paraId="52066303" w14:textId="77777777" w:rsidR="00740CF9" w:rsidRDefault="00740CF9" w:rsidP="00AF4CAA">
            <w:pPr>
              <w:pStyle w:val="NoSpacing"/>
            </w:pPr>
            <w:r w:rsidRPr="00672853">
              <w:t>Rhode Is</w:t>
            </w:r>
            <w:r>
              <w:t>land</w:t>
            </w:r>
          </w:p>
        </w:tc>
        <w:tc>
          <w:tcPr>
            <w:tcW w:w="2226" w:type="dxa"/>
            <w:tcBorders>
              <w:left w:val="single" w:sz="4" w:space="0" w:color="auto"/>
              <w:right w:val="single" w:sz="4" w:space="0" w:color="auto"/>
            </w:tcBorders>
          </w:tcPr>
          <w:p w14:paraId="5A1139AA" w14:textId="77777777" w:rsidR="00740CF9" w:rsidRDefault="00740CF9" w:rsidP="00AF4CAA">
            <w:pPr>
              <w:pStyle w:val="NoSpacing"/>
            </w:pPr>
            <w:r w:rsidRPr="005A3471">
              <w:t>5</w:t>
            </w:r>
          </w:p>
        </w:tc>
        <w:tc>
          <w:tcPr>
            <w:tcW w:w="2245" w:type="dxa"/>
            <w:tcBorders>
              <w:left w:val="single" w:sz="4" w:space="0" w:color="auto"/>
            </w:tcBorders>
          </w:tcPr>
          <w:p w14:paraId="61DE1BDA" w14:textId="6BFA3A91" w:rsidR="00740CF9" w:rsidRDefault="00740CF9" w:rsidP="00AF4CAA">
            <w:pPr>
              <w:pStyle w:val="NoSpacing"/>
            </w:pPr>
            <w:r w:rsidRPr="00083F64">
              <w:t>1</w:t>
            </w:r>
          </w:p>
        </w:tc>
        <w:tc>
          <w:tcPr>
            <w:tcW w:w="2235" w:type="dxa"/>
          </w:tcPr>
          <w:p w14:paraId="20DF6605" w14:textId="654AAC98" w:rsidR="00740CF9" w:rsidRDefault="00740CF9" w:rsidP="00AF4CAA">
            <w:pPr>
              <w:pStyle w:val="NoSpacing"/>
            </w:pPr>
            <w:r w:rsidRPr="00083F64">
              <w:t>4</w:t>
            </w:r>
          </w:p>
        </w:tc>
      </w:tr>
      <w:tr w:rsidR="00740CF9" w14:paraId="697CBF00" w14:textId="77777777" w:rsidTr="005C47A2">
        <w:trPr>
          <w:trHeight w:val="272"/>
        </w:trPr>
        <w:tc>
          <w:tcPr>
            <w:tcW w:w="2554" w:type="dxa"/>
            <w:tcBorders>
              <w:right w:val="single" w:sz="4" w:space="0" w:color="auto"/>
            </w:tcBorders>
          </w:tcPr>
          <w:p w14:paraId="65E1719A" w14:textId="77777777" w:rsidR="00740CF9" w:rsidRDefault="00740CF9" w:rsidP="00AF4CAA">
            <w:pPr>
              <w:pStyle w:val="NoSpacing"/>
            </w:pPr>
            <w:r w:rsidRPr="00672853">
              <w:t>Conn</w:t>
            </w:r>
            <w:r>
              <w:t>ecticut</w:t>
            </w:r>
          </w:p>
        </w:tc>
        <w:tc>
          <w:tcPr>
            <w:tcW w:w="2226" w:type="dxa"/>
            <w:tcBorders>
              <w:left w:val="single" w:sz="4" w:space="0" w:color="auto"/>
              <w:right w:val="single" w:sz="4" w:space="0" w:color="auto"/>
            </w:tcBorders>
          </w:tcPr>
          <w:p w14:paraId="14D016E3" w14:textId="77777777" w:rsidR="00740CF9" w:rsidRDefault="00740CF9" w:rsidP="00AF4CAA">
            <w:pPr>
              <w:pStyle w:val="NoSpacing"/>
            </w:pPr>
            <w:r w:rsidRPr="005A3471">
              <w:t>10</w:t>
            </w:r>
          </w:p>
        </w:tc>
        <w:tc>
          <w:tcPr>
            <w:tcW w:w="2245" w:type="dxa"/>
            <w:tcBorders>
              <w:left w:val="single" w:sz="4" w:space="0" w:color="auto"/>
            </w:tcBorders>
          </w:tcPr>
          <w:p w14:paraId="0E0AB233" w14:textId="409CF66D" w:rsidR="00740CF9" w:rsidRDefault="00740CF9" w:rsidP="00AF4CAA">
            <w:pPr>
              <w:pStyle w:val="NoSpacing"/>
            </w:pPr>
            <w:r w:rsidRPr="00083F64">
              <w:t>6</w:t>
            </w:r>
          </w:p>
        </w:tc>
        <w:tc>
          <w:tcPr>
            <w:tcW w:w="2235" w:type="dxa"/>
          </w:tcPr>
          <w:p w14:paraId="4B62F6B0" w14:textId="7286BC98" w:rsidR="00740CF9" w:rsidRDefault="00740CF9" w:rsidP="00AF4CAA">
            <w:pPr>
              <w:pStyle w:val="NoSpacing"/>
            </w:pPr>
            <w:r w:rsidRPr="00083F64">
              <w:t>4</w:t>
            </w:r>
          </w:p>
        </w:tc>
      </w:tr>
      <w:tr w:rsidR="00740CF9" w14:paraId="12184790" w14:textId="77777777" w:rsidTr="005C47A2">
        <w:trPr>
          <w:trHeight w:val="272"/>
        </w:trPr>
        <w:tc>
          <w:tcPr>
            <w:tcW w:w="2554" w:type="dxa"/>
            <w:tcBorders>
              <w:right w:val="single" w:sz="4" w:space="0" w:color="auto"/>
            </w:tcBorders>
          </w:tcPr>
          <w:p w14:paraId="71B84FCB" w14:textId="77777777" w:rsidR="00740CF9" w:rsidRDefault="00740CF9" w:rsidP="00AF4CAA">
            <w:pPr>
              <w:pStyle w:val="NoSpacing"/>
            </w:pPr>
            <w:r w:rsidRPr="00672853">
              <w:t>New York</w:t>
            </w:r>
          </w:p>
        </w:tc>
        <w:tc>
          <w:tcPr>
            <w:tcW w:w="2226" w:type="dxa"/>
            <w:tcBorders>
              <w:left w:val="single" w:sz="4" w:space="0" w:color="auto"/>
              <w:right w:val="single" w:sz="4" w:space="0" w:color="auto"/>
            </w:tcBorders>
          </w:tcPr>
          <w:p w14:paraId="46DA150F" w14:textId="77777777" w:rsidR="00740CF9" w:rsidRDefault="00740CF9" w:rsidP="00AF4CAA">
            <w:pPr>
              <w:pStyle w:val="NoSpacing"/>
            </w:pPr>
            <w:r w:rsidRPr="005A3471">
              <w:t>44</w:t>
            </w:r>
          </w:p>
        </w:tc>
        <w:tc>
          <w:tcPr>
            <w:tcW w:w="2245" w:type="dxa"/>
            <w:tcBorders>
              <w:left w:val="single" w:sz="4" w:space="0" w:color="auto"/>
            </w:tcBorders>
          </w:tcPr>
          <w:p w14:paraId="3766B319" w14:textId="6FB4A28C" w:rsidR="00740CF9" w:rsidRDefault="00740CF9" w:rsidP="00AF4CAA">
            <w:pPr>
              <w:pStyle w:val="NoSpacing"/>
            </w:pPr>
            <w:r w:rsidRPr="00083F64">
              <w:t>24</w:t>
            </w:r>
          </w:p>
        </w:tc>
        <w:tc>
          <w:tcPr>
            <w:tcW w:w="2235" w:type="dxa"/>
          </w:tcPr>
          <w:p w14:paraId="79F186F7" w14:textId="6E1F8F1D" w:rsidR="00740CF9" w:rsidRDefault="00740CF9" w:rsidP="00AF4CAA">
            <w:pPr>
              <w:pStyle w:val="NoSpacing"/>
            </w:pPr>
            <w:r w:rsidRPr="00083F64">
              <w:t>20</w:t>
            </w:r>
          </w:p>
        </w:tc>
      </w:tr>
      <w:tr w:rsidR="00740CF9" w14:paraId="7E3D0588" w14:textId="77777777" w:rsidTr="005C47A2">
        <w:trPr>
          <w:trHeight w:val="272"/>
        </w:trPr>
        <w:tc>
          <w:tcPr>
            <w:tcW w:w="2554" w:type="dxa"/>
            <w:tcBorders>
              <w:right w:val="single" w:sz="4" w:space="0" w:color="auto"/>
            </w:tcBorders>
          </w:tcPr>
          <w:p w14:paraId="487E1662" w14:textId="77777777" w:rsidR="00740CF9" w:rsidRDefault="00740CF9" w:rsidP="00AF4CAA">
            <w:pPr>
              <w:pStyle w:val="NoSpacing"/>
            </w:pPr>
            <w:r w:rsidRPr="00672853">
              <w:t>Penn</w:t>
            </w:r>
            <w:r>
              <w:t>sylvania</w:t>
            </w:r>
          </w:p>
        </w:tc>
        <w:tc>
          <w:tcPr>
            <w:tcW w:w="2226" w:type="dxa"/>
            <w:tcBorders>
              <w:left w:val="single" w:sz="4" w:space="0" w:color="auto"/>
              <w:right w:val="single" w:sz="4" w:space="0" w:color="auto"/>
            </w:tcBorders>
          </w:tcPr>
          <w:p w14:paraId="282D9AD9" w14:textId="77777777" w:rsidR="00740CF9" w:rsidRDefault="00740CF9" w:rsidP="00AF4CAA">
            <w:pPr>
              <w:pStyle w:val="NoSpacing"/>
            </w:pPr>
            <w:r w:rsidRPr="005A3471">
              <w:t>32</w:t>
            </w:r>
          </w:p>
        </w:tc>
        <w:tc>
          <w:tcPr>
            <w:tcW w:w="2245" w:type="dxa"/>
            <w:tcBorders>
              <w:left w:val="single" w:sz="4" w:space="0" w:color="auto"/>
            </w:tcBorders>
          </w:tcPr>
          <w:p w14:paraId="789A4A39" w14:textId="76A9F15F" w:rsidR="00740CF9" w:rsidRDefault="00740CF9" w:rsidP="00AF4CAA">
            <w:pPr>
              <w:pStyle w:val="NoSpacing"/>
            </w:pPr>
            <w:r w:rsidRPr="00083F64">
              <w:t>12</w:t>
            </w:r>
          </w:p>
        </w:tc>
        <w:tc>
          <w:tcPr>
            <w:tcW w:w="2235" w:type="dxa"/>
          </w:tcPr>
          <w:p w14:paraId="521E7347" w14:textId="6EFFF26E" w:rsidR="00740CF9" w:rsidRDefault="00740CF9" w:rsidP="00AF4CAA">
            <w:pPr>
              <w:pStyle w:val="NoSpacing"/>
            </w:pPr>
            <w:r w:rsidRPr="00083F64">
              <w:t>20</w:t>
            </w:r>
          </w:p>
        </w:tc>
      </w:tr>
      <w:tr w:rsidR="00740CF9" w14:paraId="50CF8E96" w14:textId="77777777" w:rsidTr="005C47A2">
        <w:trPr>
          <w:trHeight w:val="266"/>
        </w:trPr>
        <w:tc>
          <w:tcPr>
            <w:tcW w:w="2554" w:type="dxa"/>
            <w:tcBorders>
              <w:right w:val="single" w:sz="4" w:space="0" w:color="auto"/>
            </w:tcBorders>
          </w:tcPr>
          <w:p w14:paraId="060A3A08" w14:textId="77777777" w:rsidR="00740CF9" w:rsidRDefault="00740CF9" w:rsidP="00AF4CAA">
            <w:pPr>
              <w:pStyle w:val="NoSpacing"/>
            </w:pPr>
            <w:r w:rsidRPr="00672853">
              <w:t>New Jersey</w:t>
            </w:r>
          </w:p>
        </w:tc>
        <w:tc>
          <w:tcPr>
            <w:tcW w:w="2226" w:type="dxa"/>
            <w:tcBorders>
              <w:left w:val="single" w:sz="4" w:space="0" w:color="auto"/>
              <w:right w:val="single" w:sz="4" w:space="0" w:color="auto"/>
            </w:tcBorders>
          </w:tcPr>
          <w:p w14:paraId="5160EFB1" w14:textId="77777777" w:rsidR="00740CF9" w:rsidRDefault="00740CF9" w:rsidP="00AF4CAA">
            <w:pPr>
              <w:pStyle w:val="NoSpacing"/>
            </w:pPr>
            <w:r w:rsidRPr="005A3471">
              <w:t>9</w:t>
            </w:r>
          </w:p>
        </w:tc>
        <w:tc>
          <w:tcPr>
            <w:tcW w:w="2245" w:type="dxa"/>
            <w:tcBorders>
              <w:left w:val="single" w:sz="4" w:space="0" w:color="auto"/>
            </w:tcBorders>
          </w:tcPr>
          <w:p w14:paraId="0ED82847" w14:textId="6FE8F354" w:rsidR="00740CF9" w:rsidRDefault="005D4955" w:rsidP="00AF4CAA">
            <w:pPr>
              <w:pStyle w:val="NoSpacing"/>
            </w:pPr>
            <w:r>
              <w:t>7</w:t>
            </w:r>
          </w:p>
        </w:tc>
        <w:tc>
          <w:tcPr>
            <w:tcW w:w="2235" w:type="dxa"/>
          </w:tcPr>
          <w:p w14:paraId="158DF081" w14:textId="635C6C50" w:rsidR="00740CF9" w:rsidRDefault="005D4955" w:rsidP="00AF4CAA">
            <w:pPr>
              <w:pStyle w:val="NoSpacing"/>
            </w:pPr>
            <w:r>
              <w:t>2</w:t>
            </w:r>
          </w:p>
        </w:tc>
      </w:tr>
      <w:tr w:rsidR="00740CF9" w14:paraId="195E7170" w14:textId="77777777" w:rsidTr="005C47A2">
        <w:trPr>
          <w:trHeight w:val="272"/>
        </w:trPr>
        <w:tc>
          <w:tcPr>
            <w:tcW w:w="2554" w:type="dxa"/>
            <w:tcBorders>
              <w:right w:val="single" w:sz="4" w:space="0" w:color="auto"/>
            </w:tcBorders>
          </w:tcPr>
          <w:p w14:paraId="459DE366" w14:textId="77777777" w:rsidR="00740CF9" w:rsidRDefault="00740CF9" w:rsidP="00AF4CAA">
            <w:pPr>
              <w:pStyle w:val="NoSpacing"/>
            </w:pPr>
            <w:r w:rsidRPr="00672853">
              <w:t>Delaware</w:t>
            </w:r>
          </w:p>
        </w:tc>
        <w:tc>
          <w:tcPr>
            <w:tcW w:w="2226" w:type="dxa"/>
            <w:tcBorders>
              <w:left w:val="single" w:sz="4" w:space="0" w:color="auto"/>
              <w:right w:val="single" w:sz="4" w:space="0" w:color="auto"/>
            </w:tcBorders>
          </w:tcPr>
          <w:p w14:paraId="5529958C" w14:textId="77777777" w:rsidR="00740CF9" w:rsidRDefault="00740CF9" w:rsidP="00AF4CAA">
            <w:pPr>
              <w:pStyle w:val="NoSpacing"/>
            </w:pPr>
            <w:r w:rsidRPr="005A3471">
              <w:t>3</w:t>
            </w:r>
          </w:p>
        </w:tc>
        <w:tc>
          <w:tcPr>
            <w:tcW w:w="2245" w:type="dxa"/>
            <w:tcBorders>
              <w:left w:val="single" w:sz="4" w:space="0" w:color="auto"/>
            </w:tcBorders>
          </w:tcPr>
          <w:p w14:paraId="375AFF5D" w14:textId="5B3A7F3E" w:rsidR="00740CF9" w:rsidRDefault="00740CF9" w:rsidP="00AF4CAA">
            <w:pPr>
              <w:pStyle w:val="NoSpacing"/>
            </w:pPr>
            <w:r w:rsidRPr="00083F64">
              <w:t>3</w:t>
            </w:r>
          </w:p>
        </w:tc>
        <w:tc>
          <w:tcPr>
            <w:tcW w:w="2235" w:type="dxa"/>
          </w:tcPr>
          <w:p w14:paraId="39037504" w14:textId="4D092E23" w:rsidR="00740CF9" w:rsidRDefault="00740CF9" w:rsidP="00AF4CAA">
            <w:pPr>
              <w:pStyle w:val="NoSpacing"/>
            </w:pPr>
            <w:r w:rsidRPr="00083F64">
              <w:t>0</w:t>
            </w:r>
          </w:p>
        </w:tc>
      </w:tr>
      <w:tr w:rsidR="00740CF9" w14:paraId="049DA94E" w14:textId="77777777" w:rsidTr="005C47A2">
        <w:trPr>
          <w:trHeight w:val="272"/>
        </w:trPr>
        <w:tc>
          <w:tcPr>
            <w:tcW w:w="2554" w:type="dxa"/>
            <w:tcBorders>
              <w:right w:val="single" w:sz="4" w:space="0" w:color="auto"/>
            </w:tcBorders>
          </w:tcPr>
          <w:p w14:paraId="573296A6" w14:textId="77777777" w:rsidR="00740CF9" w:rsidRDefault="00740CF9" w:rsidP="00AF4CAA">
            <w:pPr>
              <w:pStyle w:val="NoSpacing"/>
            </w:pPr>
            <w:r w:rsidRPr="00672853">
              <w:t>Maryland</w:t>
            </w:r>
          </w:p>
        </w:tc>
        <w:tc>
          <w:tcPr>
            <w:tcW w:w="2226" w:type="dxa"/>
            <w:tcBorders>
              <w:left w:val="single" w:sz="4" w:space="0" w:color="auto"/>
              <w:right w:val="single" w:sz="4" w:space="0" w:color="auto"/>
            </w:tcBorders>
          </w:tcPr>
          <w:p w14:paraId="4ACA4AA7" w14:textId="77777777" w:rsidR="00740CF9" w:rsidRDefault="00740CF9" w:rsidP="00AF4CAA">
            <w:pPr>
              <w:pStyle w:val="NoSpacing"/>
            </w:pPr>
            <w:r w:rsidRPr="005A3471">
              <w:t>8</w:t>
            </w:r>
          </w:p>
        </w:tc>
        <w:tc>
          <w:tcPr>
            <w:tcW w:w="2245" w:type="dxa"/>
            <w:tcBorders>
              <w:left w:val="single" w:sz="4" w:space="0" w:color="auto"/>
            </w:tcBorders>
          </w:tcPr>
          <w:p w14:paraId="4D9EB52B" w14:textId="37A915A7" w:rsidR="00740CF9" w:rsidRDefault="00740CF9" w:rsidP="00AF4CAA">
            <w:pPr>
              <w:pStyle w:val="NoSpacing"/>
            </w:pPr>
            <w:r w:rsidRPr="00083F64">
              <w:t>6</w:t>
            </w:r>
          </w:p>
        </w:tc>
        <w:tc>
          <w:tcPr>
            <w:tcW w:w="2235" w:type="dxa"/>
          </w:tcPr>
          <w:p w14:paraId="5C991DEB" w14:textId="48C73C85" w:rsidR="00740CF9" w:rsidRDefault="00740CF9" w:rsidP="00AF4CAA">
            <w:pPr>
              <w:pStyle w:val="NoSpacing"/>
            </w:pPr>
            <w:r w:rsidRPr="00083F64">
              <w:t>2</w:t>
            </w:r>
          </w:p>
        </w:tc>
      </w:tr>
      <w:tr w:rsidR="00740CF9" w14:paraId="40DF297B" w14:textId="77777777" w:rsidTr="005C47A2">
        <w:trPr>
          <w:trHeight w:val="272"/>
        </w:trPr>
        <w:tc>
          <w:tcPr>
            <w:tcW w:w="2554" w:type="dxa"/>
            <w:tcBorders>
              <w:right w:val="single" w:sz="4" w:space="0" w:color="auto"/>
            </w:tcBorders>
          </w:tcPr>
          <w:p w14:paraId="2F74B9C1" w14:textId="77777777" w:rsidR="00740CF9" w:rsidRDefault="00740CF9" w:rsidP="00AF4CAA">
            <w:pPr>
              <w:pStyle w:val="NoSpacing"/>
            </w:pPr>
            <w:r w:rsidRPr="00672853">
              <w:t>Ohio</w:t>
            </w:r>
          </w:p>
        </w:tc>
        <w:tc>
          <w:tcPr>
            <w:tcW w:w="2226" w:type="dxa"/>
            <w:tcBorders>
              <w:left w:val="single" w:sz="4" w:space="0" w:color="auto"/>
              <w:right w:val="single" w:sz="4" w:space="0" w:color="auto"/>
            </w:tcBorders>
          </w:tcPr>
          <w:p w14:paraId="2C06ED9A" w14:textId="77777777" w:rsidR="00740CF9" w:rsidRDefault="00740CF9" w:rsidP="00AF4CAA">
            <w:pPr>
              <w:pStyle w:val="NoSpacing"/>
            </w:pPr>
            <w:r w:rsidRPr="005A3471">
              <w:t>22</w:t>
            </w:r>
          </w:p>
        </w:tc>
        <w:tc>
          <w:tcPr>
            <w:tcW w:w="2245" w:type="dxa"/>
            <w:tcBorders>
              <w:left w:val="single" w:sz="4" w:space="0" w:color="auto"/>
            </w:tcBorders>
          </w:tcPr>
          <w:p w14:paraId="20D6015B" w14:textId="560BF5AE" w:rsidR="00740CF9" w:rsidRDefault="00740CF9" w:rsidP="00AF4CAA">
            <w:pPr>
              <w:pStyle w:val="NoSpacing"/>
            </w:pPr>
            <w:r w:rsidRPr="00083F64">
              <w:t>14</w:t>
            </w:r>
          </w:p>
        </w:tc>
        <w:tc>
          <w:tcPr>
            <w:tcW w:w="2235" w:type="dxa"/>
          </w:tcPr>
          <w:p w14:paraId="4CFEB811" w14:textId="714E503B" w:rsidR="00740CF9" w:rsidRDefault="00740CF9" w:rsidP="00AF4CAA">
            <w:pPr>
              <w:pStyle w:val="NoSpacing"/>
            </w:pPr>
            <w:r w:rsidRPr="00083F64">
              <w:t>8</w:t>
            </w:r>
          </w:p>
        </w:tc>
      </w:tr>
      <w:tr w:rsidR="00740CF9" w14:paraId="0DAEF4CD" w14:textId="77777777" w:rsidTr="005C47A2">
        <w:trPr>
          <w:trHeight w:val="272"/>
        </w:trPr>
        <w:tc>
          <w:tcPr>
            <w:tcW w:w="2554" w:type="dxa"/>
            <w:tcBorders>
              <w:right w:val="single" w:sz="4" w:space="0" w:color="auto"/>
            </w:tcBorders>
          </w:tcPr>
          <w:p w14:paraId="4C471B51" w14:textId="77777777" w:rsidR="00740CF9" w:rsidRDefault="00740CF9" w:rsidP="00AF4CAA">
            <w:pPr>
              <w:pStyle w:val="NoSpacing"/>
            </w:pPr>
            <w:r w:rsidRPr="00672853">
              <w:t>New Ireland</w:t>
            </w:r>
          </w:p>
        </w:tc>
        <w:tc>
          <w:tcPr>
            <w:tcW w:w="2226" w:type="dxa"/>
            <w:tcBorders>
              <w:left w:val="single" w:sz="4" w:space="0" w:color="auto"/>
              <w:right w:val="single" w:sz="4" w:space="0" w:color="auto"/>
            </w:tcBorders>
          </w:tcPr>
          <w:p w14:paraId="5EEFBEC7" w14:textId="77777777" w:rsidR="00740CF9" w:rsidRDefault="00740CF9" w:rsidP="00AF4CAA">
            <w:pPr>
              <w:pStyle w:val="NoSpacing"/>
            </w:pPr>
            <w:r w:rsidRPr="005A3471">
              <w:t>3</w:t>
            </w:r>
          </w:p>
        </w:tc>
        <w:tc>
          <w:tcPr>
            <w:tcW w:w="2245" w:type="dxa"/>
            <w:tcBorders>
              <w:left w:val="single" w:sz="4" w:space="0" w:color="auto"/>
            </w:tcBorders>
          </w:tcPr>
          <w:p w14:paraId="2E76B5A8" w14:textId="275D2C08" w:rsidR="00740CF9" w:rsidRDefault="00740CF9" w:rsidP="00AF4CAA">
            <w:pPr>
              <w:pStyle w:val="NoSpacing"/>
            </w:pPr>
            <w:r w:rsidRPr="00083F64">
              <w:t>1</w:t>
            </w:r>
          </w:p>
        </w:tc>
        <w:tc>
          <w:tcPr>
            <w:tcW w:w="2235" w:type="dxa"/>
          </w:tcPr>
          <w:p w14:paraId="1B23ADF3" w14:textId="0A0B806F" w:rsidR="00740CF9" w:rsidRDefault="00740CF9" w:rsidP="00AF4CAA">
            <w:pPr>
              <w:pStyle w:val="NoSpacing"/>
            </w:pPr>
            <w:r w:rsidRPr="00083F64">
              <w:t>2</w:t>
            </w:r>
          </w:p>
        </w:tc>
      </w:tr>
      <w:tr w:rsidR="00740CF9" w14:paraId="0534267D" w14:textId="77777777" w:rsidTr="005C47A2">
        <w:trPr>
          <w:trHeight w:val="266"/>
        </w:trPr>
        <w:tc>
          <w:tcPr>
            <w:tcW w:w="2554" w:type="dxa"/>
            <w:tcBorders>
              <w:right w:val="single" w:sz="4" w:space="0" w:color="auto"/>
            </w:tcBorders>
          </w:tcPr>
          <w:p w14:paraId="0BF21F3D" w14:textId="77777777" w:rsidR="00740CF9" w:rsidRPr="00F330C5" w:rsidRDefault="00740CF9" w:rsidP="00AF4CAA">
            <w:pPr>
              <w:pStyle w:val="NoSpacing"/>
            </w:pPr>
            <w:r w:rsidRPr="00672853">
              <w:t>Huron</w:t>
            </w:r>
          </w:p>
        </w:tc>
        <w:tc>
          <w:tcPr>
            <w:tcW w:w="2226" w:type="dxa"/>
            <w:tcBorders>
              <w:left w:val="single" w:sz="4" w:space="0" w:color="auto"/>
              <w:right w:val="single" w:sz="4" w:space="0" w:color="auto"/>
            </w:tcBorders>
          </w:tcPr>
          <w:p w14:paraId="62A51491" w14:textId="77777777" w:rsidR="00740CF9" w:rsidRPr="00F330C5" w:rsidRDefault="00740CF9" w:rsidP="00AF4CAA">
            <w:pPr>
              <w:pStyle w:val="NoSpacing"/>
            </w:pPr>
            <w:r w:rsidRPr="005A3471">
              <w:t>3</w:t>
            </w:r>
          </w:p>
        </w:tc>
        <w:tc>
          <w:tcPr>
            <w:tcW w:w="2245" w:type="dxa"/>
            <w:tcBorders>
              <w:left w:val="single" w:sz="4" w:space="0" w:color="auto"/>
            </w:tcBorders>
          </w:tcPr>
          <w:p w14:paraId="7212DB5C" w14:textId="309CC3C6" w:rsidR="00740CF9" w:rsidRPr="00F330C5" w:rsidRDefault="00740CF9" w:rsidP="00AF4CAA">
            <w:pPr>
              <w:pStyle w:val="NoSpacing"/>
            </w:pPr>
            <w:r w:rsidRPr="00083F64">
              <w:t>0</w:t>
            </w:r>
          </w:p>
        </w:tc>
        <w:tc>
          <w:tcPr>
            <w:tcW w:w="2235" w:type="dxa"/>
          </w:tcPr>
          <w:p w14:paraId="58764CB6" w14:textId="2CA34C09" w:rsidR="00740CF9" w:rsidRPr="00F330C5" w:rsidRDefault="00740CF9" w:rsidP="00AF4CAA">
            <w:pPr>
              <w:pStyle w:val="NoSpacing"/>
            </w:pPr>
            <w:r w:rsidRPr="00083F64">
              <w:t>3</w:t>
            </w:r>
          </w:p>
        </w:tc>
      </w:tr>
      <w:tr w:rsidR="00740CF9" w14:paraId="790DB05D" w14:textId="77777777" w:rsidTr="005C47A2">
        <w:trPr>
          <w:trHeight w:val="272"/>
        </w:trPr>
        <w:tc>
          <w:tcPr>
            <w:tcW w:w="2554" w:type="dxa"/>
            <w:tcBorders>
              <w:right w:val="single" w:sz="4" w:space="0" w:color="auto"/>
            </w:tcBorders>
          </w:tcPr>
          <w:p w14:paraId="3CB545BA" w14:textId="77777777" w:rsidR="00740CF9" w:rsidRDefault="00740CF9" w:rsidP="00AF4CAA">
            <w:pPr>
              <w:pStyle w:val="NoSpacing"/>
            </w:pPr>
            <w:r w:rsidRPr="00672853">
              <w:t>Indiana</w:t>
            </w:r>
          </w:p>
        </w:tc>
        <w:tc>
          <w:tcPr>
            <w:tcW w:w="2226" w:type="dxa"/>
            <w:tcBorders>
              <w:left w:val="single" w:sz="4" w:space="0" w:color="auto"/>
              <w:right w:val="single" w:sz="4" w:space="0" w:color="auto"/>
            </w:tcBorders>
          </w:tcPr>
          <w:p w14:paraId="1140D2E1" w14:textId="77777777" w:rsidR="00740CF9" w:rsidRDefault="00740CF9" w:rsidP="00AF4CAA">
            <w:pPr>
              <w:pStyle w:val="NoSpacing"/>
            </w:pPr>
            <w:r w:rsidRPr="005A3471">
              <w:t>10</w:t>
            </w:r>
          </w:p>
        </w:tc>
        <w:tc>
          <w:tcPr>
            <w:tcW w:w="2245" w:type="dxa"/>
            <w:tcBorders>
              <w:left w:val="single" w:sz="4" w:space="0" w:color="auto"/>
            </w:tcBorders>
          </w:tcPr>
          <w:p w14:paraId="7EE6C133" w14:textId="560DA5A9" w:rsidR="00740CF9" w:rsidRDefault="00740CF9" w:rsidP="00AF4CAA">
            <w:pPr>
              <w:pStyle w:val="NoSpacing"/>
            </w:pPr>
            <w:r w:rsidRPr="00083F64">
              <w:t>3</w:t>
            </w:r>
          </w:p>
        </w:tc>
        <w:tc>
          <w:tcPr>
            <w:tcW w:w="2235" w:type="dxa"/>
          </w:tcPr>
          <w:p w14:paraId="758EBBF5" w14:textId="6071BDBE" w:rsidR="00740CF9" w:rsidRDefault="00740CF9" w:rsidP="00AF4CAA">
            <w:pPr>
              <w:pStyle w:val="NoSpacing"/>
            </w:pPr>
            <w:r w:rsidRPr="00083F64">
              <w:t>7</w:t>
            </w:r>
          </w:p>
        </w:tc>
      </w:tr>
      <w:tr w:rsidR="00740CF9" w14:paraId="3B9C2D8C" w14:textId="77777777" w:rsidTr="005C47A2">
        <w:trPr>
          <w:trHeight w:val="272"/>
        </w:trPr>
        <w:tc>
          <w:tcPr>
            <w:tcW w:w="2554" w:type="dxa"/>
            <w:tcBorders>
              <w:right w:val="single" w:sz="4" w:space="0" w:color="auto"/>
            </w:tcBorders>
          </w:tcPr>
          <w:p w14:paraId="1D33D81F" w14:textId="77777777" w:rsidR="00740CF9" w:rsidRDefault="00740CF9" w:rsidP="00AF4CAA">
            <w:pPr>
              <w:pStyle w:val="NoSpacing"/>
            </w:pPr>
            <w:r w:rsidRPr="00672853">
              <w:t>Illinois</w:t>
            </w:r>
          </w:p>
        </w:tc>
        <w:tc>
          <w:tcPr>
            <w:tcW w:w="2226" w:type="dxa"/>
            <w:tcBorders>
              <w:left w:val="single" w:sz="4" w:space="0" w:color="auto"/>
              <w:right w:val="single" w:sz="4" w:space="0" w:color="auto"/>
            </w:tcBorders>
          </w:tcPr>
          <w:p w14:paraId="68F6EC4F" w14:textId="77777777" w:rsidR="00740CF9" w:rsidRDefault="00740CF9" w:rsidP="00AF4CAA">
            <w:pPr>
              <w:pStyle w:val="NoSpacing"/>
            </w:pPr>
            <w:r w:rsidRPr="005A3471">
              <w:t>5</w:t>
            </w:r>
          </w:p>
        </w:tc>
        <w:tc>
          <w:tcPr>
            <w:tcW w:w="2245" w:type="dxa"/>
            <w:tcBorders>
              <w:left w:val="single" w:sz="4" w:space="0" w:color="auto"/>
            </w:tcBorders>
          </w:tcPr>
          <w:p w14:paraId="63D484BD" w14:textId="5529A5CB" w:rsidR="00740CF9" w:rsidRDefault="00740CF9" w:rsidP="00AF4CAA">
            <w:pPr>
              <w:pStyle w:val="NoSpacing"/>
            </w:pPr>
            <w:r w:rsidRPr="00083F64">
              <w:t>3</w:t>
            </w:r>
          </w:p>
        </w:tc>
        <w:tc>
          <w:tcPr>
            <w:tcW w:w="2235" w:type="dxa"/>
          </w:tcPr>
          <w:p w14:paraId="6AF53208" w14:textId="2088488B" w:rsidR="00740CF9" w:rsidRDefault="00740CF9" w:rsidP="00AF4CAA">
            <w:pPr>
              <w:pStyle w:val="NoSpacing"/>
            </w:pPr>
            <w:r w:rsidRPr="00083F64">
              <w:t>2</w:t>
            </w:r>
          </w:p>
        </w:tc>
      </w:tr>
      <w:tr w:rsidR="00740CF9" w14:paraId="09F67AC7" w14:textId="77777777" w:rsidTr="005C47A2">
        <w:trPr>
          <w:trHeight w:val="272"/>
        </w:trPr>
        <w:tc>
          <w:tcPr>
            <w:tcW w:w="2554" w:type="dxa"/>
            <w:tcBorders>
              <w:right w:val="single" w:sz="4" w:space="0" w:color="auto"/>
            </w:tcBorders>
          </w:tcPr>
          <w:p w14:paraId="718C338A" w14:textId="77777777" w:rsidR="00740CF9" w:rsidRDefault="00740CF9" w:rsidP="00AF4CAA">
            <w:pPr>
              <w:pStyle w:val="NoSpacing"/>
            </w:pPr>
            <w:r w:rsidRPr="00672853">
              <w:t>Virginia</w:t>
            </w:r>
          </w:p>
        </w:tc>
        <w:tc>
          <w:tcPr>
            <w:tcW w:w="2226" w:type="dxa"/>
            <w:tcBorders>
              <w:left w:val="single" w:sz="4" w:space="0" w:color="auto"/>
              <w:right w:val="single" w:sz="4" w:space="0" w:color="auto"/>
            </w:tcBorders>
          </w:tcPr>
          <w:p w14:paraId="2AA2339D" w14:textId="77777777" w:rsidR="00740CF9" w:rsidRDefault="00740CF9" w:rsidP="00AF4CAA">
            <w:pPr>
              <w:pStyle w:val="NoSpacing"/>
            </w:pPr>
            <w:r w:rsidRPr="005A3471">
              <w:t>23</w:t>
            </w:r>
          </w:p>
        </w:tc>
        <w:tc>
          <w:tcPr>
            <w:tcW w:w="2245" w:type="dxa"/>
            <w:tcBorders>
              <w:left w:val="single" w:sz="4" w:space="0" w:color="auto"/>
            </w:tcBorders>
          </w:tcPr>
          <w:p w14:paraId="2BA2D8E4" w14:textId="50E8F140" w:rsidR="00740CF9" w:rsidRDefault="00740CF9" w:rsidP="00AF4CAA">
            <w:pPr>
              <w:pStyle w:val="NoSpacing"/>
            </w:pPr>
            <w:r w:rsidRPr="00083F64">
              <w:t>17</w:t>
            </w:r>
          </w:p>
        </w:tc>
        <w:tc>
          <w:tcPr>
            <w:tcW w:w="2235" w:type="dxa"/>
          </w:tcPr>
          <w:p w14:paraId="216767EA" w14:textId="1576998D" w:rsidR="00740CF9" w:rsidRDefault="00740CF9" w:rsidP="00AF4CAA">
            <w:pPr>
              <w:pStyle w:val="NoSpacing"/>
            </w:pPr>
            <w:r w:rsidRPr="00083F64">
              <w:t>6</w:t>
            </w:r>
          </w:p>
        </w:tc>
      </w:tr>
      <w:tr w:rsidR="00740CF9" w14:paraId="1E792F94" w14:textId="77777777" w:rsidTr="005C47A2">
        <w:trPr>
          <w:trHeight w:val="266"/>
        </w:trPr>
        <w:tc>
          <w:tcPr>
            <w:tcW w:w="2554" w:type="dxa"/>
            <w:tcBorders>
              <w:right w:val="single" w:sz="4" w:space="0" w:color="auto"/>
            </w:tcBorders>
          </w:tcPr>
          <w:p w14:paraId="4FD0DA2A" w14:textId="77777777" w:rsidR="00740CF9" w:rsidRDefault="00740CF9" w:rsidP="00AF4CAA">
            <w:pPr>
              <w:pStyle w:val="NoSpacing"/>
            </w:pPr>
            <w:r w:rsidRPr="00672853">
              <w:t>Kentucky</w:t>
            </w:r>
          </w:p>
        </w:tc>
        <w:tc>
          <w:tcPr>
            <w:tcW w:w="2226" w:type="dxa"/>
            <w:tcBorders>
              <w:left w:val="single" w:sz="4" w:space="0" w:color="auto"/>
              <w:right w:val="single" w:sz="4" w:space="0" w:color="auto"/>
            </w:tcBorders>
          </w:tcPr>
          <w:p w14:paraId="1A4E6E1A" w14:textId="77777777" w:rsidR="00740CF9" w:rsidRDefault="00740CF9" w:rsidP="00AF4CAA">
            <w:pPr>
              <w:pStyle w:val="NoSpacing"/>
            </w:pPr>
            <w:r w:rsidRPr="005A3471">
              <w:t>15</w:t>
            </w:r>
          </w:p>
        </w:tc>
        <w:tc>
          <w:tcPr>
            <w:tcW w:w="2245" w:type="dxa"/>
            <w:tcBorders>
              <w:left w:val="single" w:sz="4" w:space="0" w:color="auto"/>
            </w:tcBorders>
          </w:tcPr>
          <w:p w14:paraId="4DE2A40D" w14:textId="74C00DBB" w:rsidR="00740CF9" w:rsidRDefault="00CA7414" w:rsidP="00AF4CAA">
            <w:pPr>
              <w:pStyle w:val="NoSpacing"/>
            </w:pPr>
            <w:r>
              <w:t>4</w:t>
            </w:r>
          </w:p>
        </w:tc>
        <w:tc>
          <w:tcPr>
            <w:tcW w:w="2235" w:type="dxa"/>
          </w:tcPr>
          <w:p w14:paraId="0ABC60F1" w14:textId="35046D20" w:rsidR="00740CF9" w:rsidRDefault="00740CF9" w:rsidP="00AF4CAA">
            <w:pPr>
              <w:pStyle w:val="NoSpacing"/>
            </w:pPr>
            <w:r w:rsidRPr="00083F64">
              <w:t>1</w:t>
            </w:r>
            <w:r w:rsidR="00CA7414">
              <w:t>1</w:t>
            </w:r>
          </w:p>
        </w:tc>
      </w:tr>
      <w:tr w:rsidR="00740CF9" w14:paraId="332FACC7" w14:textId="77777777" w:rsidTr="005C47A2">
        <w:trPr>
          <w:trHeight w:val="272"/>
        </w:trPr>
        <w:tc>
          <w:tcPr>
            <w:tcW w:w="2554" w:type="dxa"/>
            <w:tcBorders>
              <w:right w:val="single" w:sz="4" w:space="0" w:color="auto"/>
            </w:tcBorders>
          </w:tcPr>
          <w:p w14:paraId="2A2308D9" w14:textId="77777777" w:rsidR="00740CF9" w:rsidRPr="00F330C5" w:rsidRDefault="00740CF9" w:rsidP="00AF4CAA">
            <w:pPr>
              <w:pStyle w:val="NoSpacing"/>
            </w:pPr>
            <w:r w:rsidRPr="00672853">
              <w:t>Tennessee</w:t>
            </w:r>
          </w:p>
        </w:tc>
        <w:tc>
          <w:tcPr>
            <w:tcW w:w="2226" w:type="dxa"/>
            <w:tcBorders>
              <w:left w:val="single" w:sz="4" w:space="0" w:color="auto"/>
              <w:right w:val="single" w:sz="4" w:space="0" w:color="auto"/>
            </w:tcBorders>
          </w:tcPr>
          <w:p w14:paraId="1D173CA2" w14:textId="77777777" w:rsidR="00740CF9" w:rsidRPr="00F330C5" w:rsidRDefault="00740CF9" w:rsidP="00AF4CAA">
            <w:pPr>
              <w:pStyle w:val="NoSpacing"/>
            </w:pPr>
            <w:r w:rsidRPr="005A3471">
              <w:t>15</w:t>
            </w:r>
          </w:p>
        </w:tc>
        <w:tc>
          <w:tcPr>
            <w:tcW w:w="2245" w:type="dxa"/>
            <w:tcBorders>
              <w:left w:val="single" w:sz="4" w:space="0" w:color="auto"/>
            </w:tcBorders>
          </w:tcPr>
          <w:p w14:paraId="1F7DD77D" w14:textId="72532AC3" w:rsidR="00740CF9" w:rsidRPr="00F330C5" w:rsidRDefault="00740CF9" w:rsidP="00AF4CAA">
            <w:pPr>
              <w:pStyle w:val="NoSpacing"/>
            </w:pPr>
            <w:r w:rsidRPr="00083F64">
              <w:t>11</w:t>
            </w:r>
          </w:p>
        </w:tc>
        <w:tc>
          <w:tcPr>
            <w:tcW w:w="2235" w:type="dxa"/>
          </w:tcPr>
          <w:p w14:paraId="39C09893" w14:textId="3D90A216" w:rsidR="00740CF9" w:rsidRPr="00F330C5" w:rsidRDefault="00740CF9" w:rsidP="00AF4CAA">
            <w:pPr>
              <w:pStyle w:val="NoSpacing"/>
            </w:pPr>
            <w:r w:rsidRPr="00083F64">
              <w:t>4</w:t>
            </w:r>
          </w:p>
        </w:tc>
      </w:tr>
      <w:tr w:rsidR="00740CF9" w14:paraId="7A08EF71" w14:textId="77777777" w:rsidTr="005C47A2">
        <w:trPr>
          <w:trHeight w:val="272"/>
        </w:trPr>
        <w:tc>
          <w:tcPr>
            <w:tcW w:w="2554" w:type="dxa"/>
            <w:tcBorders>
              <w:right w:val="single" w:sz="4" w:space="0" w:color="auto"/>
            </w:tcBorders>
          </w:tcPr>
          <w:p w14:paraId="47041A58" w14:textId="77777777" w:rsidR="00740CF9" w:rsidRPr="00F330C5" w:rsidRDefault="00740CF9" w:rsidP="00AF4CAA">
            <w:pPr>
              <w:pStyle w:val="NoSpacing"/>
            </w:pPr>
            <w:r w:rsidRPr="00672853">
              <w:t>North Carolina</w:t>
            </w:r>
          </w:p>
        </w:tc>
        <w:tc>
          <w:tcPr>
            <w:tcW w:w="2226" w:type="dxa"/>
            <w:tcBorders>
              <w:left w:val="single" w:sz="4" w:space="0" w:color="auto"/>
              <w:right w:val="single" w:sz="4" w:space="0" w:color="auto"/>
            </w:tcBorders>
          </w:tcPr>
          <w:p w14:paraId="037389D3" w14:textId="77777777" w:rsidR="00740CF9" w:rsidRPr="00F330C5" w:rsidRDefault="00740CF9" w:rsidP="00AF4CAA">
            <w:pPr>
              <w:pStyle w:val="NoSpacing"/>
            </w:pPr>
            <w:r w:rsidRPr="005A3471">
              <w:t>15</w:t>
            </w:r>
          </w:p>
        </w:tc>
        <w:tc>
          <w:tcPr>
            <w:tcW w:w="2245" w:type="dxa"/>
            <w:tcBorders>
              <w:left w:val="single" w:sz="4" w:space="0" w:color="auto"/>
            </w:tcBorders>
          </w:tcPr>
          <w:p w14:paraId="027B0DB1" w14:textId="5371CBE0" w:rsidR="00740CF9" w:rsidRPr="00F330C5" w:rsidRDefault="00740CF9" w:rsidP="00AF4CAA">
            <w:pPr>
              <w:pStyle w:val="NoSpacing"/>
            </w:pPr>
            <w:r w:rsidRPr="00083F64">
              <w:t>12</w:t>
            </w:r>
          </w:p>
        </w:tc>
        <w:tc>
          <w:tcPr>
            <w:tcW w:w="2235" w:type="dxa"/>
          </w:tcPr>
          <w:p w14:paraId="45C8EEF5" w14:textId="5C644222" w:rsidR="00740CF9" w:rsidRPr="00F330C5" w:rsidRDefault="00740CF9" w:rsidP="00AF4CAA">
            <w:pPr>
              <w:pStyle w:val="NoSpacing"/>
            </w:pPr>
            <w:r w:rsidRPr="00083F64">
              <w:t>3</w:t>
            </w:r>
          </w:p>
        </w:tc>
      </w:tr>
      <w:tr w:rsidR="00740CF9" w14:paraId="523CDEFC" w14:textId="77777777" w:rsidTr="005C47A2">
        <w:trPr>
          <w:trHeight w:val="272"/>
        </w:trPr>
        <w:tc>
          <w:tcPr>
            <w:tcW w:w="2554" w:type="dxa"/>
            <w:tcBorders>
              <w:right w:val="single" w:sz="4" w:space="0" w:color="auto"/>
            </w:tcBorders>
          </w:tcPr>
          <w:p w14:paraId="43D6A8C7" w14:textId="77777777" w:rsidR="00740CF9" w:rsidRPr="00F330C5" w:rsidRDefault="00740CF9" w:rsidP="00AF4CAA">
            <w:pPr>
              <w:pStyle w:val="NoSpacing"/>
            </w:pPr>
            <w:r w:rsidRPr="00672853">
              <w:t>South Carolina</w:t>
            </w:r>
          </w:p>
        </w:tc>
        <w:tc>
          <w:tcPr>
            <w:tcW w:w="2226" w:type="dxa"/>
            <w:tcBorders>
              <w:left w:val="single" w:sz="4" w:space="0" w:color="auto"/>
              <w:right w:val="single" w:sz="4" w:space="0" w:color="auto"/>
            </w:tcBorders>
          </w:tcPr>
          <w:p w14:paraId="1D15B555" w14:textId="77777777" w:rsidR="00740CF9" w:rsidRPr="00F330C5" w:rsidRDefault="00740CF9" w:rsidP="00AF4CAA">
            <w:pPr>
              <w:pStyle w:val="NoSpacing"/>
            </w:pPr>
            <w:r w:rsidRPr="005A3471">
              <w:t>11</w:t>
            </w:r>
          </w:p>
        </w:tc>
        <w:tc>
          <w:tcPr>
            <w:tcW w:w="2245" w:type="dxa"/>
            <w:tcBorders>
              <w:left w:val="single" w:sz="4" w:space="0" w:color="auto"/>
            </w:tcBorders>
          </w:tcPr>
          <w:p w14:paraId="64DA4BF4" w14:textId="68869F01" w:rsidR="00740CF9" w:rsidRPr="00F330C5" w:rsidRDefault="00740CF9" w:rsidP="00AF4CAA">
            <w:pPr>
              <w:pStyle w:val="NoSpacing"/>
            </w:pPr>
            <w:r w:rsidRPr="00083F64">
              <w:t>11</w:t>
            </w:r>
          </w:p>
        </w:tc>
        <w:tc>
          <w:tcPr>
            <w:tcW w:w="2235" w:type="dxa"/>
          </w:tcPr>
          <w:p w14:paraId="25A0B3D2" w14:textId="766FCAB1" w:rsidR="00740CF9" w:rsidRPr="00F330C5" w:rsidRDefault="00740CF9" w:rsidP="00AF4CAA">
            <w:pPr>
              <w:pStyle w:val="NoSpacing"/>
            </w:pPr>
            <w:r w:rsidRPr="00083F64">
              <w:t>0</w:t>
            </w:r>
          </w:p>
        </w:tc>
      </w:tr>
      <w:tr w:rsidR="00740CF9" w14:paraId="7C216A00" w14:textId="77777777" w:rsidTr="005C47A2">
        <w:trPr>
          <w:trHeight w:val="266"/>
        </w:trPr>
        <w:tc>
          <w:tcPr>
            <w:tcW w:w="2554" w:type="dxa"/>
            <w:tcBorders>
              <w:right w:val="single" w:sz="4" w:space="0" w:color="auto"/>
            </w:tcBorders>
          </w:tcPr>
          <w:p w14:paraId="0443420B" w14:textId="77777777" w:rsidR="00740CF9" w:rsidRPr="00F330C5" w:rsidRDefault="00740CF9" w:rsidP="00AF4CAA">
            <w:pPr>
              <w:pStyle w:val="NoSpacing"/>
            </w:pPr>
            <w:r w:rsidRPr="00672853">
              <w:t>Georgia</w:t>
            </w:r>
          </w:p>
        </w:tc>
        <w:tc>
          <w:tcPr>
            <w:tcW w:w="2226" w:type="dxa"/>
            <w:tcBorders>
              <w:left w:val="single" w:sz="4" w:space="0" w:color="auto"/>
              <w:right w:val="single" w:sz="4" w:space="0" w:color="auto"/>
            </w:tcBorders>
          </w:tcPr>
          <w:p w14:paraId="234940F7" w14:textId="77777777" w:rsidR="00740CF9" w:rsidRPr="00F330C5" w:rsidRDefault="00740CF9" w:rsidP="00AF4CAA">
            <w:pPr>
              <w:pStyle w:val="NoSpacing"/>
            </w:pPr>
            <w:r w:rsidRPr="005A3471">
              <w:t>11</w:t>
            </w:r>
          </w:p>
        </w:tc>
        <w:tc>
          <w:tcPr>
            <w:tcW w:w="2245" w:type="dxa"/>
            <w:tcBorders>
              <w:left w:val="single" w:sz="4" w:space="0" w:color="auto"/>
            </w:tcBorders>
          </w:tcPr>
          <w:p w14:paraId="4C4E1A92" w14:textId="1286ABC5" w:rsidR="00740CF9" w:rsidRPr="00F330C5" w:rsidRDefault="00740CF9" w:rsidP="00AF4CAA">
            <w:pPr>
              <w:pStyle w:val="NoSpacing"/>
            </w:pPr>
            <w:r w:rsidRPr="00083F64">
              <w:t>8</w:t>
            </w:r>
          </w:p>
        </w:tc>
        <w:tc>
          <w:tcPr>
            <w:tcW w:w="2235" w:type="dxa"/>
          </w:tcPr>
          <w:p w14:paraId="6B5E40E2" w14:textId="49B9DC79" w:rsidR="00740CF9" w:rsidRPr="00F330C5" w:rsidRDefault="00740CF9" w:rsidP="00AF4CAA">
            <w:pPr>
              <w:pStyle w:val="NoSpacing"/>
            </w:pPr>
            <w:r w:rsidRPr="00083F64">
              <w:t>3</w:t>
            </w:r>
          </w:p>
        </w:tc>
      </w:tr>
      <w:tr w:rsidR="00740CF9" w14:paraId="0AC64378" w14:textId="77777777" w:rsidTr="005C47A2">
        <w:trPr>
          <w:trHeight w:val="272"/>
        </w:trPr>
        <w:tc>
          <w:tcPr>
            <w:tcW w:w="2554" w:type="dxa"/>
            <w:tcBorders>
              <w:right w:val="single" w:sz="4" w:space="0" w:color="auto"/>
            </w:tcBorders>
          </w:tcPr>
          <w:p w14:paraId="28EC82CE" w14:textId="77777777" w:rsidR="00740CF9" w:rsidRPr="00F330C5" w:rsidRDefault="00740CF9" w:rsidP="00AF4CAA">
            <w:pPr>
              <w:pStyle w:val="NoSpacing"/>
            </w:pPr>
            <w:r w:rsidRPr="00672853">
              <w:t>Yazoo</w:t>
            </w:r>
          </w:p>
        </w:tc>
        <w:tc>
          <w:tcPr>
            <w:tcW w:w="2226" w:type="dxa"/>
            <w:tcBorders>
              <w:left w:val="single" w:sz="4" w:space="0" w:color="auto"/>
              <w:right w:val="single" w:sz="4" w:space="0" w:color="auto"/>
            </w:tcBorders>
          </w:tcPr>
          <w:p w14:paraId="1462D59B" w14:textId="77777777" w:rsidR="00740CF9" w:rsidRPr="00F330C5" w:rsidRDefault="00740CF9" w:rsidP="00AF4CAA">
            <w:pPr>
              <w:pStyle w:val="NoSpacing"/>
            </w:pPr>
            <w:r w:rsidRPr="005A3471">
              <w:t>8</w:t>
            </w:r>
          </w:p>
        </w:tc>
        <w:tc>
          <w:tcPr>
            <w:tcW w:w="2245" w:type="dxa"/>
            <w:tcBorders>
              <w:left w:val="single" w:sz="4" w:space="0" w:color="auto"/>
            </w:tcBorders>
          </w:tcPr>
          <w:p w14:paraId="2EA95AB3" w14:textId="4ADD87BE" w:rsidR="00740CF9" w:rsidRPr="00F330C5" w:rsidRDefault="00740CF9" w:rsidP="00AF4CAA">
            <w:pPr>
              <w:pStyle w:val="NoSpacing"/>
            </w:pPr>
            <w:r w:rsidRPr="00083F64">
              <w:t>5</w:t>
            </w:r>
          </w:p>
        </w:tc>
        <w:tc>
          <w:tcPr>
            <w:tcW w:w="2235" w:type="dxa"/>
          </w:tcPr>
          <w:p w14:paraId="32095221" w14:textId="275E8B53" w:rsidR="00740CF9" w:rsidRPr="00F330C5" w:rsidRDefault="00740CF9" w:rsidP="00AF4CAA">
            <w:pPr>
              <w:pStyle w:val="NoSpacing"/>
            </w:pPr>
            <w:r w:rsidRPr="00083F64">
              <w:t>3</w:t>
            </w:r>
          </w:p>
        </w:tc>
      </w:tr>
      <w:tr w:rsidR="00740CF9" w14:paraId="2536D5AD" w14:textId="77777777" w:rsidTr="005C47A2">
        <w:trPr>
          <w:trHeight w:val="272"/>
        </w:trPr>
        <w:tc>
          <w:tcPr>
            <w:tcW w:w="2554" w:type="dxa"/>
            <w:tcBorders>
              <w:right w:val="single" w:sz="4" w:space="0" w:color="auto"/>
            </w:tcBorders>
          </w:tcPr>
          <w:p w14:paraId="73170F5C" w14:textId="77777777" w:rsidR="00740CF9" w:rsidRPr="00F330C5" w:rsidRDefault="00740CF9" w:rsidP="00AF4CAA">
            <w:pPr>
              <w:pStyle w:val="NoSpacing"/>
            </w:pPr>
            <w:r w:rsidRPr="00672853">
              <w:t>Mississippi</w:t>
            </w:r>
          </w:p>
        </w:tc>
        <w:tc>
          <w:tcPr>
            <w:tcW w:w="2226" w:type="dxa"/>
            <w:tcBorders>
              <w:left w:val="single" w:sz="4" w:space="0" w:color="auto"/>
              <w:right w:val="single" w:sz="4" w:space="0" w:color="auto"/>
            </w:tcBorders>
          </w:tcPr>
          <w:p w14:paraId="56B5222C" w14:textId="77777777" w:rsidR="00740CF9" w:rsidRPr="00F330C5" w:rsidRDefault="00740CF9" w:rsidP="00AF4CAA">
            <w:pPr>
              <w:pStyle w:val="NoSpacing"/>
            </w:pPr>
            <w:r w:rsidRPr="005A3471">
              <w:t>4</w:t>
            </w:r>
          </w:p>
        </w:tc>
        <w:tc>
          <w:tcPr>
            <w:tcW w:w="2245" w:type="dxa"/>
            <w:tcBorders>
              <w:left w:val="single" w:sz="4" w:space="0" w:color="auto"/>
            </w:tcBorders>
          </w:tcPr>
          <w:p w14:paraId="7DECE598" w14:textId="1AB73C20" w:rsidR="00740CF9" w:rsidRPr="00F330C5" w:rsidRDefault="00740CF9" w:rsidP="00AF4CAA">
            <w:pPr>
              <w:pStyle w:val="NoSpacing"/>
            </w:pPr>
            <w:r w:rsidRPr="00083F64">
              <w:t>4</w:t>
            </w:r>
          </w:p>
        </w:tc>
        <w:tc>
          <w:tcPr>
            <w:tcW w:w="2235" w:type="dxa"/>
          </w:tcPr>
          <w:p w14:paraId="043102D7" w14:textId="124CC9A2" w:rsidR="00740CF9" w:rsidRPr="00F330C5" w:rsidRDefault="00740CF9" w:rsidP="00AF4CAA">
            <w:pPr>
              <w:pStyle w:val="NoSpacing"/>
            </w:pPr>
            <w:r w:rsidRPr="00083F64">
              <w:t>0</w:t>
            </w:r>
          </w:p>
        </w:tc>
      </w:tr>
      <w:tr w:rsidR="00740CF9" w14:paraId="23C70E00" w14:textId="77777777" w:rsidTr="005C47A2">
        <w:trPr>
          <w:trHeight w:val="272"/>
        </w:trPr>
        <w:tc>
          <w:tcPr>
            <w:tcW w:w="2554" w:type="dxa"/>
            <w:tcBorders>
              <w:right w:val="single" w:sz="4" w:space="0" w:color="auto"/>
            </w:tcBorders>
          </w:tcPr>
          <w:p w14:paraId="25EC8655" w14:textId="569A2BB3" w:rsidR="00740CF9" w:rsidRPr="00672853" w:rsidRDefault="00740CF9" w:rsidP="00AF4CAA">
            <w:pPr>
              <w:pStyle w:val="NoSpacing"/>
            </w:pPr>
            <w:r>
              <w:t>Missouri</w:t>
            </w:r>
          </w:p>
        </w:tc>
        <w:tc>
          <w:tcPr>
            <w:tcW w:w="2226" w:type="dxa"/>
            <w:tcBorders>
              <w:left w:val="single" w:sz="4" w:space="0" w:color="auto"/>
              <w:right w:val="single" w:sz="4" w:space="0" w:color="auto"/>
            </w:tcBorders>
          </w:tcPr>
          <w:p w14:paraId="7DEA42EB" w14:textId="29F51DC9" w:rsidR="00740CF9" w:rsidRPr="005A3471" w:rsidRDefault="00740CF9" w:rsidP="00AF4CAA">
            <w:pPr>
              <w:pStyle w:val="NoSpacing"/>
            </w:pPr>
            <w:r>
              <w:t>3</w:t>
            </w:r>
          </w:p>
        </w:tc>
        <w:tc>
          <w:tcPr>
            <w:tcW w:w="2245" w:type="dxa"/>
            <w:tcBorders>
              <w:left w:val="single" w:sz="4" w:space="0" w:color="auto"/>
            </w:tcBorders>
          </w:tcPr>
          <w:p w14:paraId="1F161B9F" w14:textId="7A86DFDC" w:rsidR="00740CF9" w:rsidRPr="005A3471" w:rsidRDefault="00740CF9" w:rsidP="00AF4CAA">
            <w:pPr>
              <w:pStyle w:val="NoSpacing"/>
            </w:pPr>
            <w:r w:rsidRPr="00083F64">
              <w:t>3</w:t>
            </w:r>
          </w:p>
        </w:tc>
        <w:tc>
          <w:tcPr>
            <w:tcW w:w="2235" w:type="dxa"/>
          </w:tcPr>
          <w:p w14:paraId="2E2E6C1E" w14:textId="2346F428" w:rsidR="00740CF9" w:rsidRPr="003F21FA" w:rsidRDefault="00740CF9" w:rsidP="00AF4CAA">
            <w:pPr>
              <w:pStyle w:val="NoSpacing"/>
            </w:pPr>
            <w:r w:rsidRPr="00083F64">
              <w:t>0</w:t>
            </w:r>
          </w:p>
        </w:tc>
      </w:tr>
      <w:tr w:rsidR="00740CF9" w14:paraId="55409FF0" w14:textId="77777777" w:rsidTr="005C47A2">
        <w:trPr>
          <w:trHeight w:val="266"/>
        </w:trPr>
        <w:tc>
          <w:tcPr>
            <w:tcW w:w="2554" w:type="dxa"/>
            <w:tcBorders>
              <w:bottom w:val="single" w:sz="4" w:space="0" w:color="auto"/>
              <w:right w:val="single" w:sz="4" w:space="0" w:color="auto"/>
            </w:tcBorders>
          </w:tcPr>
          <w:p w14:paraId="43B02391" w14:textId="77777777" w:rsidR="00740CF9" w:rsidRDefault="00740CF9" w:rsidP="00AF4CAA">
            <w:pPr>
              <w:pStyle w:val="NoSpacing"/>
            </w:pPr>
            <w:r w:rsidRPr="00672853">
              <w:t>Orleans</w:t>
            </w:r>
          </w:p>
        </w:tc>
        <w:tc>
          <w:tcPr>
            <w:tcW w:w="2226" w:type="dxa"/>
            <w:tcBorders>
              <w:left w:val="single" w:sz="4" w:space="0" w:color="auto"/>
              <w:bottom w:val="single" w:sz="4" w:space="0" w:color="auto"/>
              <w:right w:val="single" w:sz="4" w:space="0" w:color="auto"/>
            </w:tcBorders>
          </w:tcPr>
          <w:p w14:paraId="575143B9" w14:textId="77777777" w:rsidR="00740CF9" w:rsidRDefault="00740CF9" w:rsidP="00AF4CAA">
            <w:pPr>
              <w:pStyle w:val="NoSpacing"/>
            </w:pPr>
            <w:r w:rsidRPr="005A3471">
              <w:t>5</w:t>
            </w:r>
          </w:p>
        </w:tc>
        <w:tc>
          <w:tcPr>
            <w:tcW w:w="2245" w:type="dxa"/>
            <w:tcBorders>
              <w:left w:val="single" w:sz="4" w:space="0" w:color="auto"/>
              <w:bottom w:val="single" w:sz="4" w:space="0" w:color="auto"/>
            </w:tcBorders>
          </w:tcPr>
          <w:p w14:paraId="639FE613" w14:textId="5D47A0E8" w:rsidR="00740CF9" w:rsidRDefault="00740CF9" w:rsidP="00AF4CAA">
            <w:pPr>
              <w:pStyle w:val="NoSpacing"/>
            </w:pPr>
            <w:r w:rsidRPr="00083F64">
              <w:t>2</w:t>
            </w:r>
          </w:p>
        </w:tc>
        <w:tc>
          <w:tcPr>
            <w:tcW w:w="2235" w:type="dxa"/>
            <w:tcBorders>
              <w:bottom w:val="single" w:sz="4" w:space="0" w:color="auto"/>
            </w:tcBorders>
          </w:tcPr>
          <w:p w14:paraId="084A46E4" w14:textId="0E8156A8" w:rsidR="00740CF9" w:rsidRDefault="00740CF9" w:rsidP="00AF4CAA">
            <w:pPr>
              <w:pStyle w:val="NoSpacing"/>
            </w:pPr>
            <w:r w:rsidRPr="00083F64">
              <w:t>3</w:t>
            </w:r>
          </w:p>
        </w:tc>
      </w:tr>
      <w:tr w:rsidR="00740CF9" w14:paraId="449BEC52" w14:textId="77777777" w:rsidTr="005C47A2">
        <w:trPr>
          <w:trHeight w:val="272"/>
        </w:trPr>
        <w:tc>
          <w:tcPr>
            <w:tcW w:w="2554" w:type="dxa"/>
            <w:tcBorders>
              <w:top w:val="single" w:sz="4" w:space="0" w:color="auto"/>
              <w:right w:val="single" w:sz="4" w:space="0" w:color="auto"/>
            </w:tcBorders>
          </w:tcPr>
          <w:p w14:paraId="2B449813" w14:textId="77777777" w:rsidR="00740CF9" w:rsidRPr="006C79D5" w:rsidRDefault="00740CF9" w:rsidP="00AF4CAA">
            <w:pPr>
              <w:pStyle w:val="NoSpacing"/>
            </w:pPr>
            <w:r w:rsidRPr="006C79D5">
              <w:t>Total</w:t>
            </w:r>
          </w:p>
        </w:tc>
        <w:tc>
          <w:tcPr>
            <w:tcW w:w="2226" w:type="dxa"/>
            <w:tcBorders>
              <w:top w:val="single" w:sz="4" w:space="0" w:color="auto"/>
              <w:left w:val="single" w:sz="4" w:space="0" w:color="auto"/>
              <w:right w:val="single" w:sz="4" w:space="0" w:color="auto"/>
            </w:tcBorders>
          </w:tcPr>
          <w:p w14:paraId="018AE99F" w14:textId="311C6901" w:rsidR="00740CF9" w:rsidRPr="006C79D5" w:rsidRDefault="00740CF9" w:rsidP="00AF4CAA">
            <w:pPr>
              <w:pStyle w:val="NoSpacing"/>
            </w:pPr>
            <w:r>
              <w:t>302</w:t>
            </w:r>
          </w:p>
        </w:tc>
        <w:tc>
          <w:tcPr>
            <w:tcW w:w="2245" w:type="dxa"/>
            <w:tcBorders>
              <w:top w:val="single" w:sz="4" w:space="0" w:color="auto"/>
              <w:left w:val="single" w:sz="4" w:space="0" w:color="auto"/>
            </w:tcBorders>
          </w:tcPr>
          <w:p w14:paraId="49312EA3" w14:textId="2F8C121F" w:rsidR="00740CF9" w:rsidRPr="00740CF9" w:rsidRDefault="00740CF9" w:rsidP="00AF4CAA">
            <w:pPr>
              <w:pStyle w:val="NoSpacing"/>
            </w:pPr>
            <w:r w:rsidRPr="00740CF9">
              <w:t>16</w:t>
            </w:r>
            <w:r w:rsidR="005D4955">
              <w:t>6</w:t>
            </w:r>
          </w:p>
        </w:tc>
        <w:tc>
          <w:tcPr>
            <w:tcW w:w="2235" w:type="dxa"/>
            <w:tcBorders>
              <w:top w:val="single" w:sz="4" w:space="0" w:color="auto"/>
            </w:tcBorders>
          </w:tcPr>
          <w:p w14:paraId="7ED6EDB1" w14:textId="32A17D9D" w:rsidR="00740CF9" w:rsidRPr="00740CF9" w:rsidRDefault="00740CF9" w:rsidP="00AF4CAA">
            <w:pPr>
              <w:pStyle w:val="NoSpacing"/>
              <w:rPr>
                <w:u w:val="single"/>
              </w:rPr>
            </w:pPr>
            <w:r w:rsidRPr="00740CF9">
              <w:t>13</w:t>
            </w:r>
            <w:r w:rsidR="005D4955">
              <w:t>6</w:t>
            </w:r>
          </w:p>
        </w:tc>
      </w:tr>
    </w:tbl>
    <w:p w14:paraId="79D5AEDB" w14:textId="5A4EB97F" w:rsidR="005C47A2" w:rsidRPr="00C9775D" w:rsidRDefault="005C47A2" w:rsidP="00C9775D"/>
    <w:p w14:paraId="3BF2DF2D" w14:textId="2620E790" w:rsidR="00805073" w:rsidRDefault="00882949" w:rsidP="00E47D25">
      <w:r>
        <w:t>The shipyards of the nation readied for new ships of the navy, and along the coasts many worried that France was plotting some sort of landing. In the South, fear that the French were stirring up some sort of slave revolt only escalated, and militias armed and readied for the landing</w:t>
      </w:r>
      <w:r w:rsidR="00644D5F">
        <w:t xml:space="preserve"> of French troops</w:t>
      </w:r>
      <w:r w:rsidR="00C66B8E">
        <w:t xml:space="preserve">. Such feelings had little </w:t>
      </w:r>
      <w:proofErr w:type="gramStart"/>
      <w:r w:rsidR="00C66B8E">
        <w:t>basis in reality, but</w:t>
      </w:r>
      <w:proofErr w:type="gramEnd"/>
      <w:r w:rsidR="00C66B8E">
        <w:t xml:space="preserve"> </w:t>
      </w:r>
      <w:r w:rsidR="000604AC">
        <w:t>wartime paranoia nevertheless persisted</w:t>
      </w:r>
      <w:r>
        <w:t>.</w:t>
      </w:r>
      <w:r w:rsidR="00644D5F">
        <w:t xml:space="preserve"> </w:t>
      </w:r>
      <w:proofErr w:type="gramStart"/>
      <w:r w:rsidR="00644D5F">
        <w:t>But yet</w:t>
      </w:r>
      <w:proofErr w:type="gramEnd"/>
      <w:r w:rsidR="00644D5F">
        <w:t xml:space="preserve">, beneath the surface, the war was cooling. Pike was increasingly discontented at this pointless war, which seemed to cost more for the United States, than the entire restitution being fought over. And he also worried that he was </w:t>
      </w:r>
      <w:r w:rsidR="000E0E9F">
        <w:t>nothing more than a patsy for the ambitious John C. Calhoun, who he now moved to sideline within his own party</w:t>
      </w:r>
      <w:r w:rsidR="00305DEA">
        <w:t xml:space="preserve"> and increasingly jeered as a </w:t>
      </w:r>
      <w:r w:rsidR="00305DEA">
        <w:lastRenderedPageBreak/>
        <w:t>traitor to the nation</w:t>
      </w:r>
      <w:r w:rsidR="001F5D5D">
        <w:t>, a latter-day incarnation of</w:t>
      </w:r>
      <w:r w:rsidR="009F703D">
        <w:t xml:space="preserve"> the infamous Alexander Hamilton</w:t>
      </w:r>
      <w:r w:rsidR="000E0E9F">
        <w:t xml:space="preserve">. Following the election, there was a distinct shift in patronage, as government appointees loyal to Calhoun found themselves fired and replaced by members of the more nationalist, Madisonian wing of the Republican Party. </w:t>
      </w:r>
      <w:r w:rsidR="007801CA">
        <w:t xml:space="preserve">Additionally, the </w:t>
      </w:r>
      <w:r w:rsidR="00817E4C">
        <w:t>collapse of the old Ottoman Empire in 1841 and the ensuing wars of independence of several of its subject peoples, especially Greece, inspired</w:t>
      </w:r>
      <w:r w:rsidR="00805073">
        <w:t xml:space="preserve"> feelings of sympathy across the Western world, including the United States; many burgeoning “Philhellenes”, not in the least Daniel Webster and Henry Clay, advocated not only peace with the fellow republic of France, but an alliance with it on the side of the Greeks</w:t>
      </w:r>
      <w:r w:rsidR="00634CF5">
        <w:t>, as if to expand the Clay Doctrine into the Eastern Hemisphere</w:t>
      </w:r>
      <w:r w:rsidR="00805073">
        <w:t>.</w:t>
      </w:r>
      <w:r w:rsidR="007801CA">
        <w:t xml:space="preserve"> </w:t>
      </w:r>
    </w:p>
    <w:p w14:paraId="32B493E8" w14:textId="6C7AD165" w:rsidR="00882949" w:rsidRDefault="00805073" w:rsidP="00E47D25">
      <w:r>
        <w:t>Thus</w:t>
      </w:r>
      <w:r w:rsidR="000745A3">
        <w:t>,</w:t>
      </w:r>
      <w:r>
        <w:t xml:space="preserve"> in this evolving </w:t>
      </w:r>
      <w:r w:rsidR="00634CF5">
        <w:t>atmosphere</w:t>
      </w:r>
      <w:r w:rsidR="000745A3">
        <w:t xml:space="preserve"> Pike finally agreed to British offers of mediation, and at the same time </w:t>
      </w:r>
      <w:r w:rsidR="00A312EE">
        <w:t xml:space="preserve">French involvement in the First Circassian War </w:t>
      </w:r>
      <w:r w:rsidR="005924B6">
        <w:t>from</w:t>
      </w:r>
      <w:r w:rsidR="00A312EE">
        <w:t xml:space="preserve"> 1841</w:t>
      </w:r>
      <w:r w:rsidR="005924B6">
        <w:t xml:space="preserve"> onwards</w:t>
      </w:r>
      <w:r w:rsidR="00A312EE">
        <w:t xml:space="preserve"> </w:t>
      </w:r>
      <w:r w:rsidR="00C55967">
        <w:t xml:space="preserve">made it more willing to agree to even the most extreme American offers. </w:t>
      </w:r>
      <w:r w:rsidR="00D86B11">
        <w:t>The ensuing Franco-American Convention saw the French agree to pay the United States</w:t>
      </w:r>
      <w:r w:rsidR="00033705">
        <w:t xml:space="preserve"> </w:t>
      </w:r>
      <w:r w:rsidR="00573411">
        <w:t>forty</w:t>
      </w:r>
      <w:r w:rsidR="00D86B11">
        <w:t xml:space="preserve"> million </w:t>
      </w:r>
      <w:r w:rsidR="00573411">
        <w:t>francs, a colossal sum greater than the money originally sought</w:t>
      </w:r>
      <w:r w:rsidR="000E6F03">
        <w:t xml:space="preserve">. </w:t>
      </w:r>
      <w:r w:rsidR="00D23004">
        <w:t xml:space="preserve">By 1842, the Senate ratified the treaty, and Pike excitedly declared victory. </w:t>
      </w:r>
      <w:r w:rsidR="00AE3431">
        <w:t>This put an end to ambitious plots from Southerners to go on the offensive, to organize freebooting expeditions to secure the French Caribbean to slavery – but the nation cheered</w:t>
      </w:r>
      <w:r w:rsidR="00934B90">
        <w:t>, including the Southerners who had previously feared French-supported slave revolts</w:t>
      </w:r>
      <w:r w:rsidR="00AE3431">
        <w:t xml:space="preserve">. </w:t>
      </w:r>
      <w:r w:rsidR="00427899">
        <w:t xml:space="preserve">And though many Democrats chuckled and sneered at Pike for stealing their clothes, of peace with honor, they nevertheless remarked that they were indeed good clothes to steal. </w:t>
      </w:r>
      <w:r w:rsidR="00216384">
        <w:t xml:space="preserve">And so, Pike launched a national tour, where he was met with cheering crowds – </w:t>
      </w:r>
      <w:r w:rsidR="00C65788">
        <w:t>crowds which included many</w:t>
      </w:r>
      <w:r w:rsidR="00216384">
        <w:t xml:space="preserve"> Democrats</w:t>
      </w:r>
      <w:r w:rsidR="00C65788">
        <w:t>,</w:t>
      </w:r>
      <w:r w:rsidR="00216384">
        <w:t xml:space="preserve"> who were only too happy to take credit for forcing enough</w:t>
      </w:r>
      <w:r w:rsidR="00C65788">
        <w:t xml:space="preserve"> pressure</w:t>
      </w:r>
      <w:r w:rsidR="00C14FA3">
        <w:t xml:space="preserve"> to </w:t>
      </w:r>
      <w:r w:rsidR="00EB3933">
        <w:t>push him into</w:t>
      </w:r>
      <w:r w:rsidR="00C15DE4">
        <w:t xml:space="preserve"> </w:t>
      </w:r>
      <w:r w:rsidR="009353E5">
        <w:t xml:space="preserve">an </w:t>
      </w:r>
      <w:r w:rsidR="00C15DE4">
        <w:t>honorable</w:t>
      </w:r>
      <w:r w:rsidR="00C14FA3">
        <w:t xml:space="preserve"> peace</w:t>
      </w:r>
      <w:r w:rsidR="009353E5">
        <w:t xml:space="preserve"> he would have otherwise avoided</w:t>
      </w:r>
      <w:r w:rsidR="00C14FA3">
        <w:t xml:space="preserve">. </w:t>
      </w:r>
    </w:p>
    <w:p w14:paraId="1DEA5440" w14:textId="060AA9D9" w:rsidR="00045841" w:rsidRDefault="003862BF" w:rsidP="00E47D25">
      <w:r>
        <w:lastRenderedPageBreak/>
        <w:t xml:space="preserve">But 1842 also saw the upending of the Pike administration. For beneath the surface of </w:t>
      </w:r>
      <w:r w:rsidR="00ED799F">
        <w:t>the sheen of victory, there was a rot all over the economy</w:t>
      </w:r>
      <w:r w:rsidR="003D4369">
        <w:t xml:space="preserve"> </w:t>
      </w:r>
      <w:r w:rsidR="00ED799F">
        <w:t xml:space="preserve">– and when it finally </w:t>
      </w:r>
      <w:r w:rsidR="003D4369">
        <w:t>collapsed, the results</w:t>
      </w:r>
      <w:r w:rsidR="009D424D">
        <w:t xml:space="preserve"> affected the entire economy, as well as the entire nation.</w:t>
      </w:r>
      <w:r w:rsidR="00E7227E">
        <w:t xml:space="preserve"> </w:t>
      </w:r>
    </w:p>
    <w:p w14:paraId="389C384D" w14:textId="11B04786" w:rsidR="00E47D25" w:rsidRDefault="00E47D25" w:rsidP="00E47D25">
      <w:r>
        <w:br w:type="page"/>
      </w:r>
    </w:p>
    <w:p w14:paraId="223586AD" w14:textId="77777777" w:rsidR="00944BCE" w:rsidRDefault="00944BCE" w:rsidP="00944BCE"/>
    <w:p w14:paraId="100ABAFB" w14:textId="77777777" w:rsidR="00E47D25" w:rsidRDefault="00E47D25" w:rsidP="00944BCE">
      <w:pPr>
        <w:sectPr w:rsidR="00E47D25" w:rsidSect="00944BCE">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6B3EFDA" w14:textId="77777777" w:rsidR="00944BCE" w:rsidRDefault="00944BCE" w:rsidP="00944BCE">
      <w:r>
        <w:br w:type="page"/>
      </w:r>
    </w:p>
    <w:p w14:paraId="4A1570FC" w14:textId="5E85F443" w:rsidR="00D745D6" w:rsidRDefault="00D745D6" w:rsidP="00D745D6">
      <w:pPr>
        <w:pStyle w:val="Heading1"/>
      </w:pPr>
      <w:bookmarkStart w:id="34" w:name="_Toc202006225"/>
      <w:r>
        <w:lastRenderedPageBreak/>
        <w:t>26. The Grip of the Ball</w:t>
      </w:r>
      <w:bookmarkEnd w:id="34"/>
    </w:p>
    <w:p w14:paraId="0569C663" w14:textId="3AEA6605" w:rsidR="00D745D6" w:rsidRDefault="00237F37" w:rsidP="00D745D6">
      <w:r>
        <w:t>The Panic of 1842 was but the inevitable consequences of a long</w:t>
      </w:r>
      <w:r w:rsidR="00C502C5">
        <w:t xml:space="preserve"> and unsustainable economic boom. The incorporation of so much territory from Spain resulted in inevitable land speculation, as boosters and speculators bought up land and tried to attract settlers to and near it. The ensuing land rushes</w:t>
      </w:r>
      <w:r w:rsidR="00D95C5D">
        <w:t xml:space="preserve">, helped by the investments in canals and roads over the Harrison years only inspired an avalanche of speculation, as in came </w:t>
      </w:r>
      <w:r w:rsidR="00012B7B">
        <w:t xml:space="preserve">investors, bonds, and stock shares. Though the National Bank invested little in this boom, it preferring to invest in the East, and it </w:t>
      </w:r>
      <w:r w:rsidR="00AB7C27">
        <w:t xml:space="preserve">even worked against the boom by trying to </w:t>
      </w:r>
      <w:r w:rsidR="00D83123">
        <w:t>topple</w:t>
      </w:r>
      <w:r w:rsidR="00AB7C27">
        <w:t xml:space="preserve"> the several </w:t>
      </w:r>
      <w:r w:rsidR="007C0C7A">
        <w:t xml:space="preserve">unfruitful projects popping up across the West, </w:t>
      </w:r>
      <w:r w:rsidR="00221EC2">
        <w:t xml:space="preserve">the boom continued to build in scale. </w:t>
      </w:r>
      <w:r w:rsidR="005961AD">
        <w:t xml:space="preserve">The Panic of 1835 and the collapse of Lloyd’s </w:t>
      </w:r>
      <w:r w:rsidR="00BB3D62">
        <w:t xml:space="preserve">over in London </w:t>
      </w:r>
      <w:r w:rsidR="005961AD">
        <w:t>did not put an end to the boom, and all it did was slightly pull the breaks</w:t>
      </w:r>
      <w:r w:rsidR="00BB3D62">
        <w:t>; instead</w:t>
      </w:r>
      <w:r w:rsidR="008F4C47">
        <w:t xml:space="preserve">, the land rushes escalated and so too did all the </w:t>
      </w:r>
      <w:r w:rsidR="00823EAA">
        <w:t>speculation beneath the surface. Paper land companies and their stocks</w:t>
      </w:r>
      <w:r w:rsidR="003834E7">
        <w:t xml:space="preserve"> and bonds</w:t>
      </w:r>
      <w:r w:rsidR="00823EAA">
        <w:t xml:space="preserve"> flowed to the exchanges of Washington and New York, which inspired only further speculation based upon </w:t>
      </w:r>
      <w:r w:rsidR="00830104">
        <w:t>them</w:t>
      </w:r>
      <w:r w:rsidR="003834E7">
        <w:t xml:space="preserve"> as brokers bundled these </w:t>
      </w:r>
      <w:r w:rsidR="00B06EBF">
        <w:t>securities</w:t>
      </w:r>
      <w:r w:rsidR="003834E7">
        <w:t xml:space="preserve"> with </w:t>
      </w:r>
      <w:r w:rsidR="00B85306">
        <w:t>others, and this</w:t>
      </w:r>
      <w:r w:rsidR="003834E7">
        <w:t xml:space="preserve"> made new </w:t>
      </w:r>
      <w:r w:rsidR="00B06EBF">
        <w:t>securities</w:t>
      </w:r>
      <w:r w:rsidR="003834E7">
        <w:t xml:space="preserve"> dependent on them</w:t>
      </w:r>
      <w:r w:rsidR="00B85306">
        <w:t>. Several land companies did not even need to send a single settler to the new land they</w:t>
      </w:r>
      <w:r w:rsidR="00FD590A">
        <w:t xml:space="preserve"> purchased; instead, they made money through printing stocks and bonds</w:t>
      </w:r>
      <w:r w:rsidR="00AA352E">
        <w:t>, declared bankruptcy, and pocketed the remainder</w:t>
      </w:r>
      <w:r w:rsidR="003834E7">
        <w:t xml:space="preserve">. </w:t>
      </w:r>
      <w:r w:rsidR="00B85306">
        <w:t>And slowly, the consequences of all this unsustainable investment</w:t>
      </w:r>
      <w:r w:rsidR="008F6350">
        <w:t xml:space="preserve"> came to roost. </w:t>
      </w:r>
    </w:p>
    <w:p w14:paraId="0A3AB9A0" w14:textId="2E770925" w:rsidR="0055329A" w:rsidRDefault="0055329A" w:rsidP="00D745D6">
      <w:r>
        <w:t>What immediately began it was a cotton glut. As new land was opened to the cotton trade</w:t>
      </w:r>
      <w:r w:rsidR="007E0D01">
        <w:t>, as cotton was made easier to export by new canals and roads</w:t>
      </w:r>
      <w:r>
        <w:t xml:space="preserve">, and as large swathes of Orleans, </w:t>
      </w:r>
      <w:proofErr w:type="spellStart"/>
      <w:r>
        <w:t>Arcansa</w:t>
      </w:r>
      <w:proofErr w:type="spellEnd"/>
      <w:r>
        <w:t xml:space="preserve">, and </w:t>
      </w:r>
      <w:r w:rsidR="005B6D98">
        <w:t xml:space="preserve">Missouri </w:t>
      </w:r>
      <w:r w:rsidR="007E0D01">
        <w:t xml:space="preserve">were cleared for cotton, </w:t>
      </w:r>
      <w:r w:rsidR="00886BB6">
        <w:t xml:space="preserve">the sheer amount of cotton on the market escalated. </w:t>
      </w:r>
      <w:r w:rsidR="00B06EBF">
        <w:t xml:space="preserve">Cotton bonds and securities, sold </w:t>
      </w:r>
      <w:r w:rsidR="00DF3EB4">
        <w:t>as far afield</w:t>
      </w:r>
      <w:r w:rsidR="00B06EBF">
        <w:t xml:space="preserve"> </w:t>
      </w:r>
      <w:r w:rsidR="00DF3EB4">
        <w:t>as the</w:t>
      </w:r>
      <w:r w:rsidR="00045828">
        <w:t xml:space="preserve"> Paris</w:t>
      </w:r>
      <w:r w:rsidR="00DF3EB4">
        <w:t xml:space="preserve"> Bourse</w:t>
      </w:r>
      <w:r w:rsidR="00045828">
        <w:t xml:space="preserve"> </w:t>
      </w:r>
      <w:r w:rsidR="00DF3EB4">
        <w:t xml:space="preserve">and the </w:t>
      </w:r>
      <w:r w:rsidR="00045828">
        <w:t xml:space="preserve">London Exchange, </w:t>
      </w:r>
      <w:r w:rsidR="00D90C39">
        <w:t>had previously boomed in value, but now they represented a smaller piece of a much larger pie</w:t>
      </w:r>
      <w:r w:rsidR="002A5451">
        <w:t xml:space="preserve">. For some time, the effects of this had been mitigated by the collapse of the East India </w:t>
      </w:r>
      <w:r w:rsidR="002A5451">
        <w:lastRenderedPageBreak/>
        <w:t>Company after Britain’s Popular Revolution</w:t>
      </w:r>
      <w:r w:rsidR="00A10B42">
        <w:t>, as</w:t>
      </w:r>
      <w:r w:rsidR="002A5451">
        <w:t xml:space="preserve"> the much greater </w:t>
      </w:r>
      <w:r w:rsidR="00A10B42">
        <w:t xml:space="preserve">supply of </w:t>
      </w:r>
      <w:r w:rsidR="002A5451">
        <w:t xml:space="preserve">American cotton came into </w:t>
      </w:r>
      <w:r w:rsidR="00C97214">
        <w:t>the</w:t>
      </w:r>
      <w:r w:rsidR="002A5451">
        <w:t xml:space="preserve"> void created by the Burmese conquest of Bengal, and the ensuing removal of its cotton from British markets</w:t>
      </w:r>
      <w:r w:rsidR="00FE5372">
        <w:rPr>
          <w:rStyle w:val="EndnoteReference"/>
        </w:rPr>
        <w:endnoteReference w:id="117"/>
      </w:r>
      <w:r w:rsidR="00C97214">
        <w:t>. But come 1842, the cotton glut had become too much</w:t>
      </w:r>
      <w:r w:rsidR="00914096">
        <w:t xml:space="preserve"> and slashed its prices</w:t>
      </w:r>
      <w:r w:rsidR="00C97214">
        <w:t>, and suddenly cotton securities became smaller pieces of a much greater pie</w:t>
      </w:r>
      <w:r w:rsidR="00EA6626">
        <w:t>. Prices began to crash</w:t>
      </w:r>
      <w:r w:rsidR="00D90C39">
        <w:t xml:space="preserve">. </w:t>
      </w:r>
      <w:r w:rsidR="008C5029">
        <w:t xml:space="preserve">The effects of this quickly cascaded, as brokers sold off their </w:t>
      </w:r>
      <w:r w:rsidR="006249C2">
        <w:t xml:space="preserve">securities, and the resulting loss of confidence shook not only the </w:t>
      </w:r>
      <w:r w:rsidR="006767F0">
        <w:t>cotton market, but also</w:t>
      </w:r>
      <w:r w:rsidR="00415F05">
        <w:t xml:space="preserve"> the land speculation boom in the United States</w:t>
      </w:r>
      <w:r w:rsidR="00FD4DA7">
        <w:t xml:space="preserve">; </w:t>
      </w:r>
      <w:r w:rsidR="007D05F1">
        <w:t>new</w:t>
      </w:r>
      <w:r w:rsidR="00415F05">
        <w:t xml:space="preserve"> cotton plantations </w:t>
      </w:r>
      <w:r w:rsidR="00874BB5">
        <w:t xml:space="preserve">in the Southwest </w:t>
      </w:r>
      <w:r w:rsidR="00415F05">
        <w:t>suddenly found themselves unprofitable</w:t>
      </w:r>
      <w:r w:rsidR="00874BB5">
        <w:t xml:space="preserve"> and were abandoned</w:t>
      </w:r>
      <w:r w:rsidR="00FD4DA7">
        <w:t xml:space="preserve">, </w:t>
      </w:r>
      <w:r w:rsidR="00605C53">
        <w:t>crashing prices</w:t>
      </w:r>
      <w:r w:rsidR="00415F05">
        <w:t xml:space="preserve">. </w:t>
      </w:r>
      <w:r w:rsidR="00874BB5">
        <w:t>This popped the land speculation bubble</w:t>
      </w:r>
      <w:r w:rsidR="00BC0B5B">
        <w:t>. The westward frontier came to an end, and settlers suddenly were forced to move back</w:t>
      </w:r>
      <w:r w:rsidR="00605C53">
        <w:t xml:space="preserve"> before a </w:t>
      </w:r>
      <w:proofErr w:type="spellStart"/>
      <w:r w:rsidR="00605C53">
        <w:t>neverending</w:t>
      </w:r>
      <w:proofErr w:type="spellEnd"/>
      <w:r w:rsidR="00605C53">
        <w:t xml:space="preserve"> cascade of foreclosures and failures</w:t>
      </w:r>
      <w:r w:rsidR="00BC0B5B">
        <w:t xml:space="preserve">. This in turn had shocks on the </w:t>
      </w:r>
      <w:r w:rsidR="008F10E5">
        <w:t>E</w:t>
      </w:r>
      <w:r w:rsidR="008927FC">
        <w:t>astern economy, as</w:t>
      </w:r>
      <w:r w:rsidR="00BF317E">
        <w:t xml:space="preserve"> several banks dependent on western speculation suddenly shuttered their doors</w:t>
      </w:r>
      <w:r w:rsidR="002D1D4A">
        <w:t xml:space="preserve"> and swallowed their depositors</w:t>
      </w:r>
      <w:r w:rsidR="005F3D17">
        <w:t>’</w:t>
      </w:r>
      <w:r w:rsidR="002D1D4A">
        <w:t xml:space="preserve"> money.</w:t>
      </w:r>
      <w:r w:rsidR="00BF317E">
        <w:t xml:space="preserve"> </w:t>
      </w:r>
      <w:r w:rsidR="002D1D4A">
        <w:t>Myriad</w:t>
      </w:r>
      <w:r w:rsidR="0030208F">
        <w:t xml:space="preserve"> </w:t>
      </w:r>
      <w:r w:rsidR="00BF317E">
        <w:t xml:space="preserve">securities </w:t>
      </w:r>
      <w:proofErr w:type="gramStart"/>
      <w:r w:rsidR="00BF317E">
        <w:t xml:space="preserve">suddenly </w:t>
      </w:r>
      <w:r w:rsidR="002D1D4A">
        <w:t>collapsed</w:t>
      </w:r>
      <w:proofErr w:type="gramEnd"/>
      <w:r w:rsidR="002D1D4A">
        <w:t xml:space="preserve"> in value, and </w:t>
      </w:r>
      <w:r w:rsidR="005F3D17">
        <w:t>this had massive effects on the boards of brokers</w:t>
      </w:r>
      <w:r w:rsidR="007A6261">
        <w:t>, as most securities they sold now had little value</w:t>
      </w:r>
      <w:r w:rsidR="005F3D17">
        <w:t>. C</w:t>
      </w:r>
      <w:r w:rsidR="00BF317E">
        <w:t>ommerce</w:t>
      </w:r>
      <w:r w:rsidR="005F3D17">
        <w:t xml:space="preserve"> was forced</w:t>
      </w:r>
      <w:r w:rsidR="00BF317E">
        <w:t xml:space="preserve"> into a near-absolute standstill. </w:t>
      </w:r>
      <w:r w:rsidR="00B524CE">
        <w:t>At the same time, in 1842 the</w:t>
      </w:r>
      <w:r w:rsidR="007975AC">
        <w:t xml:space="preserve"> scheduled fall of the trade walls</w:t>
      </w:r>
      <w:r w:rsidR="00B524CE">
        <w:t xml:space="preserve"> Compromise Tariff</w:t>
      </w:r>
      <w:r w:rsidR="007975AC">
        <w:t xml:space="preserve"> happened, and this meant</w:t>
      </w:r>
      <w:r w:rsidR="00B524CE">
        <w:t xml:space="preserve"> the end of protection</w:t>
      </w:r>
      <w:r w:rsidR="007975AC">
        <w:t xml:space="preserve">; </w:t>
      </w:r>
      <w:r w:rsidR="00B524CE">
        <w:t xml:space="preserve">this in turn led to a massive barrage of British and French goods into the United States, at the expense of home manufactures. With factories already strained by financial collapse, this led to </w:t>
      </w:r>
      <w:r w:rsidR="00781FA4">
        <w:t>a cascade of collapse within the halls of industry</w:t>
      </w:r>
      <w:r w:rsidR="009176B4">
        <w:rPr>
          <w:rStyle w:val="EndnoteReference"/>
        </w:rPr>
        <w:endnoteReference w:id="118"/>
      </w:r>
      <w:r w:rsidR="00C175E7">
        <w:t>.</w:t>
      </w:r>
      <w:r w:rsidR="00B524CE">
        <w:t xml:space="preserve"> </w:t>
      </w:r>
      <w:r w:rsidR="00600C4B">
        <w:t xml:space="preserve">And thus </w:t>
      </w:r>
      <w:r w:rsidR="00CC3F0A">
        <w:t>was</w:t>
      </w:r>
      <w:r w:rsidR="00600C4B">
        <w:t xml:space="preserve"> the Panic of 1842. </w:t>
      </w:r>
    </w:p>
    <w:p w14:paraId="47DF1B48" w14:textId="7F0DD1DA" w:rsidR="00610F71" w:rsidRDefault="00610F71" w:rsidP="00D745D6">
      <w:r>
        <w:t>One of the great differences between this and the Panic of 1819 was the much larger population which lived in the city, even if this was still nowhere near a majority. This meant the effects of the Panic of 1842 were more immediate</w:t>
      </w:r>
      <w:r w:rsidR="00E35A27">
        <w:t>, as suddenly many workers found themselves forced into poverty</w:t>
      </w:r>
      <w:r>
        <w:t xml:space="preserve">. </w:t>
      </w:r>
      <w:r w:rsidR="00025245">
        <w:t>O</w:t>
      </w:r>
      <w:r>
        <w:t xml:space="preserve">ut in the countryside, </w:t>
      </w:r>
      <w:r w:rsidR="00FB6103">
        <w:t xml:space="preserve">the new canals and roads allowed for </w:t>
      </w:r>
      <w:r w:rsidR="00025245">
        <w:t xml:space="preserve">a more interconnected economy, and this allowed for </w:t>
      </w:r>
      <w:r w:rsidR="00A552F1">
        <w:t>the effects of economic collapse</w:t>
      </w:r>
      <w:r w:rsidR="00A024F9">
        <w:t xml:space="preserve"> there too</w:t>
      </w:r>
      <w:r w:rsidR="00A552F1">
        <w:t xml:space="preserve"> to be immediate. </w:t>
      </w:r>
      <w:r w:rsidR="004F7E39">
        <w:t>The other great difference was the existence of a single, cohesive Bank</w:t>
      </w:r>
      <w:r w:rsidR="004070F4">
        <w:t xml:space="preserve"> of the United </w:t>
      </w:r>
      <w:r w:rsidR="004070F4">
        <w:lastRenderedPageBreak/>
        <w:t>States, with branches all over the nation</w:t>
      </w:r>
      <w:r w:rsidR="004F7E39">
        <w:t xml:space="preserve">. </w:t>
      </w:r>
      <w:r w:rsidR="00A356B1">
        <w:t xml:space="preserve">It hadn't been imperiled by the </w:t>
      </w:r>
      <w:r w:rsidR="0053461F">
        <w:t xml:space="preserve">financial collapse due to </w:t>
      </w:r>
      <w:r w:rsidR="00C655EC">
        <w:t xml:space="preserve">its reluctance to invest in the West, and that it had tried to </w:t>
      </w:r>
      <w:r w:rsidR="00545DB7">
        <w:t xml:space="preserve">clamp down on overspeculation had also meant that it was secure. </w:t>
      </w:r>
      <w:r w:rsidR="000C607D">
        <w:t xml:space="preserve">With </w:t>
      </w:r>
      <w:r w:rsidR="001540E5">
        <w:t xml:space="preserve">loans all over the place failing, suddenly their collateral devolved to the National Bank, and so happened a series of foreclosures. </w:t>
      </w:r>
      <w:r w:rsidR="00420933">
        <w:t xml:space="preserve">Additionally, several banks destroyed by runs ended up acquired by the National Bank, which in turn resulted in their assets, </w:t>
      </w:r>
      <w:r w:rsidR="004B0775">
        <w:t xml:space="preserve">as well as </w:t>
      </w:r>
      <w:r w:rsidR="00420933">
        <w:t xml:space="preserve">all that they held as collateral, devolving upon it. </w:t>
      </w:r>
      <w:r w:rsidR="00A8198B">
        <w:t xml:space="preserve">In the North, it tended to be land used as collateral; in the South, however, it tended to be slaves. </w:t>
      </w:r>
      <w:r w:rsidR="00AE25C5">
        <w:t xml:space="preserve">Thus, the Bank suddenly owned not only huge amounts of </w:t>
      </w:r>
      <w:r w:rsidR="00515FE8">
        <w:t>land</w:t>
      </w:r>
      <w:r w:rsidR="00AE25C5">
        <w:t>, but it also ended up the largest slaveowner</w:t>
      </w:r>
      <w:r w:rsidR="00515FE8">
        <w:t xml:space="preserve"> in the United States</w:t>
      </w:r>
      <w:r w:rsidR="00415A14">
        <w:t xml:space="preserve">. </w:t>
      </w:r>
      <w:r w:rsidR="005C4A8D">
        <w:t xml:space="preserve">To manage all these new assets, the Bank </w:t>
      </w:r>
      <w:r w:rsidR="004C34E0">
        <w:t xml:space="preserve">had to construct second branches in the states of New Ireland, Ohio, Indiana, Illinois, Huron, Missouri, Orleans, </w:t>
      </w:r>
      <w:r w:rsidR="00B07EBE">
        <w:t>and Mississippi. With these new assets, the Bank would have preferred to sell them off, but with both the western land market and the price of the slave having crashed</w:t>
      </w:r>
      <w:r w:rsidR="00E70CEE">
        <w:t xml:space="preserve"> thanks to the </w:t>
      </w:r>
      <w:r w:rsidR="00DA2ABB">
        <w:t>state of the economy</w:t>
      </w:r>
      <w:r w:rsidR="00B07EBE">
        <w:t>, this was impossible</w:t>
      </w:r>
      <w:r w:rsidR="003C0E79">
        <w:t>. Slaves were sold gradually</w:t>
      </w:r>
      <w:r w:rsidR="00260874">
        <w:t xml:space="preserve"> to prevent overloading the market</w:t>
      </w:r>
      <w:r w:rsidR="003C0E79">
        <w:t xml:space="preserve">, and those who weren’t, the Bank instead </w:t>
      </w:r>
      <w:r w:rsidR="00260874">
        <w:t>brought its slaves and land together</w:t>
      </w:r>
      <w:r w:rsidR="003C0E79">
        <w:t xml:space="preserve"> </w:t>
      </w:r>
      <w:r w:rsidR="00260874">
        <w:t xml:space="preserve">to </w:t>
      </w:r>
      <w:r w:rsidR="0000135F">
        <w:t>use as</w:t>
      </w:r>
      <w:r w:rsidR="00260874">
        <w:t xml:space="preserve"> plantations</w:t>
      </w:r>
      <w:r w:rsidR="007A0416">
        <w:rPr>
          <w:rStyle w:val="EndnoteReference"/>
        </w:rPr>
        <w:endnoteReference w:id="119"/>
      </w:r>
      <w:r w:rsidR="00260874">
        <w:t>.</w:t>
      </w:r>
      <w:r w:rsidR="005A372D">
        <w:t xml:space="preserve"> This resulted in unprecedented opposition to the National Bank from the abolitionist movement – </w:t>
      </w:r>
      <w:r w:rsidR="0097459F">
        <w:t>that it became the largest slaveowner in the nation,</w:t>
      </w:r>
      <w:r w:rsidR="005A372D">
        <w:t xml:space="preserve"> </w:t>
      </w:r>
      <w:r w:rsidR="0097459F">
        <w:t xml:space="preserve">meant </w:t>
      </w:r>
      <w:r w:rsidR="002E749A">
        <w:t>they pointed</w:t>
      </w:r>
      <w:r w:rsidR="0097459F">
        <w:t xml:space="preserve"> </w:t>
      </w:r>
      <w:r w:rsidR="002E749A">
        <w:t xml:space="preserve">to it as another piece in the </w:t>
      </w:r>
      <w:r w:rsidR="005E561E">
        <w:t>Planter Ascendancy – and this was yet another complication</w:t>
      </w:r>
      <w:r w:rsidR="00666A8E">
        <w:t>.</w:t>
      </w:r>
      <w:r w:rsidR="005E561E">
        <w:t xml:space="preserve"> </w:t>
      </w:r>
      <w:r w:rsidR="00666A8E">
        <w:t>With</w:t>
      </w:r>
      <w:r w:rsidR="005E561E">
        <w:t xml:space="preserve"> its </w:t>
      </w:r>
      <w:r w:rsidR="00666A8E">
        <w:t xml:space="preserve">charter expiring in 1845, suddenly many wondered </w:t>
      </w:r>
      <w:r w:rsidR="00BA04F2">
        <w:t xml:space="preserve">in </w:t>
      </w:r>
      <w:r w:rsidR="00666A8E">
        <w:t>what</w:t>
      </w:r>
      <w:r w:rsidR="00BA04F2">
        <w:t xml:space="preserve"> state it should be renewed – or whether it should be renewed at all</w:t>
      </w:r>
      <w:r w:rsidR="00D4357A">
        <w:t>.</w:t>
      </w:r>
      <w:r w:rsidR="00B524CE">
        <w:t xml:space="preserve"> </w:t>
      </w:r>
    </w:p>
    <w:p w14:paraId="20324018" w14:textId="1E44A68B" w:rsidR="00701ACC" w:rsidRDefault="00B524CE" w:rsidP="00701ACC">
      <w:r>
        <w:t>The Bank’s unprecedented assets in the West also provoked opposition within the halls of Congress. Several bills, calling for some sort of reimbursement for the Bank’s assets by the federal government, or even for the use of eminent domain</w:t>
      </w:r>
      <w:r w:rsidR="002C60DD">
        <w:t xml:space="preserve"> to simply nationalize it</w:t>
      </w:r>
      <w:r w:rsidR="00B51EDB">
        <w:t xml:space="preserve"> to bring it back into the public lands</w:t>
      </w:r>
      <w:r>
        <w:t xml:space="preserve">, </w:t>
      </w:r>
      <w:r w:rsidR="002C60DD">
        <w:t>were forwarded in Congress</w:t>
      </w:r>
      <w:r w:rsidR="00447539">
        <w:rPr>
          <w:rStyle w:val="EndnoteReference"/>
        </w:rPr>
        <w:endnoteReference w:id="120"/>
      </w:r>
      <w:r w:rsidR="002C60DD">
        <w:t xml:space="preserve"> but they made little headway</w:t>
      </w:r>
      <w:r w:rsidR="00001690">
        <w:t>.</w:t>
      </w:r>
      <w:r w:rsidR="005E2F47">
        <w:t xml:space="preserve"> </w:t>
      </w:r>
      <w:r w:rsidR="00001690">
        <w:t>T</w:t>
      </w:r>
      <w:r w:rsidR="005E2F47">
        <w:t xml:space="preserve">he East had little desire to </w:t>
      </w:r>
      <w:r w:rsidR="00003E97">
        <w:t>bail out</w:t>
      </w:r>
      <w:r w:rsidR="00210B0B">
        <w:t xml:space="preserve"> the West</w:t>
      </w:r>
      <w:r w:rsidR="00001690">
        <w:t xml:space="preserve">, </w:t>
      </w:r>
      <w:r w:rsidR="006D5436">
        <w:t>with money that could in any case be used to fix its own economic woes</w:t>
      </w:r>
      <w:r w:rsidR="00001690">
        <w:t>;</w:t>
      </w:r>
      <w:r w:rsidR="00210B0B">
        <w:t xml:space="preserve"> while even within</w:t>
      </w:r>
      <w:r w:rsidR="00003E97">
        <w:t xml:space="preserve"> the West there were huge divisions over whether the Bank was the enemy or </w:t>
      </w:r>
      <w:r w:rsidR="00001690">
        <w:t xml:space="preserve">the friend </w:t>
      </w:r>
      <w:r w:rsidR="00001690">
        <w:lastRenderedPageBreak/>
        <w:t>of the settler</w:t>
      </w:r>
      <w:r w:rsidR="006D5436">
        <w:t>, whether it was a monopoly or a protector against the tyranny of the petty bank</w:t>
      </w:r>
      <w:r w:rsidR="002C60DD">
        <w:t>.</w:t>
      </w:r>
      <w:r w:rsidR="005C5C27">
        <w:t xml:space="preserve"> There were no majorities which could be found </w:t>
      </w:r>
      <w:r w:rsidR="00C240FA">
        <w:t>for</w:t>
      </w:r>
      <w:r w:rsidR="005C5C27">
        <w:t xml:space="preserve"> any of these plans, and thus nothing could be done at all.</w:t>
      </w:r>
      <w:r w:rsidR="002C60DD">
        <w:t xml:space="preserve"> </w:t>
      </w:r>
      <w:r w:rsidR="008072CC">
        <w:t xml:space="preserve">Thus, all this land simply ended up idle, and </w:t>
      </w:r>
      <w:r w:rsidR="0005315D">
        <w:t xml:space="preserve">the Bank had little reason whatsoever to </w:t>
      </w:r>
      <w:r w:rsidR="00CC4886">
        <w:t>engage in speculative investment in the western land that had, after all, only fallen into its laps because</w:t>
      </w:r>
      <w:r w:rsidR="006F14C8">
        <w:t xml:space="preserve"> of financial collapse</w:t>
      </w:r>
      <w:r w:rsidR="00701ACC">
        <w:t>. And at the same time the Pike administration’s poor relations with the Bank meant it could do very little to work with it to fix the situation – and even if it wanted to, the low tariff, which he refused to tamper with, meant that the federal government</w:t>
      </w:r>
      <w:r w:rsidR="0063062D">
        <w:t xml:space="preserve"> simply lacked any money</w:t>
      </w:r>
      <w:r w:rsidR="00701ACC">
        <w:t xml:space="preserve"> to</w:t>
      </w:r>
      <w:r w:rsidR="0063062D">
        <w:t xml:space="preserve"> pay the bank in return for its land</w:t>
      </w:r>
      <w:r w:rsidR="00701ACC">
        <w:t xml:space="preserve">. </w:t>
      </w:r>
    </w:p>
    <w:p w14:paraId="58B808B9" w14:textId="70BB2E50" w:rsidR="00A64122" w:rsidRDefault="00A64122" w:rsidP="00701ACC">
      <w:r>
        <w:t>Worsening the national crisis was th</w:t>
      </w:r>
      <w:r w:rsidR="00B406F5">
        <w:t>e collapse of internal improvements with the tariff</w:t>
      </w:r>
      <w:r w:rsidR="00FA364E">
        <w:t>. For 1842 saw the Compromise Tariff fall to 1810 levels, bringing in considerably less money</w:t>
      </w:r>
      <w:r w:rsidR="00833E28">
        <w:t xml:space="preserve"> than before</w:t>
      </w:r>
      <w:r w:rsidR="00B406F5">
        <w:t xml:space="preserve">. </w:t>
      </w:r>
      <w:r w:rsidR="007A6261">
        <w:t>Now, t</w:t>
      </w:r>
      <w:r w:rsidR="00B406F5">
        <w:t xml:space="preserve">he only way the government could obtain revenue was through sale of the public lands – and the collapse of the frontier land market made that </w:t>
      </w:r>
      <w:r w:rsidR="004B0F8D">
        <w:t>utterly unprofitable</w:t>
      </w:r>
      <w:r w:rsidR="00B406F5">
        <w:t xml:space="preserve">. </w:t>
      </w:r>
      <w:r w:rsidR="001F023D">
        <w:t xml:space="preserve">Thus, the Pike administration had no </w:t>
      </w:r>
      <w:r w:rsidR="00626D67">
        <w:t>money to spend on canals and roads anymore</w:t>
      </w:r>
      <w:r w:rsidR="00F67BB4">
        <w:t>. Within the states, the same issue popped up</w:t>
      </w:r>
      <w:r w:rsidR="005857EA">
        <w:t xml:space="preserve"> as the wave of speculation and investment that came after the Luisiana War suddenly came to an end</w:t>
      </w:r>
      <w:r w:rsidR="00F67BB4">
        <w:t xml:space="preserve">. </w:t>
      </w:r>
      <w:r w:rsidR="00336B67">
        <w:t xml:space="preserve">Several states had accumulated enough debt that they were forced into a default – with their main creditors being Barings Bank in London, and the Bank of the United States itself. </w:t>
      </w:r>
      <w:r w:rsidR="008663C2">
        <w:t>With this default, the credit which could allow those states to bring themselves out of the panic was nonexistent</w:t>
      </w:r>
      <w:r w:rsidR="00B45D67">
        <w:t xml:space="preserve">. At the same time, the National Bank was </w:t>
      </w:r>
      <w:proofErr w:type="gramStart"/>
      <w:r w:rsidR="00B45D67">
        <w:t>absolutely intent</w:t>
      </w:r>
      <w:proofErr w:type="gramEnd"/>
      <w:r w:rsidR="00B45D67">
        <w:t xml:space="preserve"> on getting the money owed and </w:t>
      </w:r>
      <w:r w:rsidR="00D67065">
        <w:t>its agents, as well as agents of Barings, did whatever they could to pressure</w:t>
      </w:r>
      <w:r w:rsidR="00DD148B">
        <w:t xml:space="preserve"> the state government, or barring that the federal government, into doing so. </w:t>
      </w:r>
      <w:r w:rsidR="006E1DD0">
        <w:t xml:space="preserve">Additionally, the massive outstanding debts of the National Bank made it impossible for it to </w:t>
      </w:r>
      <w:r w:rsidR="003E6474">
        <w:t>pump money into the economy, or</w:t>
      </w:r>
      <w:r w:rsidR="006B1B57">
        <w:t xml:space="preserve"> given the several bank runs of the era, to</w:t>
      </w:r>
      <w:r w:rsidR="003E6474">
        <w:t xml:space="preserve"> even to print all that many banknotes. </w:t>
      </w:r>
      <w:r w:rsidR="00BB1B75">
        <w:t xml:space="preserve">It had to focus its efforts on surviving. </w:t>
      </w:r>
    </w:p>
    <w:p w14:paraId="578010A0" w14:textId="553F555C" w:rsidR="00C924E8" w:rsidRPr="00D745D6" w:rsidRDefault="00FD03BE" w:rsidP="00C924E8">
      <w:r>
        <w:lastRenderedPageBreak/>
        <w:t xml:space="preserve">Thus, coming into 1844, the Pike administration had totally failed. </w:t>
      </w:r>
      <w:r w:rsidR="00BF302D">
        <w:t xml:space="preserve">Its success with the Second Quasi War had already been dramatically overshadowed by the </w:t>
      </w:r>
      <w:r w:rsidR="00950D66">
        <w:t xml:space="preserve">Panic of 1842. The United States suffered a massive financial collapse which brought the western frontier into a dramatic retreat, while </w:t>
      </w:r>
      <w:r w:rsidR="00F15643">
        <w:t xml:space="preserve">in the east it destroyed its commerce and industry. </w:t>
      </w:r>
      <w:r w:rsidR="00F31F03">
        <w:t xml:space="preserve">And the Pike administration </w:t>
      </w:r>
      <w:r w:rsidR="00576B33">
        <w:t>could do</w:t>
      </w:r>
      <w:r w:rsidR="00F31F03">
        <w:t xml:space="preserve"> absolutely nothing </w:t>
      </w:r>
      <w:r w:rsidR="00707591">
        <w:t xml:space="preserve">to restore American well-being due to the collapse of the tariff and the ensuing reduction of </w:t>
      </w:r>
      <w:r w:rsidR="00564BEC">
        <w:t>public revenues</w:t>
      </w:r>
      <w:r w:rsidR="005143DA">
        <w:t>, and neither could the states</w:t>
      </w:r>
      <w:r w:rsidR="00C924E8">
        <w:t xml:space="preserve"> because several of them had in fact defaulted</w:t>
      </w:r>
      <w:r w:rsidR="00564BEC">
        <w:t xml:space="preserve">. </w:t>
      </w:r>
      <w:r w:rsidR="00C6490C">
        <w:t xml:space="preserve">In a very real sense, the nation was mired in an economic collapse it could not possibly get out of. </w:t>
      </w:r>
    </w:p>
    <w:p w14:paraId="70D41005" w14:textId="77777777" w:rsidR="00575CF8" w:rsidRDefault="00575CF8" w:rsidP="00575CF8">
      <w:r>
        <w:br w:type="page"/>
      </w:r>
    </w:p>
    <w:p w14:paraId="29B2A774" w14:textId="77777777" w:rsidR="00833B8D" w:rsidRDefault="00833B8D" w:rsidP="00833B8D"/>
    <w:p w14:paraId="45CEDA2B" w14:textId="77777777" w:rsidR="00833B8D" w:rsidRDefault="00833B8D" w:rsidP="00833B8D">
      <w:pPr>
        <w:sectPr w:rsidR="00833B8D" w:rsidSect="00833B8D">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B9472F9" w14:textId="77777777" w:rsidR="00833B8D" w:rsidRDefault="00833B8D" w:rsidP="00833B8D">
      <w:r>
        <w:br w:type="page"/>
      </w:r>
    </w:p>
    <w:p w14:paraId="0F196A5C" w14:textId="7FE0B5A8" w:rsidR="00D745D6" w:rsidRDefault="00833B8D" w:rsidP="00833B8D">
      <w:pPr>
        <w:pStyle w:val="Heading1"/>
      </w:pPr>
      <w:bookmarkStart w:id="35" w:name="_Toc202006226"/>
      <w:r>
        <w:lastRenderedPageBreak/>
        <w:t xml:space="preserve">27. </w:t>
      </w:r>
      <w:r w:rsidR="00C2388F">
        <w:t>The Shaking of Debate</w:t>
      </w:r>
      <w:bookmarkEnd w:id="35"/>
    </w:p>
    <w:p w14:paraId="77C5473B" w14:textId="467F4FFD" w:rsidR="00AF57C0" w:rsidRDefault="00E03A1E" w:rsidP="00AF57C0">
      <w:r>
        <w:t>The abolitionist movement found itself having over the 1830s</w:t>
      </w:r>
      <w:r w:rsidR="003713BA">
        <w:t xml:space="preserve">. The Missouri Compromise had created a lot of antislavery opinion, and though the bulk of it ended up joining the Democratic Party, a </w:t>
      </w:r>
      <w:r w:rsidR="00334090">
        <w:t xml:space="preserve">section </w:t>
      </w:r>
      <w:r w:rsidR="003713BA">
        <w:t>did end up</w:t>
      </w:r>
      <w:r w:rsidR="00334090">
        <w:t xml:space="preserve"> going abolitionist</w:t>
      </w:r>
      <w:r w:rsidR="00F346F5">
        <w:t xml:space="preserve"> outright</w:t>
      </w:r>
      <w:r w:rsidR="00334090">
        <w:t>. It was from this movement that the Equal Rights Party rose, under the leadership of the famed laissez-faire radical</w:t>
      </w:r>
      <w:r w:rsidR="000C510D">
        <w:t xml:space="preserve"> newspaper publisher</w:t>
      </w:r>
      <w:r w:rsidR="00334090">
        <w:t xml:space="preserve"> William Leggett</w:t>
      </w:r>
      <w:r w:rsidR="008122E9">
        <w:rPr>
          <w:rStyle w:val="EndnoteReference"/>
        </w:rPr>
        <w:endnoteReference w:id="121"/>
      </w:r>
      <w:r w:rsidR="00334090">
        <w:t xml:space="preserve">. </w:t>
      </w:r>
      <w:r w:rsidR="00F41CC9">
        <w:t xml:space="preserve">And it was here that Anti-Slavery Societies emerged </w:t>
      </w:r>
      <w:proofErr w:type="gramStart"/>
      <w:r w:rsidR="00F41CC9">
        <w:t>all across</w:t>
      </w:r>
      <w:proofErr w:type="gramEnd"/>
      <w:r w:rsidR="00F41CC9">
        <w:t xml:space="preserve"> the North, each of which could boast large numbers</w:t>
      </w:r>
      <w:r w:rsidR="00064F08">
        <w:t xml:space="preserve">, which only boomed following the </w:t>
      </w:r>
      <w:r w:rsidR="00FF3340">
        <w:t>murder</w:t>
      </w:r>
      <w:r w:rsidR="00064F08">
        <w:t xml:space="preserve"> of Benjamin Lundy</w:t>
      </w:r>
      <w:r w:rsidR="00C364BA">
        <w:t>, which they could not help but regard as an act of martyrdom</w:t>
      </w:r>
      <w:r w:rsidR="00F41CC9">
        <w:t xml:space="preserve">. </w:t>
      </w:r>
      <w:r w:rsidR="00DA5D98">
        <w:t xml:space="preserve">Abolitionists were still an absolute minority in the North, and most white Americans regarded them as lunatics, the Northern mirror image of the likes of </w:t>
      </w:r>
      <w:r w:rsidR="004871C2">
        <w:t>the Nullificationists</w:t>
      </w:r>
      <w:r w:rsidR="00DA5D98">
        <w:t xml:space="preserve">. </w:t>
      </w:r>
      <w:r w:rsidR="004E4D95">
        <w:t xml:space="preserve">But there were far more of them than there were before, and they made their voices heard. </w:t>
      </w:r>
      <w:r w:rsidR="009040B9">
        <w:t xml:space="preserve">Though several </w:t>
      </w:r>
      <w:r w:rsidR="00EC0AFC">
        <w:t xml:space="preserve">societies </w:t>
      </w:r>
      <w:r w:rsidR="009040B9">
        <w:t>believed in non-participation within a government hopelessly compromised with slavery</w:t>
      </w:r>
      <w:r w:rsidR="00925B41">
        <w:t xml:space="preserve">, there were still others who believed </w:t>
      </w:r>
      <w:r w:rsidR="00697102">
        <w:t xml:space="preserve">action could be done within the government. </w:t>
      </w:r>
    </w:p>
    <w:p w14:paraId="75FFFCA7" w14:textId="44490E9B" w:rsidR="009F10E4" w:rsidRDefault="009F10E4" w:rsidP="00AF57C0">
      <w:r>
        <w:t>This came in the form of a mass petition campaign</w:t>
      </w:r>
      <w:r w:rsidR="009B6A99">
        <w:t>, targeted towards the federal government</w:t>
      </w:r>
      <w:r w:rsidR="00F346F5">
        <w:t xml:space="preserve">. </w:t>
      </w:r>
      <w:r w:rsidR="00567BDF">
        <w:t>These petitions came in the thousands, and they had well over one hundred thousand names in total</w:t>
      </w:r>
      <w:r w:rsidR="001A2A34">
        <w:t xml:space="preserve">. </w:t>
      </w:r>
      <w:r w:rsidR="00C266C9">
        <w:t xml:space="preserve">This petition campaign focused on abolishing slavery within the territories, especially in the </w:t>
      </w:r>
      <w:r w:rsidR="004763AC">
        <w:t>capital District of Columbia</w:t>
      </w:r>
      <w:r w:rsidR="009B44DA">
        <w:t>.</w:t>
      </w:r>
      <w:r w:rsidR="004763AC">
        <w:t xml:space="preserve"> </w:t>
      </w:r>
      <w:r w:rsidR="009B44DA">
        <w:t>I</w:t>
      </w:r>
      <w:r w:rsidR="004763AC">
        <w:t>t would especially be the latter which inspired a counterreaction</w:t>
      </w:r>
      <w:r w:rsidR="00520128">
        <w:t xml:space="preserve"> – if it was free, it would result in free territory in the middle of </w:t>
      </w:r>
      <w:r w:rsidR="009B44DA">
        <w:t xml:space="preserve">Virginia and Maryland, therefore weakening slavery in both. </w:t>
      </w:r>
      <w:r w:rsidR="00E53323">
        <w:t>They travelled to congressmen</w:t>
      </w:r>
      <w:r w:rsidR="00492559">
        <w:t>, especially the committed opponent of slavery John Quincy Adams</w:t>
      </w:r>
      <w:r w:rsidR="00E53323">
        <w:t xml:space="preserve">, who were duly honor-bound to present them to the House, even though they did not agree with them. </w:t>
      </w:r>
      <w:r w:rsidR="00FC74AC">
        <w:t xml:space="preserve">But this horrified the South, which believed even the act of </w:t>
      </w:r>
      <w:r w:rsidR="00556AF3">
        <w:t xml:space="preserve">discussing slavery within the federal government </w:t>
      </w:r>
      <w:r w:rsidR="00275CDD">
        <w:t>threatened</w:t>
      </w:r>
      <w:r w:rsidR="00556AF3">
        <w:t xml:space="preserve"> the institution</w:t>
      </w:r>
      <w:r w:rsidR="00275CDD">
        <w:t xml:space="preserve"> and their very own stability</w:t>
      </w:r>
      <w:r w:rsidR="00556AF3">
        <w:t xml:space="preserve">. </w:t>
      </w:r>
      <w:r w:rsidR="00AD5AB8">
        <w:t>To prevent such rhetoric from making their way,</w:t>
      </w:r>
      <w:r w:rsidR="00830F94">
        <w:t xml:space="preserve"> </w:t>
      </w:r>
      <w:r w:rsidR="00AD5AB8">
        <w:t>one Henry L. Pinckney</w:t>
      </w:r>
      <w:r w:rsidR="00691A4C">
        <w:t>,</w:t>
      </w:r>
      <w:r w:rsidR="006C434F">
        <w:t xml:space="preserve"> a committed Calhounist Nullifier</w:t>
      </w:r>
      <w:r w:rsidR="00691A4C">
        <w:t xml:space="preserve"> from </w:t>
      </w:r>
      <w:r w:rsidR="00691A4C">
        <w:lastRenderedPageBreak/>
        <w:t>South Carolina,</w:t>
      </w:r>
      <w:r w:rsidR="00AD5AB8">
        <w:t xml:space="preserve"> proposed a series of resolutions</w:t>
      </w:r>
      <w:r w:rsidR="00B26CE5">
        <w:t xml:space="preserve"> to Congress</w:t>
      </w:r>
      <w:r w:rsidR="00897075">
        <w:t xml:space="preserve">, which would make it so that any petition or memorial </w:t>
      </w:r>
      <w:proofErr w:type="gramStart"/>
      <w:r w:rsidR="00897075">
        <w:t>on the subject of slavery</w:t>
      </w:r>
      <w:proofErr w:type="gramEnd"/>
      <w:r w:rsidR="00897075">
        <w:t xml:space="preserve"> would be immediately</w:t>
      </w:r>
      <w:r w:rsidR="003B5F0A">
        <w:t xml:space="preserve"> tabled, without</w:t>
      </w:r>
      <w:r w:rsidR="003C0604">
        <w:t xml:space="preserve"> any further</w:t>
      </w:r>
      <w:r w:rsidR="003B5F0A">
        <w:t xml:space="preserve"> debate or discussion</w:t>
      </w:r>
      <w:r w:rsidR="00800598">
        <w:t>. This was the famous Gag Rule</w:t>
      </w:r>
      <w:r w:rsidR="00F34371">
        <w:t>, and that almost all petitions were sent to the House rather than the Senate meant this effectively shut down petitions</w:t>
      </w:r>
      <w:r w:rsidR="004F3222">
        <w:t xml:space="preserve"> against slavery</w:t>
      </w:r>
      <w:r w:rsidR="00B26CE5">
        <w:t xml:space="preserve">. </w:t>
      </w:r>
      <w:r w:rsidR="00A41AC6">
        <w:t>This represented a great divergence between North and South</w:t>
      </w:r>
      <w:r w:rsidR="001816CE">
        <w:t>, on the very concept of constitutional rights</w:t>
      </w:r>
      <w:r w:rsidR="00A41AC6">
        <w:t xml:space="preserve"> – </w:t>
      </w:r>
      <w:r w:rsidR="0038764E">
        <w:t xml:space="preserve">John Quincy Adams, and indeed the bulk of the Northern Democratic Party, </w:t>
      </w:r>
      <w:r w:rsidR="006C14A6">
        <w:t>opposed this as a violation of the right to petition</w:t>
      </w:r>
      <w:r w:rsidR="003F239B">
        <w:t>, even if they didn’t necessarily support the content of such petitions</w:t>
      </w:r>
      <w:r w:rsidR="00A41AC6">
        <w:t xml:space="preserve">; while in contrast the South believed </w:t>
      </w:r>
      <w:r w:rsidR="00B31504">
        <w:t>the Gag rule</w:t>
      </w:r>
      <w:r w:rsidR="00A41AC6">
        <w:t xml:space="preserve"> necessary to ensure </w:t>
      </w:r>
      <w:r w:rsidR="00432BF6">
        <w:t>its own</w:t>
      </w:r>
      <w:r w:rsidR="00A41AC6">
        <w:t xml:space="preserve"> stability</w:t>
      </w:r>
      <w:r w:rsidR="00F8550C">
        <w:t xml:space="preserve"> against dissent that might very well overturn the slave system</w:t>
      </w:r>
      <w:r w:rsidR="00A41AC6">
        <w:t xml:space="preserve">. </w:t>
      </w:r>
      <w:r w:rsidR="00DC250A">
        <w:t xml:space="preserve">Nevertheless, </w:t>
      </w:r>
      <w:r w:rsidR="005678DA">
        <w:t>panicked about threats of disunion and</w:t>
      </w:r>
      <w:r w:rsidR="00C73919">
        <w:t xml:space="preserve"> </w:t>
      </w:r>
      <w:r w:rsidR="001E5404">
        <w:t>terrified</w:t>
      </w:r>
      <w:r w:rsidR="00C73919">
        <w:t xml:space="preserve"> by </w:t>
      </w:r>
      <w:r w:rsidR="001E5404">
        <w:t>open threats of violence</w:t>
      </w:r>
      <w:r w:rsidR="008423E5">
        <w:t xml:space="preserve"> which only served to shut down debate</w:t>
      </w:r>
      <w:r w:rsidR="001E5404">
        <w:t>,</w:t>
      </w:r>
      <w:r w:rsidR="005678DA">
        <w:t xml:space="preserve"> </w:t>
      </w:r>
      <w:r w:rsidR="00DC250A">
        <w:t xml:space="preserve">enough Northerners voted along with the Planter Ascendancy to </w:t>
      </w:r>
      <w:r w:rsidR="00DD41F7">
        <w:t xml:space="preserve">get these resolutions passed, and when these resolutions expired and needed to be re-ratified over the next several years, they would be. </w:t>
      </w:r>
    </w:p>
    <w:p w14:paraId="29E58F5A" w14:textId="18E3F0F5" w:rsidR="00CC56A7" w:rsidRDefault="00CC56A7" w:rsidP="00AF57C0">
      <w:r>
        <w:t>The uproar was enormous; John Quincy Adams, who</w:t>
      </w:r>
      <w:r w:rsidR="006533B1">
        <w:t>se 1836 presidential run made him the</w:t>
      </w:r>
      <w:r w:rsidR="008078D0">
        <w:t xml:space="preserve"> leading opponent of slavery in the House, led the charge first against the </w:t>
      </w:r>
      <w:r w:rsidR="00BF5C37">
        <w:t xml:space="preserve">ratification of the </w:t>
      </w:r>
      <w:r w:rsidR="00800598">
        <w:t xml:space="preserve">Pinckney Resolutions, and then against the </w:t>
      </w:r>
      <w:r w:rsidR="00BF5C37">
        <w:t xml:space="preserve">Gag Rule itself. </w:t>
      </w:r>
      <w:r w:rsidR="007956B2">
        <w:t xml:space="preserve">Thus, almost immediately, he challenged it. </w:t>
      </w:r>
      <w:r w:rsidR="002830C5">
        <w:t xml:space="preserve">He introduced petition after petition </w:t>
      </w:r>
      <w:r w:rsidR="007170ED">
        <w:t xml:space="preserve">on the floor of the House, despite him getting shouted out. </w:t>
      </w:r>
      <w:r w:rsidR="00197D75">
        <w:t xml:space="preserve">He declared the right to petition was </w:t>
      </w:r>
      <w:r w:rsidR="00082FAB">
        <w:t>accessible to all, from the poor, to women, and even including slaves – an interpretation that was mainstream</w:t>
      </w:r>
      <w:r w:rsidR="008C24AE">
        <w:t xml:space="preserve"> in the North, but only inspired shudders and horrors in the South. </w:t>
      </w:r>
      <w:r w:rsidR="00DB7E4B">
        <w:t>Against this, Adams</w:t>
      </w:r>
      <w:r w:rsidR="00705D50">
        <w:t>, as well as other congresspeople who resisted the Gag Rule</w:t>
      </w:r>
      <w:r w:rsidR="00A673AF">
        <w:t>, most famously Joshua Giddings</w:t>
      </w:r>
      <w:r w:rsidR="00705D50">
        <w:t>,</w:t>
      </w:r>
      <w:r w:rsidR="00DB7E4B">
        <w:t xml:space="preserve"> received several threats</w:t>
      </w:r>
      <w:r w:rsidR="00A673AF">
        <w:t xml:space="preserve"> of death or violence</w:t>
      </w:r>
      <w:r w:rsidR="00DB7E4B">
        <w:t xml:space="preserve"> –</w:t>
      </w:r>
      <w:r w:rsidR="007034E1">
        <w:t>a</w:t>
      </w:r>
      <w:r w:rsidR="00DB7E4B">
        <w:t xml:space="preserve"> congressman</w:t>
      </w:r>
      <w:r w:rsidR="007034E1">
        <w:t xml:space="preserve"> from Yazoo</w:t>
      </w:r>
      <w:r w:rsidR="00DB7E4B">
        <w:t>, John Bennett Dawson, threatened to slit his throat from ear to ear</w:t>
      </w:r>
      <w:r w:rsidR="00705D50">
        <w:t xml:space="preserve"> –</w:t>
      </w:r>
      <w:r w:rsidR="00DB7E4B">
        <w:t xml:space="preserve"> </w:t>
      </w:r>
      <w:r w:rsidR="00BD5923">
        <w:t>and these were not idle threats</w:t>
      </w:r>
      <w:r w:rsidR="00331D35">
        <w:t>, as acts of violence were common</w:t>
      </w:r>
      <w:r w:rsidR="00095FD1">
        <w:t>, with challenges of duels nothing but the tip of the iceberg</w:t>
      </w:r>
      <w:r w:rsidR="003E2398">
        <w:rPr>
          <w:rStyle w:val="EndnoteReference"/>
        </w:rPr>
        <w:endnoteReference w:id="122"/>
      </w:r>
      <w:r w:rsidR="005262E2">
        <w:t xml:space="preserve">. This </w:t>
      </w:r>
      <w:r w:rsidR="00962EC2">
        <w:t xml:space="preserve">culture of violence would only escalate until it finally broke </w:t>
      </w:r>
      <w:r w:rsidR="00962EC2">
        <w:lastRenderedPageBreak/>
        <w:t>into civil war</w:t>
      </w:r>
      <w:r w:rsidR="00331D35">
        <w:t>.</w:t>
      </w:r>
      <w:r w:rsidR="00BD5923">
        <w:t xml:space="preserve"> </w:t>
      </w:r>
      <w:r w:rsidR="00331D35">
        <w:t>B</w:t>
      </w:r>
      <w:r w:rsidR="00DB7E4B">
        <w:t>ut</w:t>
      </w:r>
      <w:r w:rsidR="00EE24C3">
        <w:t xml:space="preserve"> for the time being,</w:t>
      </w:r>
      <w:r w:rsidR="00DB7E4B">
        <w:t xml:space="preserve"> that </w:t>
      </w:r>
      <w:r w:rsidR="00331D35">
        <w:t>Adams</w:t>
      </w:r>
      <w:r w:rsidR="00DB7E4B">
        <w:t xml:space="preserve"> was quite old, and that </w:t>
      </w:r>
      <w:r w:rsidR="004974C2">
        <w:t>he was the son of a president, meant that he had little to fear</w:t>
      </w:r>
      <w:r w:rsidR="00405607">
        <w:t>, despite the chaotic atmosphere of the era</w:t>
      </w:r>
      <w:r w:rsidR="00CA12A3">
        <w:t xml:space="preserve">; this also made him by necessity the leader of </w:t>
      </w:r>
      <w:r w:rsidR="00BE7E44">
        <w:t>the opposition to the Gag Rule</w:t>
      </w:r>
      <w:r w:rsidR="004974C2">
        <w:t xml:space="preserve">. </w:t>
      </w:r>
      <w:r w:rsidR="00151963">
        <w:t xml:space="preserve">Additionally, Adams received the firm support of the North, including by many Republicans, who though disagreeing with </w:t>
      </w:r>
      <w:r w:rsidR="00493B12">
        <w:t>abolitionism, nevertheless</w:t>
      </w:r>
      <w:r w:rsidR="00151963">
        <w:t xml:space="preserve"> regarded the Planter Ascendancy</w:t>
      </w:r>
      <w:r w:rsidR="003C38B1">
        <w:t xml:space="preserve"> as suppressing the free speech of the North. </w:t>
      </w:r>
    </w:p>
    <w:p w14:paraId="49C020E6" w14:textId="3A45DE88" w:rsidR="001653A2" w:rsidRDefault="001653A2" w:rsidP="00AF57C0">
      <w:r>
        <w:t>Thus, Adams continued to fight against the Gag Rule</w:t>
      </w:r>
      <w:r w:rsidR="00C76815">
        <w:t xml:space="preserve">. He believed he was fighting against the Planter Ascendancy and in favor of the </w:t>
      </w:r>
      <w:r w:rsidR="003F4119">
        <w:t xml:space="preserve">rights of free speech and of the petition. </w:t>
      </w:r>
      <w:proofErr w:type="gramStart"/>
      <w:r w:rsidR="002B1B32">
        <w:t>In an effort to</w:t>
      </w:r>
      <w:proofErr w:type="gramEnd"/>
      <w:r w:rsidR="002B1B32">
        <w:t xml:space="preserve"> silence him, and </w:t>
      </w:r>
      <w:r w:rsidR="007A5DEF">
        <w:t xml:space="preserve">with the Republicans’ position </w:t>
      </w:r>
      <w:r w:rsidR="002B1B32">
        <w:t xml:space="preserve">strengthened by the </w:t>
      </w:r>
      <w:r w:rsidR="001B74D3">
        <w:t xml:space="preserve">rush of patriotism that succeeded the </w:t>
      </w:r>
      <w:r w:rsidR="005F1C91">
        <w:t xml:space="preserve">opening of the Second Quasi War, in 1839 the House passed a new, stronger </w:t>
      </w:r>
      <w:r w:rsidR="00175B9E">
        <w:t>Gag Rule to prevent Adams from continuing to push petitions</w:t>
      </w:r>
      <w:r w:rsidR="007A5DEF">
        <w:t xml:space="preserve"> – but it didn’t work. That the rule passed by a mere six votes</w:t>
      </w:r>
      <w:r w:rsidR="00FF3F6A">
        <w:t xml:space="preserve"> showed that Adams’ opposition was making inroads among Northerners who, though not opposed to slavery, nevertheless considered the Gag Rule suppressive of Northern free speech – and thus, Adams continued at it. </w:t>
      </w:r>
      <w:r w:rsidR="008C479A">
        <w:t>He</w:t>
      </w:r>
      <w:r w:rsidR="000F0824">
        <w:t xml:space="preserve"> threw every parliamentary trick to break the Gag Rule – notably, he</w:t>
      </w:r>
      <w:r w:rsidR="008C479A">
        <w:t xml:space="preserve"> presented a “prayer” to Congress on the abolition of slavery within the capital, and he declared that it </w:t>
      </w:r>
      <w:r w:rsidR="000F0824">
        <w:t xml:space="preserve">technically did not go against the rule, as it was a prayer and not a petition. </w:t>
      </w:r>
      <w:r w:rsidR="00F131D5">
        <w:t>Another time,</w:t>
      </w:r>
      <w:r w:rsidR="005217EB">
        <w:t xml:space="preserve"> he went so far as to present </w:t>
      </w:r>
      <w:r w:rsidR="00F131D5">
        <w:t>a</w:t>
      </w:r>
      <w:r w:rsidR="001816CE">
        <w:t xml:space="preserve"> petition </w:t>
      </w:r>
      <w:r w:rsidR="00AA294A">
        <w:t>by</w:t>
      </w:r>
      <w:r w:rsidR="001816CE">
        <w:t xml:space="preserve"> some anti-slavery Northerners calling for </w:t>
      </w:r>
      <w:r w:rsidR="00104E5E">
        <w:t>the</w:t>
      </w:r>
      <w:r w:rsidR="001816CE">
        <w:t xml:space="preserve"> dissolution of the </w:t>
      </w:r>
      <w:r w:rsidR="00104E5E">
        <w:t>U</w:t>
      </w:r>
      <w:r w:rsidR="001816CE">
        <w:t>nion, and though he declared that he disagreed</w:t>
      </w:r>
      <w:r w:rsidR="00AA294A">
        <w:t xml:space="preserve"> with its contents, he nevertheless believed they had the right to be heard. The uproar</w:t>
      </w:r>
      <w:r w:rsidR="00E54D16">
        <w:t xml:space="preserve"> was enormous, and Adams made great hay deriding Nullifiers for pretending to care about upholding the Union</w:t>
      </w:r>
      <w:r w:rsidR="00CF72D0">
        <w:t xml:space="preserve"> while plotting its dissolution</w:t>
      </w:r>
      <w:r w:rsidR="00E54D16">
        <w:t xml:space="preserve">. </w:t>
      </w:r>
      <w:r w:rsidR="00AE3F03">
        <w:t xml:space="preserve">But perhaps the most famous part of </w:t>
      </w:r>
      <w:r w:rsidR="007C4A12">
        <w:t xml:space="preserve">the struggle came when he </w:t>
      </w:r>
      <w:r w:rsidR="007F1C06">
        <w:t xml:space="preserve">presented a petition </w:t>
      </w:r>
      <w:proofErr w:type="gramStart"/>
      <w:r w:rsidR="007F1C06">
        <w:t>on the subject of slavery</w:t>
      </w:r>
      <w:proofErr w:type="gramEnd"/>
      <w:r w:rsidR="007F1C06">
        <w:t xml:space="preserve"> written by slaves. </w:t>
      </w:r>
      <w:r w:rsidR="00C41FFF">
        <w:t xml:space="preserve">When Southerners shouted this down, and when they accused Adams of plotting a slave insurrection, he declared they had the right to </w:t>
      </w:r>
      <w:r w:rsidR="005348EA">
        <w:t xml:space="preserve">petition, despite their status. Then he presented their petition – and revealed that, in it, they petitioned in favor of </w:t>
      </w:r>
      <w:r w:rsidR="005348EA">
        <w:lastRenderedPageBreak/>
        <w:t xml:space="preserve">slavery. He believed this was a coerced petition, but nonetheless it </w:t>
      </w:r>
      <w:r w:rsidR="008E4026">
        <w:t>severely</w:t>
      </w:r>
      <w:r w:rsidR="005348EA">
        <w:t xml:space="preserve"> </w:t>
      </w:r>
      <w:r w:rsidR="008E4026">
        <w:t xml:space="preserve">embarrassed the supporters of the Gag Rule. </w:t>
      </w:r>
    </w:p>
    <w:p w14:paraId="4F97DC01" w14:textId="6AA02484" w:rsidR="0090782B" w:rsidRDefault="0090782B" w:rsidP="00AF57C0">
      <w:r>
        <w:t xml:space="preserve">All this struggle inspired an overwhelming </w:t>
      </w:r>
      <w:r w:rsidR="00D21E0F">
        <w:t xml:space="preserve">counterreaction from the North. These were Southern solutions being imposed over the North, to silence it. </w:t>
      </w:r>
      <w:r w:rsidR="00942684">
        <w:t xml:space="preserve">It seemed to overwhelmingly diminish the honor of the North, and it did nothing but </w:t>
      </w:r>
      <w:r w:rsidR="00C746FE">
        <w:t>strengthen the idea that a conspiracy of planters had achieved ascendancy in the nation</w:t>
      </w:r>
      <w:r w:rsidR="00776960">
        <w:t xml:space="preserve"> – not only among the sorts of </w:t>
      </w:r>
      <w:r w:rsidR="0077608E">
        <w:t>extreme Garrisonian abolitionists who would always be expected to oppose slavery, but also among mainstream Northern Democrats and Republicans, who otherwise had no desire to touch the institution</w:t>
      </w:r>
      <w:r w:rsidR="00622E1B">
        <w:t>. To them it was an intrusion on the liberties of citizens that republican government was supposed to protect</w:t>
      </w:r>
      <w:r w:rsidR="001B3CBF">
        <w:t>, and it shone a light on the contradiction between republicanism and slavery</w:t>
      </w:r>
      <w:r w:rsidR="00C746FE">
        <w:t xml:space="preserve">. </w:t>
      </w:r>
      <w:r w:rsidR="0079386B">
        <w:t>Elections saw the erosion</w:t>
      </w:r>
      <w:r w:rsidR="006C45D3">
        <w:t xml:space="preserve"> and defeat</w:t>
      </w:r>
      <w:r w:rsidR="0079386B">
        <w:t xml:space="preserve"> of </w:t>
      </w:r>
      <w:r w:rsidR="00904F1B">
        <w:t xml:space="preserve">the pro-southern doughfaces who </w:t>
      </w:r>
      <w:r w:rsidR="007C7AC5">
        <w:t>had passed the Gag Rule, and increasingly many Southerners</w:t>
      </w:r>
      <w:r w:rsidR="00CC3289">
        <w:t xml:space="preserve"> regarded it overly heavy-handed. </w:t>
      </w:r>
      <w:r w:rsidR="00DD0171">
        <w:t xml:space="preserve">With the end of the Second Quasi War and the great weakening of the </w:t>
      </w:r>
      <w:proofErr w:type="spellStart"/>
      <w:r w:rsidR="00595E9A">
        <w:t>Calhounites</w:t>
      </w:r>
      <w:proofErr w:type="spellEnd"/>
      <w:r w:rsidR="00595E9A">
        <w:t xml:space="preserve"> within the Pike administration, </w:t>
      </w:r>
      <w:r w:rsidR="00A6600A">
        <w:t xml:space="preserve">agitation against the Rule </w:t>
      </w:r>
      <w:r w:rsidR="00316661">
        <w:t>only escalated</w:t>
      </w:r>
      <w:r w:rsidR="00A6600A">
        <w:t xml:space="preserve">, and </w:t>
      </w:r>
      <w:r w:rsidR="00F870F9">
        <w:t>after the 1842 elections – the wins of the Democrats of that year</w:t>
      </w:r>
      <w:r w:rsidR="00943F00">
        <w:t xml:space="preserve"> inspired both by </w:t>
      </w:r>
      <w:r w:rsidR="00BA3832">
        <w:t>the rise of economic misfortune</w:t>
      </w:r>
      <w:r w:rsidR="00DB1AE3">
        <w:t xml:space="preserve"> and the weakness and dishonor of Republican </w:t>
      </w:r>
      <w:r w:rsidR="00316661">
        <w:t xml:space="preserve">doughfaces – the Rule was finally repealed, in 1843. </w:t>
      </w:r>
      <w:r w:rsidR="00E73D35">
        <w:t>It was a great victory for Adams</w:t>
      </w:r>
      <w:r w:rsidR="00A03E7D">
        <w:t xml:space="preserve"> which gave his name renown that </w:t>
      </w:r>
      <w:r w:rsidR="001E3964">
        <w:t>reverberates</w:t>
      </w:r>
      <w:r w:rsidR="00A03E7D">
        <w:t xml:space="preserve"> today</w:t>
      </w:r>
      <w:r w:rsidR="001E3964">
        <w:rPr>
          <w:rStyle w:val="EndnoteReference"/>
        </w:rPr>
        <w:endnoteReference w:id="123"/>
      </w:r>
      <w:r w:rsidR="00E73D35">
        <w:t xml:space="preserve">, and even his enemies begrudgingly defeated he fought well against the influence of Southern slavery. </w:t>
      </w:r>
    </w:p>
    <w:p w14:paraId="69670CED" w14:textId="5B17AE83" w:rsidR="00776960" w:rsidRPr="00AF57C0" w:rsidRDefault="00776960" w:rsidP="00AF57C0">
      <w:r>
        <w:t xml:space="preserve">The gag rule controversy </w:t>
      </w:r>
      <w:r w:rsidR="00E32BB3">
        <w:t xml:space="preserve">represented the strength of the abolitionist movement – </w:t>
      </w:r>
      <w:r w:rsidR="00862D03">
        <w:t>too weak</w:t>
      </w:r>
      <w:r w:rsidR="00E32BB3">
        <w:t xml:space="preserve"> to threaten the Union, but strong enough t</w:t>
      </w:r>
      <w:r w:rsidR="00862D03">
        <w:t xml:space="preserve">hat its right to free speech needed to be positively defended – and </w:t>
      </w:r>
      <w:r w:rsidR="00B13620">
        <w:t>it was yet another collision</w:t>
      </w:r>
      <w:r w:rsidR="00732F2C">
        <w:t xml:space="preserve"> </w:t>
      </w:r>
      <w:proofErr w:type="gramStart"/>
      <w:r w:rsidR="00732F2C">
        <w:t>point</w:t>
      </w:r>
      <w:proofErr w:type="gramEnd"/>
      <w:r w:rsidR="00B13620">
        <w:t xml:space="preserve"> between the North and the South</w:t>
      </w:r>
      <w:r w:rsidR="00554B97">
        <w:t xml:space="preserve">. </w:t>
      </w:r>
      <w:r w:rsidR="002E37AC">
        <w:t xml:space="preserve">It showed that, far from falling out of the national view with the </w:t>
      </w:r>
      <w:r w:rsidR="007D5235">
        <w:t xml:space="preserve">Missouri Compromise, the issue of slavery continued to </w:t>
      </w:r>
      <w:r w:rsidR="007D5235">
        <w:lastRenderedPageBreak/>
        <w:t>fester</w:t>
      </w:r>
      <w:r w:rsidR="008244BC">
        <w:t xml:space="preserve"> beneath the surface</w:t>
      </w:r>
      <w:r w:rsidR="007D5235">
        <w:t xml:space="preserve"> – and the day would come when </w:t>
      </w:r>
      <w:r w:rsidR="00CE17E1">
        <w:t>the issue would burn the entire nation into civil war</w:t>
      </w:r>
      <w:r w:rsidR="006E0055">
        <w:t>.</w:t>
      </w:r>
    </w:p>
    <w:p w14:paraId="429E58DD" w14:textId="77777777" w:rsidR="00FD4B02" w:rsidRDefault="00FD4B02" w:rsidP="00FD4B02">
      <w:r>
        <w:br w:type="page"/>
      </w:r>
    </w:p>
    <w:p w14:paraId="77A46322" w14:textId="77777777" w:rsidR="00575CF8" w:rsidRDefault="00575CF8" w:rsidP="00D745D6"/>
    <w:p w14:paraId="339C4405" w14:textId="77777777" w:rsidR="00FD4B02" w:rsidRDefault="00FD4B02" w:rsidP="00D745D6">
      <w:pPr>
        <w:sectPr w:rsidR="00FD4B02" w:rsidSect="00D745D6">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CEA50CE" w14:textId="77777777" w:rsidR="00D745D6" w:rsidRDefault="00D745D6" w:rsidP="00D745D6">
      <w:r>
        <w:br w:type="page"/>
      </w:r>
    </w:p>
    <w:p w14:paraId="54CFCA9B" w14:textId="775E6BD2" w:rsidR="00705738" w:rsidRDefault="00705738" w:rsidP="00705738">
      <w:pPr>
        <w:pStyle w:val="Heading1"/>
      </w:pPr>
      <w:bookmarkStart w:id="36" w:name="_Toc202006227"/>
      <w:r>
        <w:lastRenderedPageBreak/>
        <w:t>2</w:t>
      </w:r>
      <w:r w:rsidR="00C2388F">
        <w:t>8</w:t>
      </w:r>
      <w:r>
        <w:t>. For the Reform of Man</w:t>
      </w:r>
      <w:bookmarkEnd w:id="36"/>
    </w:p>
    <w:p w14:paraId="62BBAE05" w14:textId="051C9316" w:rsidR="00705738" w:rsidRDefault="00753BAE" w:rsidP="00705738">
      <w:r>
        <w:t xml:space="preserve">The era between 1829 and 1868 saw the rise of reform movements, which saw as their goal the </w:t>
      </w:r>
      <w:r w:rsidR="008B2A83">
        <w:t>transformation</w:t>
      </w:r>
      <w:r>
        <w:t xml:space="preserve"> of </w:t>
      </w:r>
      <w:r w:rsidR="00EC3294">
        <w:t>the American people</w:t>
      </w:r>
      <w:r w:rsidR="008B2A83">
        <w:t xml:space="preserve"> towards </w:t>
      </w:r>
      <w:r w:rsidR="00CB1E7D">
        <w:t xml:space="preserve">what was nothing less than </w:t>
      </w:r>
      <w:r w:rsidR="008B2A83">
        <w:t>utopia</w:t>
      </w:r>
      <w:r w:rsidR="004D6454">
        <w:rPr>
          <w:rStyle w:val="EndnoteReference"/>
        </w:rPr>
        <w:endnoteReference w:id="124"/>
      </w:r>
      <w:r w:rsidR="00EC3294">
        <w:t xml:space="preserve">. </w:t>
      </w:r>
      <w:r w:rsidR="00B65A24">
        <w:t xml:space="preserve">In their broadest origins, these movements came </w:t>
      </w:r>
      <w:r w:rsidR="00B65A24">
        <w:t>from America’s roots as a “City on a Hill”, a godly and perfect society, to enlighten the world by example</w:t>
      </w:r>
      <w:r w:rsidR="00B65A24">
        <w:t>; more precisely, they came from</w:t>
      </w:r>
      <w:r w:rsidR="00EC3294">
        <w:t xml:space="preserve"> a moral revulsion towards the habits of the American people</w:t>
      </w:r>
      <w:r w:rsidR="00EB7375">
        <w:t>, in how they failed to match</w:t>
      </w:r>
      <w:r w:rsidR="00131FD5">
        <w:t>, indeed utterly contradicted</w:t>
      </w:r>
      <w:r w:rsidR="00EB7375">
        <w:t xml:space="preserve"> America’s </w:t>
      </w:r>
      <w:r w:rsidR="00245284">
        <w:t>lofty ideals</w:t>
      </w:r>
      <w:r w:rsidR="00131FD5">
        <w:t xml:space="preserve"> </w:t>
      </w:r>
      <w:r w:rsidR="00245284">
        <w:t>of</w:t>
      </w:r>
      <w:r w:rsidR="00131FD5">
        <w:t xml:space="preserve"> liberty and equality</w:t>
      </w:r>
      <w:r w:rsidR="00630B47">
        <w:t>. As the nation slowly grew out of the shine of its revolutionary victory,</w:t>
      </w:r>
      <w:r w:rsidR="00EC3294">
        <w:t xml:space="preserve"> the</w:t>
      </w:r>
      <w:r w:rsidR="00D76104">
        <w:t>se movements</w:t>
      </w:r>
      <w:r w:rsidR="00EC3294">
        <w:t xml:space="preserve"> gathered influence in the era</w:t>
      </w:r>
      <w:r w:rsidR="009E0BF6">
        <w:t xml:space="preserve"> – and</w:t>
      </w:r>
      <w:r w:rsidR="00DE7472">
        <w:t xml:space="preserve"> with enough time and effort</w:t>
      </w:r>
      <w:r w:rsidR="009E0BF6">
        <w:t xml:space="preserve"> the minority opinion would go on to become a majority</w:t>
      </w:r>
      <w:r>
        <w:t xml:space="preserve">. </w:t>
      </w:r>
      <w:r w:rsidR="00A347CD">
        <w:t xml:space="preserve">The most prominent reform movement was, without a doubt, abolitionism; in this era, it turned from a few </w:t>
      </w:r>
      <w:proofErr w:type="gramStart"/>
      <w:r w:rsidR="00A347CD">
        <w:t>moderate white-led</w:t>
      </w:r>
      <w:proofErr w:type="gramEnd"/>
      <w:r w:rsidR="00A347CD">
        <w:t xml:space="preserve"> organizations into a truly mass movement</w:t>
      </w:r>
      <w:r w:rsidR="002300B4">
        <w:t xml:space="preserve"> which incorporated both white and Colored people</w:t>
      </w:r>
      <w:r w:rsidR="00A347CD">
        <w:t>, even if still on the fringes of American society</w:t>
      </w:r>
      <w:r w:rsidR="0093672C">
        <w:t xml:space="preserve">. This was the era where </w:t>
      </w:r>
      <w:r w:rsidR="003140AF">
        <w:t>William Lloyd Garrison first began his great</w:t>
      </w:r>
      <w:r w:rsidR="00DF51FE">
        <w:t>, uncompromising</w:t>
      </w:r>
      <w:r w:rsidR="003140AF">
        <w:t xml:space="preserve"> agitation against</w:t>
      </w:r>
      <w:r w:rsidR="00DF51FE">
        <w:t xml:space="preserve"> slavery and</w:t>
      </w:r>
      <w:r w:rsidR="003140AF">
        <w:t xml:space="preserve"> the entire government of the United States</w:t>
      </w:r>
      <w:r w:rsidR="00DF51FE">
        <w:t xml:space="preserve"> that was infested with it</w:t>
      </w:r>
      <w:r w:rsidR="003140AF">
        <w:t xml:space="preserve">; and this was when </w:t>
      </w:r>
      <w:r w:rsidR="00AE27B6">
        <w:t>one Maryland slave named Frederick Bailey freed himself from his chains and gave for himself the name history calls him, Frederick Douglass</w:t>
      </w:r>
      <w:r w:rsidR="00A347CD">
        <w:t xml:space="preserve">. The Equal Rights Party represented an unprecedented organization of abolitionism, but aside from electing a few state legislators and the odd federal congressman, it did not break the great fact that the slave states of the South had outsized influence in government. </w:t>
      </w:r>
      <w:r w:rsidR="00400025">
        <w:t>But it continued to agitate,</w:t>
      </w:r>
      <w:r w:rsidR="00F13A38">
        <w:t xml:space="preserve"> it continued to move against</w:t>
      </w:r>
      <w:r w:rsidR="00783ECC">
        <w:t xml:space="preserve"> slaveowners and their brutality and power</w:t>
      </w:r>
      <w:r w:rsidR="00400025">
        <w:t xml:space="preserve"> and come 1868, the antislavery movement would change the United States forever. </w:t>
      </w:r>
    </w:p>
    <w:p w14:paraId="2ABFB25D" w14:textId="738E3B55" w:rsidR="005330DB" w:rsidRDefault="007C7AB9" w:rsidP="00705738">
      <w:r>
        <w:t>But this was hardly the only reform movement which wanted to change the habits of the American people</w:t>
      </w:r>
      <w:r w:rsidR="00CD19B8">
        <w:t xml:space="preserve">. At its most absurd, reform came in the form of </w:t>
      </w:r>
      <w:r w:rsidR="00EE601C">
        <w:t xml:space="preserve">the many schemes to establish </w:t>
      </w:r>
      <w:proofErr w:type="gramStart"/>
      <w:r w:rsidR="00EE601C">
        <w:t xml:space="preserve">some sort of </w:t>
      </w:r>
      <w:proofErr w:type="spellStart"/>
      <w:r w:rsidR="00EE601C">
        <w:t>associationist</w:t>
      </w:r>
      <w:proofErr w:type="spellEnd"/>
      <w:proofErr w:type="gramEnd"/>
      <w:r w:rsidR="00EE601C">
        <w:t xml:space="preserve"> utopia with, at its base, a village with all goods held in common. </w:t>
      </w:r>
      <w:r w:rsidR="00EE601C">
        <w:lastRenderedPageBreak/>
        <w:t xml:space="preserve">Perhaps the most famous example of this came from the celebrated industrial reformer Robert Owen, whose desire to establish happy lives for his workers turned, in the 1820s, into </w:t>
      </w:r>
      <w:proofErr w:type="spellStart"/>
      <w:r w:rsidR="00EE601C">
        <w:t>associationist</w:t>
      </w:r>
      <w:proofErr w:type="spellEnd"/>
      <w:r w:rsidR="00EE601C">
        <w:t xml:space="preserve"> utopianism. </w:t>
      </w:r>
      <w:r w:rsidR="007E1783">
        <w:t>Moving for a time from hostile pre-revolutionary Britain to America, in this he obtained</w:t>
      </w:r>
      <w:r w:rsidR="00EE601C">
        <w:t xml:space="preserve"> the support of </w:t>
      </w:r>
      <w:r w:rsidR="007E1783">
        <w:t>Congress itself</w:t>
      </w:r>
      <w:r w:rsidR="00E12FB8">
        <w:t>; with this in place,</w:t>
      </w:r>
      <w:r w:rsidR="007E1783">
        <w:t xml:space="preserve"> he established what he called </w:t>
      </w:r>
      <w:r w:rsidR="00E12FB8">
        <w:t xml:space="preserve">New Moral Order, a huge building with a courtyard in the middle meant to house an entire village. In the end, this experiment did not work, which Owen blamed on the moral quality of the people who settled in his village, and after the Popular Revolution he made his way back to the British Isles where he made his name famous for more practical additions to the burgeoning ideology of associationism. </w:t>
      </w:r>
      <w:r w:rsidR="00AB542A">
        <w:t xml:space="preserve">This </w:t>
      </w:r>
      <w:r w:rsidR="005330DB">
        <w:t xml:space="preserve">was not the only bizarre utopian </w:t>
      </w:r>
      <w:proofErr w:type="spellStart"/>
      <w:r w:rsidR="005330DB">
        <w:t>associationist</w:t>
      </w:r>
      <w:proofErr w:type="spellEnd"/>
      <w:r w:rsidR="005330DB">
        <w:t xml:space="preserve"> movement which coursed through the United States – the Icarian movement inspired by </w:t>
      </w:r>
      <w:r w:rsidR="005330DB" w:rsidRPr="005330DB">
        <w:t>Étienne Cabet</w:t>
      </w:r>
      <w:r w:rsidR="005330DB">
        <w:t xml:space="preserve"> set up its fair share of failed village experiments – but it remains the best-known, and it is representative of the</w:t>
      </w:r>
      <w:r w:rsidR="00C35CE4">
        <w:t xml:space="preserve"> sheer ambition of the American reform movement</w:t>
      </w:r>
      <w:r w:rsidR="005330DB">
        <w:t xml:space="preserve">. </w:t>
      </w:r>
      <w:r w:rsidR="00C35CE4">
        <w:t xml:space="preserve">It not only wanted to improve the nation, but it sought to drive it into a new economic and moral system. </w:t>
      </w:r>
    </w:p>
    <w:p w14:paraId="294BFE77" w14:textId="4EB4800F" w:rsidR="00A6034A" w:rsidRDefault="005330DB" w:rsidP="00705738">
      <w:r>
        <w:t>M</w:t>
      </w:r>
      <w:r w:rsidR="007D62F5">
        <w:t>ore influential</w:t>
      </w:r>
      <w:r w:rsidR="006A5846">
        <w:t xml:space="preserve"> at the time</w:t>
      </w:r>
      <w:r w:rsidR="007D62F5">
        <w:t xml:space="preserve"> was the rise of the </w:t>
      </w:r>
      <w:r w:rsidR="006A5846">
        <w:t>temperance movement. The nineteenth century United States was a wildly alcoholic nation</w:t>
      </w:r>
      <w:r w:rsidR="001B34DA">
        <w:t xml:space="preserve">; perhaps inheriting the great liquor traditions of the British Isles and Germany, </w:t>
      </w:r>
      <w:r w:rsidR="00B8714D">
        <w:t>hard cider, beer, whiskey, and everything in between, were drunk by virtually every American</w:t>
      </w:r>
      <w:r w:rsidR="00A33EE3">
        <w:t xml:space="preserve">. </w:t>
      </w:r>
      <w:r w:rsidR="00F4635B">
        <w:t xml:space="preserve">It was not the odd weekly drink either; Americans drunk great amounts of liquor every day, and they were drunk almost all the time. Even Congress had a bar, where congressmen could </w:t>
      </w:r>
      <w:r w:rsidR="00FE2243">
        <w:t>make sure they were always a little buzzed</w:t>
      </w:r>
      <w:r w:rsidR="000679D0">
        <w:t>. This inspired several temperance movements, which sought either to limit alcohol use or</w:t>
      </w:r>
      <w:r w:rsidR="00FA6305">
        <w:t xml:space="preserve"> abolish it entirely. What led to the movement truly maturing was the 1820s, when the great many Europeans who emigrated to the United States during that decade of starvation inspired a truly colossal backlash; this nativist backlash routinely focused on the idea that immigrants, especially Catholic immigrants, were </w:t>
      </w:r>
      <w:r w:rsidR="00FA6305">
        <w:lastRenderedPageBreak/>
        <w:t xml:space="preserve">drunkards. This drew on longstanding stereotypes of the Irish, but it also pointed to </w:t>
      </w:r>
      <w:r w:rsidR="007C7AB9">
        <w:t>the Germans and their</w:t>
      </w:r>
      <w:r w:rsidR="005B244B">
        <w:t xml:space="preserve"> beer. </w:t>
      </w:r>
    </w:p>
    <w:p w14:paraId="709B6832" w14:textId="36AE5C18" w:rsidR="007D62F5" w:rsidRDefault="005B244B" w:rsidP="00705738">
      <w:r>
        <w:t>Thus, the temperance movement grew</w:t>
      </w:r>
      <w:r w:rsidR="00EE731F">
        <w:t>, with the full backing of several Protestant preachers and</w:t>
      </w:r>
      <w:r>
        <w:t xml:space="preserve"> particularly within the burgeoning Anti-Catholic</w:t>
      </w:r>
      <w:r w:rsidR="00AB3E85">
        <w:t xml:space="preserve"> Party</w:t>
      </w:r>
      <w:r>
        <w:t xml:space="preserve">, initially as a way of social control and later </w:t>
      </w:r>
      <w:proofErr w:type="gramStart"/>
      <w:r>
        <w:t>as a way to</w:t>
      </w:r>
      <w:proofErr w:type="gramEnd"/>
      <w:r>
        <w:t xml:space="preserve"> reform society</w:t>
      </w:r>
      <w:r w:rsidR="00F65374">
        <w:t>. The American Temperance Society, founded in 1826</w:t>
      </w:r>
      <w:r w:rsidR="008B7478">
        <w:t>, grew rapidly into a mass organization</w:t>
      </w:r>
      <w:r w:rsidR="001A5EDB">
        <w:t>, which could boast of having over one million members</w:t>
      </w:r>
      <w:r w:rsidR="003F51D2">
        <w:t>.</w:t>
      </w:r>
      <w:r w:rsidR="000B381A">
        <w:t xml:space="preserve"> I</w:t>
      </w:r>
      <w:r w:rsidR="00792A37">
        <w:t xml:space="preserve">n this early stage, it had a strong intersection with the abolitionist movement, which viewed </w:t>
      </w:r>
      <w:r w:rsidR="009101AA">
        <w:t>“</w:t>
      </w:r>
      <w:r w:rsidR="00792A37">
        <w:t>slavery of the bottle</w:t>
      </w:r>
      <w:r w:rsidR="009101AA">
        <w:t>”</w:t>
      </w:r>
      <w:r w:rsidR="00792A37">
        <w:t xml:space="preserve"> as equally perfidious as the </w:t>
      </w:r>
      <w:r w:rsidR="009101AA">
        <w:t xml:space="preserve">“slavery of the lash”. </w:t>
      </w:r>
      <w:r w:rsidR="000B381A">
        <w:t xml:space="preserve">But as it grew more mainstream, these links were severed, even if an abolitionist temperance movement continued to exist; and among Protestants, unsure of their religion in a changing world, it became an easy way to confirm their religion against </w:t>
      </w:r>
      <w:r w:rsidR="0067791E">
        <w:t>“</w:t>
      </w:r>
      <w:r w:rsidR="000B381A">
        <w:t>Catholic perfidy</w:t>
      </w:r>
      <w:r w:rsidR="0067791E">
        <w:t>”</w:t>
      </w:r>
      <w:r w:rsidR="00D208AD">
        <w:t xml:space="preserve">. </w:t>
      </w:r>
      <w:r w:rsidR="009E099E">
        <w:t xml:space="preserve">As the Anti-Catholic Party fused into the </w:t>
      </w:r>
      <w:r w:rsidR="000A3C71">
        <w:t xml:space="preserve">Republican Party, the Republicans gained a </w:t>
      </w:r>
      <w:r w:rsidR="002B573F">
        <w:t xml:space="preserve">temperance wing, and it increasingly wished to set policy. Given both the weakness of the federal government before 1868 and the Republicans’ firmly decentralist politics, </w:t>
      </w:r>
      <w:r w:rsidR="007E7B1F">
        <w:t>this movement flowed towards the state</w:t>
      </w:r>
      <w:r w:rsidR="00BC2CBE">
        <w:t>s</w:t>
      </w:r>
      <w:r w:rsidR="007E7B1F">
        <w:t>, where it sought to regulate, or even end</w:t>
      </w:r>
      <w:r w:rsidR="00BC2CBE">
        <w:t xml:space="preserve"> altogether, the sale of liquors. </w:t>
      </w:r>
    </w:p>
    <w:p w14:paraId="7D34D862" w14:textId="5BCF1B17" w:rsidR="00A92E17" w:rsidRDefault="00A6034A" w:rsidP="00705738">
      <w:r>
        <w:t>T</w:t>
      </w:r>
      <w:r w:rsidR="00A92E17">
        <w:t xml:space="preserve">he 1830s saw a trend of states giving localities the power to restrict or abolish </w:t>
      </w:r>
      <w:r w:rsidR="005D2F78">
        <w:t>alcohol, although even these limited prohibitions saw several of the issues that plagued the movement overall – namely, that these legal bans merely brought the trade of liquor underground,</w:t>
      </w:r>
      <w:r w:rsidR="00670D05">
        <w:t xml:space="preserve"> that</w:t>
      </w:r>
      <w:r w:rsidR="005D2F78">
        <w:t xml:space="preserve"> this liquor was untaxed and often of much lower quality in the absence of regulation</w:t>
      </w:r>
      <w:r w:rsidR="00670D05">
        <w:t xml:space="preserve">, and that the rich could easily avoid </w:t>
      </w:r>
      <w:r w:rsidR="00BE63B3">
        <w:t>the ban</w:t>
      </w:r>
      <w:r w:rsidR="00670D05">
        <w:t xml:space="preserve"> and </w:t>
      </w:r>
      <w:r w:rsidR="0090286C">
        <w:t xml:space="preserve">the </w:t>
      </w:r>
      <w:r w:rsidR="00BE63B3">
        <w:t>burden instead</w:t>
      </w:r>
      <w:r w:rsidR="0090286C">
        <w:t xml:space="preserve"> fell almost entirely in the poor</w:t>
      </w:r>
      <w:r w:rsidR="005D2F78">
        <w:t xml:space="preserve">. </w:t>
      </w:r>
      <w:r w:rsidR="00790891">
        <w:t>As this movement grew, temperance advocates grew more radical. The idea that merely intoxicating liquors should be banned, leaving wine, beer, and cider for all, was thrust aside; instead, they wanted</w:t>
      </w:r>
      <w:r w:rsidR="00670D05">
        <w:t xml:space="preserve"> a</w:t>
      </w:r>
      <w:r w:rsidR="00790891">
        <w:t xml:space="preserve"> rigid and uniform</w:t>
      </w:r>
      <w:r w:rsidR="00670D05">
        <w:t xml:space="preserve"> ban on alcohol </w:t>
      </w:r>
      <w:r w:rsidR="0087295F">
        <w:t xml:space="preserve">with only barely necessary </w:t>
      </w:r>
      <w:r w:rsidR="00DF3F4F">
        <w:t xml:space="preserve">exceptions. </w:t>
      </w:r>
      <w:r w:rsidR="00FB1ABD">
        <w:t xml:space="preserve">Where this movement first won a </w:t>
      </w:r>
      <w:r w:rsidR="00FB1ABD">
        <w:lastRenderedPageBreak/>
        <w:t xml:space="preserve">full-blown state ban was </w:t>
      </w:r>
      <w:r w:rsidR="00DF10E7">
        <w:t xml:space="preserve">New Ireland, and such was the scale of this victory that state bans on liquor were, and still are, known as New Ireland Laws. </w:t>
      </w:r>
    </w:p>
    <w:p w14:paraId="363E70FC" w14:textId="6F0E1339" w:rsidR="00A37B04" w:rsidRDefault="00A37B04" w:rsidP="00705738">
      <w:r>
        <w:t>The New Ireland Law</w:t>
      </w:r>
      <w:r w:rsidR="00F03F99">
        <w:t xml:space="preserve"> was passed due to several reasons specific to the state. For, as the name implied, it was no hotbed of nativist extremism, and it had a strong and influential Irish minority. </w:t>
      </w:r>
      <w:r w:rsidR="00A40BCA">
        <w:t xml:space="preserve">Though this Irish minority originated with the </w:t>
      </w:r>
      <w:r w:rsidR="00C95237">
        <w:t>United Irish diaspora, most of it came with the Irish flight from the Hungry Twenties. Their chief idol was not Citizen Fitzgerald; instead, they revered the great Daniel O’Connell. O’Connell was many things aside from an Irish nationalist; he was also an advocate of temperance</w:t>
      </w:r>
      <w:r w:rsidR="00797E48">
        <w:t xml:space="preserve">, and closely affiliated with the Irish Nationalist Association he led was the </w:t>
      </w:r>
      <w:r w:rsidR="00912D0D">
        <w:t xml:space="preserve">Total Abstinence Society of Father Theobald Mathew, which required its members to </w:t>
      </w:r>
      <w:r w:rsidR="00DC7035">
        <w:t xml:space="preserve">entirely abstain from drink. At its peak, more than half of the population of Ireland made the abstinence pledge, though the movement ended up collapsing in the </w:t>
      </w:r>
      <w:r w:rsidR="00F0192B">
        <w:t xml:space="preserve">late </w:t>
      </w:r>
      <w:r w:rsidR="00DC7035">
        <w:t>18</w:t>
      </w:r>
      <w:r w:rsidR="00F0192B">
        <w:t>4</w:t>
      </w:r>
      <w:r w:rsidR="00DC7035">
        <w:t>0s</w:t>
      </w:r>
      <w:r w:rsidR="007A40E2">
        <w:t xml:space="preserve">; the movement did not take long to spread along with the Irish diaspora, first in Great Britain proper, and then to the United States. O’Connellite nationalism came </w:t>
      </w:r>
      <w:proofErr w:type="gramStart"/>
      <w:r w:rsidR="007A40E2">
        <w:t>hand-in-hand</w:t>
      </w:r>
      <w:proofErr w:type="gramEnd"/>
      <w:r w:rsidR="007A40E2">
        <w:t xml:space="preserve"> with </w:t>
      </w:r>
      <w:r w:rsidR="00FC5CDB">
        <w:t xml:space="preserve">temperance; and when Father Mathew made his way to the United States in 1844, he administered the pledge to hundreds of thousands of people – and this was especially successful in New Ireland. Thus, the state not only had the Protestant temperance movement the rest of the US; it also had a strong </w:t>
      </w:r>
      <w:r w:rsidR="0096777D">
        <w:t xml:space="preserve">Catholic movement which, given the state’s tolerance of immigrants, </w:t>
      </w:r>
      <w:r w:rsidR="002555E5">
        <w:t>had a presence in the field of politics. Thus, in 1846, New Ireland made history and became the first state in the country to ban alcohol entirely</w:t>
      </w:r>
      <w:r w:rsidR="00046C7B">
        <w:t xml:space="preserve">. Over the 1840s and 50s, several other states joined it, and by 1853 twelve states in the union made alcohol illegal. </w:t>
      </w:r>
      <w:r w:rsidR="009B628E">
        <w:t>In practice these bans were easier said than done, and illegal alcohol was something of an open secret which, given the lack of regulation, tended to be of much inferior quality and sometimes quite dangerous</w:t>
      </w:r>
      <w:r w:rsidR="00AB7466">
        <w:t xml:space="preserve">. </w:t>
      </w:r>
      <w:r w:rsidR="0049298C">
        <w:t>This, combined with the need of revenues that was only exacerbated following the economic panic which succeeded Railway Mania</w:t>
      </w:r>
      <w:r w:rsidR="000A2938">
        <w:t xml:space="preserve"> that attracted state legislators towards vice taxes</w:t>
      </w:r>
      <w:r w:rsidR="00174436">
        <w:t xml:space="preserve">, as well as public resentment over how its enforcement fell unjustly </w:t>
      </w:r>
      <w:r w:rsidR="00174436">
        <w:lastRenderedPageBreak/>
        <w:t>on the poor</w:t>
      </w:r>
      <w:r w:rsidR="0049298C">
        <w:t xml:space="preserve">, led to </w:t>
      </w:r>
      <w:r w:rsidR="000A2938">
        <w:t xml:space="preserve">a wave of alcohol relegalizations; come the Liberty and Union War and the </w:t>
      </w:r>
      <w:r w:rsidR="009E38DD">
        <w:t>frantic need for revenue</w:t>
      </w:r>
      <w:r w:rsidR="00FC1D72">
        <w:t xml:space="preserve"> seeing federal vice taxes</w:t>
      </w:r>
      <w:r w:rsidR="008921B9">
        <w:t xml:space="preserve"> becoming a permanent part of the tax book, </w:t>
      </w:r>
      <w:r w:rsidR="001F6992">
        <w:t>alcohol prohibition entirely collapsed</w:t>
      </w:r>
      <w:r w:rsidR="00200665">
        <w:rPr>
          <w:rStyle w:val="EndnoteReference"/>
        </w:rPr>
        <w:endnoteReference w:id="125"/>
      </w:r>
      <w:r w:rsidR="001F6992">
        <w:t xml:space="preserve">, and so too did this temperance movement. </w:t>
      </w:r>
    </w:p>
    <w:p w14:paraId="0402F2B5" w14:textId="77218273" w:rsidR="00F85C1B" w:rsidRDefault="00F85C1B" w:rsidP="00705738">
      <w:r>
        <w:t>The other great social reform movement of the mid-nineteenth century was the</w:t>
      </w:r>
      <w:r w:rsidR="009B3F8B">
        <w:t xml:space="preserve"> women’s rights movement</w:t>
      </w:r>
      <w:r w:rsidR="003027D6">
        <w:rPr>
          <w:rStyle w:val="EndnoteReference"/>
        </w:rPr>
        <w:endnoteReference w:id="126"/>
      </w:r>
      <w:r>
        <w:t>.</w:t>
      </w:r>
      <w:r w:rsidR="00583F2C">
        <w:t xml:space="preserve"> This emerged directly out of the abolitionist movement, which saw strong involvement by women; as they talked to one another, they viewed their status as nothing less than slavery. For they had no legal status apart from their </w:t>
      </w:r>
      <w:r w:rsidR="000E0D86">
        <w:t>husbands, they could not own property apart from them</w:t>
      </w:r>
      <w:r w:rsidR="00BB409D">
        <w:t>, and indeed they were considered absorbed into their husbands</w:t>
      </w:r>
      <w:r w:rsidR="000E0D86">
        <w:t xml:space="preserve">; in other </w:t>
      </w:r>
      <w:r w:rsidR="006C6D3D">
        <w:t>words,</w:t>
      </w:r>
      <w:r w:rsidR="000E0D86">
        <w:t xml:space="preserve"> they were nothing less than their slaves</w:t>
      </w:r>
      <w:r w:rsidR="0060301A">
        <w:rPr>
          <w:rStyle w:val="EndnoteReference"/>
        </w:rPr>
        <w:endnoteReference w:id="127"/>
      </w:r>
      <w:r w:rsidR="006C6D3D">
        <w:t>. As the abolitionist movement grew, the prominent role of women within it was itself an abjuration of gender norms of the era</w:t>
      </w:r>
      <w:r w:rsidR="007509CD">
        <w:t>, and it was not such an extreme departure to become explicitly supportive of women’s rights</w:t>
      </w:r>
      <w:r w:rsidR="003E3B59">
        <w:rPr>
          <w:rStyle w:val="EndnoteReference"/>
        </w:rPr>
        <w:endnoteReference w:id="128"/>
      </w:r>
      <w:r w:rsidR="0054125D">
        <w:t xml:space="preserve">. </w:t>
      </w:r>
      <w:r w:rsidR="00810555">
        <w:t xml:space="preserve">Thus, the women travelling along the abolitionist circuit in the 1830s increasingly agitated against </w:t>
      </w:r>
      <w:r w:rsidR="00BB409D">
        <w:t>the unequal status</w:t>
      </w:r>
      <w:r w:rsidR="008E7766">
        <w:t xml:space="preserve"> of their gender</w:t>
      </w:r>
      <w:r w:rsidR="001D7524">
        <w:t xml:space="preserve">. In 1840, delegates from the United States travelled to the British Isles for the World-Anti-Slavery Convention, including women; that those women </w:t>
      </w:r>
      <w:r w:rsidR="001020F8">
        <w:t xml:space="preserve">found themselves barred from </w:t>
      </w:r>
      <w:r w:rsidR="00E34965">
        <w:t xml:space="preserve">the convention, unless </w:t>
      </w:r>
      <w:r w:rsidR="00666648">
        <w:t xml:space="preserve">as observers. This </w:t>
      </w:r>
      <w:r w:rsidR="00871718">
        <w:t>came as</w:t>
      </w:r>
      <w:r w:rsidR="00666648">
        <w:t xml:space="preserve"> a shock and </w:t>
      </w:r>
      <w:r w:rsidR="00871718">
        <w:t xml:space="preserve">represented </w:t>
      </w:r>
      <w:r w:rsidR="00666648">
        <w:t xml:space="preserve">the </w:t>
      </w:r>
      <w:r w:rsidR="00852244">
        <w:t xml:space="preserve">unequal status of women in the world at large, and </w:t>
      </w:r>
      <w:r w:rsidR="00F310AF">
        <w:t xml:space="preserve">when they </w:t>
      </w:r>
      <w:proofErr w:type="gramStart"/>
      <w:r w:rsidR="00F310AF">
        <w:t>returned</w:t>
      </w:r>
      <w:proofErr w:type="gramEnd"/>
      <w:r w:rsidR="00F310AF">
        <w:t xml:space="preserve"> </w:t>
      </w:r>
      <w:r w:rsidR="00A404AB">
        <w:t>they</w:t>
      </w:r>
      <w:r w:rsidR="00F310AF">
        <w:t xml:space="preserve"> became </w:t>
      </w:r>
      <w:r w:rsidR="00871718">
        <w:t>advocates of women’s rights. Thus, the 1840s</w:t>
      </w:r>
      <w:r w:rsidR="008343A3">
        <w:t xml:space="preserve"> saw </w:t>
      </w:r>
      <w:r w:rsidR="00767F20">
        <w:t>the slow escalation women’s rights agitation</w:t>
      </w:r>
      <w:r w:rsidR="006F75CD">
        <w:t xml:space="preserve">. Come 1848, abolitionist women organized a </w:t>
      </w:r>
      <w:r w:rsidR="001D7A68">
        <w:t xml:space="preserve">national convention – this was the famous Seneca Falls Convention. </w:t>
      </w:r>
    </w:p>
    <w:p w14:paraId="34D43475" w14:textId="68BE62E6" w:rsidR="00541DE7" w:rsidRDefault="00541DE7" w:rsidP="00705738">
      <w:r>
        <w:t xml:space="preserve">The Convention saw </w:t>
      </w:r>
      <w:r w:rsidR="00BC4F03">
        <w:t xml:space="preserve">a series of </w:t>
      </w:r>
      <w:r w:rsidR="00BE400C">
        <w:t xml:space="preserve">debates, lectures, and discussions </w:t>
      </w:r>
      <w:proofErr w:type="gramStart"/>
      <w:r w:rsidR="00BE400C">
        <w:t xml:space="preserve">on the subject of </w:t>
      </w:r>
      <w:r w:rsidR="00041CC0">
        <w:t>women’s</w:t>
      </w:r>
      <w:proofErr w:type="gramEnd"/>
      <w:r w:rsidR="00041CC0">
        <w:t xml:space="preserve"> rights</w:t>
      </w:r>
      <w:r w:rsidR="008E2C86">
        <w:t>. This saw several of the personalities who defined the nineteenth century movement first make their</w:t>
      </w:r>
      <w:r w:rsidR="00644396">
        <w:t xml:space="preserve"> presence known</w:t>
      </w:r>
      <w:r w:rsidR="00D63DBD">
        <w:t xml:space="preserve"> –</w:t>
      </w:r>
      <w:r w:rsidR="00644396">
        <w:t xml:space="preserve"> </w:t>
      </w:r>
      <w:r w:rsidR="001059CA">
        <w:t>it was here that</w:t>
      </w:r>
      <w:r w:rsidR="00644396">
        <w:t xml:space="preserve"> the Great Triumvirate of Women’s Suffrage, </w:t>
      </w:r>
      <w:r w:rsidR="00D63DBD">
        <w:t>of Elizabeth Cady Stanton, Susan B. Anthony, and Lucy Stone</w:t>
      </w:r>
      <w:r w:rsidR="001059CA">
        <w:t>, first came to meet one another</w:t>
      </w:r>
      <w:r w:rsidR="00041CC0">
        <w:t xml:space="preserve">. </w:t>
      </w:r>
      <w:r w:rsidR="00D63DBD">
        <w:t>The Convention</w:t>
      </w:r>
      <w:r w:rsidR="00041CC0">
        <w:t xml:space="preserve"> culminated with the passage of the </w:t>
      </w:r>
      <w:r w:rsidR="00FD74F8">
        <w:t xml:space="preserve">Declaration of </w:t>
      </w:r>
      <w:r w:rsidR="004E5931">
        <w:t xml:space="preserve">Sentiments; </w:t>
      </w:r>
      <w:r w:rsidR="00A2708F">
        <w:t xml:space="preserve">written in </w:t>
      </w:r>
      <w:proofErr w:type="gramStart"/>
      <w:r w:rsidR="00A2708F">
        <w:lastRenderedPageBreak/>
        <w:t>exactly the same</w:t>
      </w:r>
      <w:proofErr w:type="gramEnd"/>
      <w:r w:rsidR="00A2708F">
        <w:t xml:space="preserve"> fashion of the Declaration of Independence</w:t>
      </w:r>
      <w:r w:rsidR="002779DC">
        <w:t xml:space="preserve"> and protesting the dominion of men over women as even more perfidious </w:t>
      </w:r>
      <w:r w:rsidR="009274D0">
        <w:t>than</w:t>
      </w:r>
      <w:r w:rsidR="002779DC">
        <w:t xml:space="preserve"> that of the Guelphs over America</w:t>
      </w:r>
      <w:r w:rsidR="00A2708F">
        <w:t xml:space="preserve">, </w:t>
      </w:r>
      <w:r w:rsidR="00E57DDD">
        <w:t xml:space="preserve">it was nothing less than the opening throe in </w:t>
      </w:r>
      <w:r w:rsidR="00BA2F4A">
        <w:t>a</w:t>
      </w:r>
      <w:r w:rsidR="00E57DDD">
        <w:t xml:space="preserve"> long fight against patriarchy</w:t>
      </w:r>
      <w:r w:rsidR="002779DC">
        <w:t xml:space="preserve"> and</w:t>
      </w:r>
      <w:r w:rsidR="00BA2F4A">
        <w:t xml:space="preserve"> for equality</w:t>
      </w:r>
      <w:r w:rsidR="00E57DDD">
        <w:t xml:space="preserve">. </w:t>
      </w:r>
      <w:r w:rsidR="00BA2F4A">
        <w:t>By far the most controversial</w:t>
      </w:r>
      <w:r w:rsidR="00E1695A">
        <w:t xml:space="preserve"> part of the Declaration</w:t>
      </w:r>
      <w:r w:rsidR="00C51D61">
        <w:t xml:space="preserve"> called for the women’s right to vote; this was very nearly </w:t>
      </w:r>
      <w:r w:rsidR="006A61FB">
        <w:t>excluded</w:t>
      </w:r>
      <w:r w:rsidR="008C1B1D">
        <w:t>, both because women there genuinely opposed it</w:t>
      </w:r>
      <w:r w:rsidR="004C205C">
        <w:t xml:space="preserve"> and because</w:t>
      </w:r>
      <w:r w:rsidR="00BB370B">
        <w:t xml:space="preserve"> they feared the backlash would </w:t>
      </w:r>
      <w:r w:rsidR="00906CCB">
        <w:t>obscure the rest of the cause</w:t>
      </w:r>
      <w:r w:rsidR="006A61FB">
        <w:t>, but the sympathetic Frederick Douglass gave a great speech in its favor and ultimately</w:t>
      </w:r>
      <w:r w:rsidR="00176491">
        <w:t>,</w:t>
      </w:r>
      <w:r w:rsidR="006A61FB">
        <w:t xml:space="preserve"> it </w:t>
      </w:r>
      <w:r w:rsidR="00384722">
        <w:t>remained a</w:t>
      </w:r>
      <w:r w:rsidR="00906CCB">
        <w:t xml:space="preserve"> </w:t>
      </w:r>
      <w:r w:rsidR="00384722">
        <w:t>part of it</w:t>
      </w:r>
      <w:r w:rsidR="006A61FB">
        <w:t xml:space="preserve">. When the convention came to an end, </w:t>
      </w:r>
      <w:r w:rsidR="00D71A61">
        <w:t>this last section, on women’s suffrage, overshadowed everything else. The reaction from the public at large was largely negative, including from abolitionists. But this represented the dawn of the women’s rights movement</w:t>
      </w:r>
      <w:r w:rsidR="009274D0">
        <w:t>, and from here onwards, women’s suffrage lay at its very heart</w:t>
      </w:r>
      <w:r w:rsidR="00D71A61">
        <w:t xml:space="preserve">. </w:t>
      </w:r>
    </w:p>
    <w:p w14:paraId="06EA437E" w14:textId="01C68B8E" w:rsidR="00F30563" w:rsidRDefault="00F30563" w:rsidP="00705738">
      <w:r>
        <w:t xml:space="preserve">Not long afterwards, </w:t>
      </w:r>
      <w:r w:rsidR="00B05772">
        <w:t xml:space="preserve">a second convention would be held at Rochester. This </w:t>
      </w:r>
      <w:r w:rsidR="0080629C">
        <w:t xml:space="preserve">re-approved the Declaration but was otherwise more focused on </w:t>
      </w:r>
      <w:r w:rsidR="00233F4D">
        <w:t xml:space="preserve">organization in upstate New York. </w:t>
      </w:r>
      <w:r w:rsidR="00B26A32">
        <w:t xml:space="preserve">Starting from 1850, </w:t>
      </w:r>
      <w:r w:rsidR="003E26EB">
        <w:t xml:space="preserve">a series of National World Right’s Conventions would be held every year, and this became a permanent fixture of the movement, even held in a much-altered form today. </w:t>
      </w:r>
      <w:r w:rsidR="00825C0B">
        <w:t xml:space="preserve">But in terms of </w:t>
      </w:r>
      <w:r w:rsidR="003D38A7">
        <w:t xml:space="preserve">concrete </w:t>
      </w:r>
      <w:r w:rsidR="00825C0B">
        <w:t>victories</w:t>
      </w:r>
      <w:r w:rsidR="002E35CF">
        <w:t xml:space="preserve"> in the short term</w:t>
      </w:r>
      <w:r w:rsidR="00825C0B">
        <w:t xml:space="preserve">, </w:t>
      </w:r>
      <w:r w:rsidR="003D38A7">
        <w:t xml:space="preserve">the movement was </w:t>
      </w:r>
      <w:r w:rsidR="002E35CF">
        <w:t>largely</w:t>
      </w:r>
      <w:r w:rsidR="003D38A7">
        <w:t xml:space="preserve"> unsuccessful. </w:t>
      </w:r>
      <w:r w:rsidR="0062182D">
        <w:t>In several states, it</w:t>
      </w:r>
      <w:r w:rsidR="003D38A7">
        <w:t xml:space="preserve"> did </w:t>
      </w:r>
      <w:r w:rsidR="002E35CF">
        <w:t xml:space="preserve">successfully overturn the doctrine of coverture, in which </w:t>
      </w:r>
      <w:r w:rsidR="0062182D">
        <w:t xml:space="preserve">the person of woman would be absorbed into her husband; </w:t>
      </w:r>
      <w:r w:rsidR="000D4018">
        <w:t>where</w:t>
      </w:r>
      <w:r w:rsidR="0062182D">
        <w:t xml:space="preserve"> women’s suffrage succeed</w:t>
      </w:r>
      <w:r w:rsidR="000D4018">
        <w:t>ed</w:t>
      </w:r>
      <w:r w:rsidR="0062182D">
        <w:t xml:space="preserve"> in</w:t>
      </w:r>
      <w:r w:rsidR="000D4018">
        <w:t xml:space="preserve"> was only in</w:t>
      </w:r>
      <w:r w:rsidR="0062182D">
        <w:t xml:space="preserve"> </w:t>
      </w:r>
      <w:r w:rsidR="00BE1045">
        <w:t xml:space="preserve">Juniper and Pembina Territories, where </w:t>
      </w:r>
      <w:r w:rsidR="000D4018">
        <w:t xml:space="preserve">their high gender ratios and strong lobbying from the women’s rights movement </w:t>
      </w:r>
      <w:r w:rsidR="005A364B">
        <w:t xml:space="preserve">meant </w:t>
      </w:r>
      <w:r w:rsidR="00F505AF">
        <w:t>the</w:t>
      </w:r>
      <w:r w:rsidR="00145AD4">
        <w:t>ir legislatures</w:t>
      </w:r>
      <w:r w:rsidR="00F505AF">
        <w:t xml:space="preserve"> </w:t>
      </w:r>
      <w:r w:rsidR="005A364B">
        <w:t>passed it</w:t>
      </w:r>
      <w:r w:rsidR="006F56F1">
        <w:t xml:space="preserve">. Elsewhere, that the women’s rights movement was of a mere section of </w:t>
      </w:r>
      <w:r w:rsidR="004C4542">
        <w:t>the fringe abolitionist movement, meant that it was politically quite toxic</w:t>
      </w:r>
      <w:r w:rsidR="000D4018">
        <w:t xml:space="preserve">. </w:t>
      </w:r>
      <w:r w:rsidR="00605E71">
        <w:t>Several attempts to expand women’s suffrage in the 1850s entirely failed, and</w:t>
      </w:r>
      <w:r w:rsidR="002A6404">
        <w:t xml:space="preserve"> it would</w:t>
      </w:r>
      <w:r w:rsidR="001021BF">
        <w:t xml:space="preserve"> take the Liberty and Union War for the principle to </w:t>
      </w:r>
      <w:r w:rsidR="002F190A">
        <w:t>expand and</w:t>
      </w:r>
      <w:r w:rsidR="001021BF">
        <w:t xml:space="preserve"> finally prevail. </w:t>
      </w:r>
    </w:p>
    <w:p w14:paraId="439AAB58" w14:textId="7DA13DA0" w:rsidR="00EC3294" w:rsidRPr="00705738" w:rsidRDefault="00EC3294" w:rsidP="00705738">
      <w:r>
        <w:lastRenderedPageBreak/>
        <w:t>Thus, in the 1840s and 50s, the United States had quite strong</w:t>
      </w:r>
      <w:r w:rsidR="004F586B">
        <w:t xml:space="preserve"> </w:t>
      </w:r>
      <w:r w:rsidR="006D4D6B">
        <w:t>reform movements. Though none of them had</w:t>
      </w:r>
      <w:r w:rsidR="000E5B12">
        <w:t xml:space="preserve"> the</w:t>
      </w:r>
      <w:r w:rsidR="006D4D6B">
        <w:t xml:space="preserve"> support of </w:t>
      </w:r>
      <w:r w:rsidR="000E5B12">
        <w:t xml:space="preserve">anywhere near </w:t>
      </w:r>
      <w:proofErr w:type="gramStart"/>
      <w:r w:rsidR="000E5B12">
        <w:t>a majority of</w:t>
      </w:r>
      <w:proofErr w:type="gramEnd"/>
      <w:r w:rsidR="000E5B12">
        <w:t xml:space="preserve"> Americans, they were</w:t>
      </w:r>
      <w:r w:rsidR="00AA1305">
        <w:t xml:space="preserve"> still prominent and </w:t>
      </w:r>
      <w:r w:rsidR="007E2AF0">
        <w:t>made</w:t>
      </w:r>
      <w:r w:rsidR="00AA1305">
        <w:t xml:space="preserve"> </w:t>
      </w:r>
      <w:r w:rsidR="007E2AF0">
        <w:t>their</w:t>
      </w:r>
      <w:r w:rsidR="00AA1305">
        <w:t xml:space="preserve"> presence in society</w:t>
      </w:r>
      <w:r w:rsidR="007E2AF0">
        <w:t xml:space="preserve"> known</w:t>
      </w:r>
      <w:r w:rsidR="004F586B">
        <w:t>. They lay at the heart of America’s great contradictions, and they sought to resolve them</w:t>
      </w:r>
      <w:r w:rsidR="00AA1305">
        <w:t xml:space="preserve">. </w:t>
      </w:r>
      <w:r w:rsidR="00D13D59">
        <w:t>They all represented</w:t>
      </w:r>
      <w:r w:rsidR="007719CD">
        <w:t xml:space="preserve"> that</w:t>
      </w:r>
      <w:r w:rsidR="00D13D59">
        <w:t xml:space="preserve"> American society</w:t>
      </w:r>
      <w:r w:rsidR="007719CD">
        <w:t xml:space="preserve"> was </w:t>
      </w:r>
      <w:r w:rsidR="001F6630">
        <w:t>unstable; and it represented that,</w:t>
      </w:r>
      <w:r w:rsidR="00C11489">
        <w:t xml:space="preserve"> in time</w:t>
      </w:r>
      <w:r w:rsidR="007719CD">
        <w:t>,</w:t>
      </w:r>
      <w:r w:rsidR="00C11489">
        <w:t xml:space="preserve"> </w:t>
      </w:r>
      <w:r w:rsidR="008F6895">
        <w:t>change would swallow</w:t>
      </w:r>
      <w:r w:rsidR="007719CD">
        <w:t xml:space="preserve"> American society</w:t>
      </w:r>
      <w:r w:rsidR="008F6895">
        <w:t xml:space="preserve"> entirely</w:t>
      </w:r>
      <w:r w:rsidR="007719CD">
        <w:t xml:space="preserve">. </w:t>
      </w:r>
    </w:p>
    <w:p w14:paraId="6DF570C7" w14:textId="5804B6D9" w:rsidR="000B205D" w:rsidRDefault="000B205D" w:rsidP="000B205D">
      <w:r>
        <w:br w:type="page"/>
      </w:r>
    </w:p>
    <w:p w14:paraId="36B94B95" w14:textId="77777777" w:rsidR="003F6B0B" w:rsidRDefault="003F6B0B" w:rsidP="003F6B0B"/>
    <w:p w14:paraId="7D95622D" w14:textId="77777777" w:rsidR="003F6B0B" w:rsidRDefault="003F6B0B" w:rsidP="003F6B0B">
      <w:pPr>
        <w:sectPr w:rsidR="003F6B0B" w:rsidSect="003F6B0B">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6E44A63" w14:textId="77777777" w:rsidR="003F6B0B" w:rsidRDefault="003F6B0B" w:rsidP="003F6B0B">
      <w:r>
        <w:br w:type="page"/>
      </w:r>
    </w:p>
    <w:p w14:paraId="6D284080" w14:textId="570770CB" w:rsidR="00705738" w:rsidRDefault="003F6B0B" w:rsidP="003F6B0B">
      <w:pPr>
        <w:pStyle w:val="Heading1"/>
      </w:pPr>
      <w:bookmarkStart w:id="37" w:name="_Toc202006228"/>
      <w:r>
        <w:lastRenderedPageBreak/>
        <w:t>2</w:t>
      </w:r>
      <w:r w:rsidR="00C2388F">
        <w:t>9</w:t>
      </w:r>
      <w:r>
        <w:t>. Heaven and Hell</w:t>
      </w:r>
      <w:bookmarkEnd w:id="37"/>
    </w:p>
    <w:p w14:paraId="49505BF2" w14:textId="78C9B744" w:rsidR="003F6B0B" w:rsidRDefault="00C268CF" w:rsidP="003F6B0B">
      <w:r>
        <w:t>Thanks to t</w:t>
      </w:r>
      <w:r w:rsidR="00D54587">
        <w:t xml:space="preserve">he </w:t>
      </w:r>
      <w:r w:rsidR="00742EC2">
        <w:t>Erie Canal</w:t>
      </w:r>
      <w:r>
        <w:t>, Upstate New York</w:t>
      </w:r>
      <w:r w:rsidR="00742EC2">
        <w:t xml:space="preserve"> </w:t>
      </w:r>
      <w:r>
        <w:t>saw a massive flow of people both settling there and moving through it, and because a massive proportion of these people were from New Englander Puritan stock, this</w:t>
      </w:r>
      <w:r w:rsidR="00245ACB">
        <w:t xml:space="preserve"> region</w:t>
      </w:r>
      <w:r>
        <w:t xml:space="preserve"> </w:t>
      </w:r>
      <w:r w:rsidR="00245ACB">
        <w:t>saw</w:t>
      </w:r>
      <w:r>
        <w:t xml:space="preserve"> a huge religious revival</w:t>
      </w:r>
      <w:r w:rsidR="00D74736">
        <w:t xml:space="preserve">. The extent of this was such that the region was nicknamed the “Burnt Over District”, and though the bulk of this </w:t>
      </w:r>
      <w:r w:rsidR="00B0600E">
        <w:t xml:space="preserve">revival </w:t>
      </w:r>
      <w:r w:rsidR="00D74736">
        <w:t xml:space="preserve">was in the form of </w:t>
      </w:r>
      <w:r w:rsidR="00B0600E">
        <w:t xml:space="preserve">mainstream </w:t>
      </w:r>
      <w:r w:rsidR="009E41AB">
        <w:t>Methodism, several and far more fring</w:t>
      </w:r>
      <w:r w:rsidR="007935E0">
        <w:t xml:space="preserve">e ideas emerged. One of the most fringe ideas was </w:t>
      </w:r>
      <w:proofErr w:type="spellStart"/>
      <w:r w:rsidR="007935E0">
        <w:t>Swedenborgianism</w:t>
      </w:r>
      <w:proofErr w:type="spellEnd"/>
      <w:r w:rsidR="007935E0">
        <w:t xml:space="preserve">. </w:t>
      </w:r>
      <w:r w:rsidR="007C15A3">
        <w:t xml:space="preserve">This sect of Christianity </w:t>
      </w:r>
      <w:r w:rsidR="0017287C">
        <w:t>came from an eighteenth-century Swedish philosopher, Emanuel Swedenborg; after a series of visions</w:t>
      </w:r>
      <w:r w:rsidR="00BF622C">
        <w:t xml:space="preserve">, it culminated in him seeing what he perceived as a visit from Jesus Christ, who showed him Heaven and Hell, and it did not take long for </w:t>
      </w:r>
      <w:r w:rsidR="008E67FC">
        <w:t>him to write what he had seen</w:t>
      </w:r>
      <w:r w:rsidR="00B0755F">
        <w:t>. He believed what he had seen was nothing less than the Second Coming of the Lord</w:t>
      </w:r>
      <w:r w:rsidR="000D24FA">
        <w:t>, and these visions did not stop</w:t>
      </w:r>
      <w:r w:rsidR="00B0755F">
        <w:t>; in short succession, he believed he conversed with spirits from Mercury, Mars, Jupiter</w:t>
      </w:r>
      <w:r w:rsidR="00C1020F">
        <w:t>, and the Moon</w:t>
      </w:r>
      <w:r w:rsidR="008E67FC">
        <w:t xml:space="preserve">. This elucidated a philosophy, derived from </w:t>
      </w:r>
      <w:r w:rsidR="00FA42FC">
        <w:t xml:space="preserve">the most extreme elements of </w:t>
      </w:r>
      <w:r w:rsidR="008E67FC">
        <w:t>Christian mysticism</w:t>
      </w:r>
      <w:r w:rsidR="00FA42FC">
        <w:t>.</w:t>
      </w:r>
      <w:r w:rsidR="008E67FC">
        <w:t xml:space="preserve"> </w:t>
      </w:r>
      <w:r w:rsidR="004D020F">
        <w:t>This</w:t>
      </w:r>
      <w:r w:rsidR="008E67FC">
        <w:t xml:space="preserve"> included a </w:t>
      </w:r>
      <w:r w:rsidR="004C57EF">
        <w:t xml:space="preserve">belief that </w:t>
      </w:r>
      <w:r w:rsidR="00603B7D">
        <w:t>as one worships God, they slowly progressed towards God, they would become God itself</w:t>
      </w:r>
      <w:r w:rsidR="009C297B">
        <w:t xml:space="preserve">; that the soul was the seed of God and upon death became reborn </w:t>
      </w:r>
      <w:r w:rsidR="00A55960">
        <w:t>in the spiritual world</w:t>
      </w:r>
      <w:r w:rsidR="002E0C03">
        <w:t>, where in accordance to its nature it would fall to either Heaven or Hell</w:t>
      </w:r>
      <w:r w:rsidR="00070E3A">
        <w:t xml:space="preserve"> and turn to an angel or demon</w:t>
      </w:r>
      <w:r w:rsidR="002E0C03">
        <w:t xml:space="preserve">; </w:t>
      </w:r>
      <w:r w:rsidR="00834B80">
        <w:t xml:space="preserve">and the Bible to be rearranged, into a </w:t>
      </w:r>
      <w:r w:rsidR="00F74C5E">
        <w:t xml:space="preserve">new order and with a secret meaning elucidated </w:t>
      </w:r>
      <w:r w:rsidR="00027280">
        <w:t>by a book of its own</w:t>
      </w:r>
      <w:r w:rsidR="00603B7D">
        <w:t xml:space="preserve">. </w:t>
      </w:r>
      <w:r w:rsidR="0010126D">
        <w:t xml:space="preserve">Swedenborgians assembled themselves into what they called the New Church, considering themselves the assemblage of the New Jerusalem; from its origin in the British Isles, it spread to North America. Perhaps the most famous American Swedenborgian was John Chapman, better known as Johnny Appleseed, who planted apple trees </w:t>
      </w:r>
      <w:proofErr w:type="gramStart"/>
      <w:r w:rsidR="0010126D">
        <w:t>all across</w:t>
      </w:r>
      <w:proofErr w:type="gramEnd"/>
      <w:r w:rsidR="0010126D">
        <w:t xml:space="preserve"> the West; less well-known was that he </w:t>
      </w:r>
      <w:r w:rsidR="00883310">
        <w:t>did</w:t>
      </w:r>
      <w:r w:rsidR="0010126D">
        <w:t xml:space="preserve"> this as part of </w:t>
      </w:r>
      <w:r w:rsidR="00883310">
        <w:t xml:space="preserve">a holy mission to propagate </w:t>
      </w:r>
      <w:proofErr w:type="spellStart"/>
      <w:r w:rsidR="00883310">
        <w:t>Swedenborgianism</w:t>
      </w:r>
      <w:proofErr w:type="spellEnd"/>
      <w:r w:rsidR="00883310">
        <w:t xml:space="preserve">. </w:t>
      </w:r>
    </w:p>
    <w:p w14:paraId="2DFB8341" w14:textId="5CFF6D34" w:rsidR="00122A27" w:rsidRDefault="00122A27" w:rsidP="003F6B0B">
      <w:r>
        <w:lastRenderedPageBreak/>
        <w:t xml:space="preserve">More relevant for this </w:t>
      </w:r>
      <w:r w:rsidR="00F97D89">
        <w:t>chapter</w:t>
      </w:r>
      <w:r>
        <w:t xml:space="preserve">, though, is </w:t>
      </w:r>
      <w:proofErr w:type="spellStart"/>
      <w:r>
        <w:t>Swedenborgianism</w:t>
      </w:r>
      <w:proofErr w:type="spellEnd"/>
      <w:r>
        <w:t xml:space="preserve"> in </w:t>
      </w:r>
      <w:r w:rsidR="00516E2E">
        <w:t xml:space="preserve">the British Isles. </w:t>
      </w:r>
      <w:r w:rsidR="00B1168B">
        <w:t>Swedenborg himself</w:t>
      </w:r>
      <w:r w:rsidR="00516E2E">
        <w:t xml:space="preserve"> </w:t>
      </w:r>
      <w:r w:rsidR="00B1168B">
        <w:t xml:space="preserve">made his way into </w:t>
      </w:r>
      <w:r w:rsidR="001A1AF9">
        <w:t>the British Isles, and not long after his death his followers assembled</w:t>
      </w:r>
      <w:r w:rsidR="007532BB">
        <w:t xml:space="preserve"> as</w:t>
      </w:r>
      <w:r w:rsidR="001A1AF9">
        <w:t xml:space="preserve"> the New Church</w:t>
      </w:r>
      <w:r w:rsidR="00E75010">
        <w:t xml:space="preserve"> in 1787</w:t>
      </w:r>
      <w:r w:rsidR="00BC7C19">
        <w:t xml:space="preserve">, which regarded itself as nothing less than a New Jerusalem for the </w:t>
      </w:r>
      <w:r w:rsidR="00592A63">
        <w:t>world</w:t>
      </w:r>
      <w:r w:rsidR="001A1AF9">
        <w:t xml:space="preserve">. </w:t>
      </w:r>
      <w:r w:rsidR="006A48D5">
        <w:t xml:space="preserve">This would be further supplemented by the addition of </w:t>
      </w:r>
      <w:r w:rsidR="00A52692">
        <w:t>followers of George Rapp</w:t>
      </w:r>
      <w:r w:rsidR="00592A63">
        <w:t>.</w:t>
      </w:r>
      <w:r w:rsidR="00A52692">
        <w:t xml:space="preserve"> </w:t>
      </w:r>
      <w:r w:rsidR="00592A63">
        <w:t>T</w:t>
      </w:r>
      <w:r w:rsidR="00A52692">
        <w:t xml:space="preserve">his mystical sect itself emerged </w:t>
      </w:r>
      <w:r w:rsidR="004F7DAB">
        <w:t>in Germany, in what was then the Duchy of Wurttemberg</w:t>
      </w:r>
      <w:r w:rsidR="00CF1AAB">
        <w:t xml:space="preserve">; Rapp declared himself a prophet, </w:t>
      </w:r>
      <w:r w:rsidR="0045610C">
        <w:t>called for the ownership of goods in common</w:t>
      </w:r>
      <w:r w:rsidR="00ED7F8C">
        <w:t xml:space="preserve">, </w:t>
      </w:r>
      <w:r w:rsidR="0088675A">
        <w:t>advocated</w:t>
      </w:r>
      <w:r w:rsidR="00ED7F8C">
        <w:t xml:space="preserve"> celibacy</w:t>
      </w:r>
      <w:r w:rsidR="0045610C">
        <w:t xml:space="preserve">, and </w:t>
      </w:r>
      <w:r w:rsidR="00EE1056">
        <w:t>spoke of</w:t>
      </w:r>
      <w:r w:rsidR="00B45307">
        <w:t xml:space="preserve"> worshipping</w:t>
      </w:r>
      <w:r w:rsidR="00EE1056">
        <w:t xml:space="preserve"> divine wisdom as embodied by the “Virgin Sophia”</w:t>
      </w:r>
      <w:r w:rsidR="007312BB">
        <w:t>. These heterodox beliefs were not well tolerated by the Germany of the era</w:t>
      </w:r>
      <w:r w:rsidR="00EE1056">
        <w:t xml:space="preserve">. After the Wurttemberg government began to prosecute Rapp, he and his Harmony Society ended up forced to flee; most of them fled to the United States, but a large section of them instead fled to the British Isles. With Rapp drawing much of his own mysticism from Swedenborg, it did not take long for the British Harmony Society to </w:t>
      </w:r>
      <w:r w:rsidR="00846529">
        <w:t xml:space="preserve">become part of the New Church, and its own ideas, including </w:t>
      </w:r>
      <w:r w:rsidR="007312BB">
        <w:t>worship</w:t>
      </w:r>
      <w:r w:rsidR="00846529">
        <w:t xml:space="preserve"> of the “Virgin Sophia”, to become part of it. </w:t>
      </w:r>
      <w:r w:rsidR="001836AE">
        <w:t xml:space="preserve">These increasingly esoteric and, to the British government, un-Christian ideas were </w:t>
      </w:r>
      <w:r w:rsidR="00D2285D">
        <w:t xml:space="preserve">increasingly scrutinized; with the involvement of </w:t>
      </w:r>
      <w:r w:rsidR="003F07F2">
        <w:t>political</w:t>
      </w:r>
      <w:r w:rsidR="00464306">
        <w:t xml:space="preserve"> radicals in the New Church, this was all it needed to </w:t>
      </w:r>
      <w:r w:rsidR="00A52B1F">
        <w:t>launch prosecutions</w:t>
      </w:r>
      <w:r w:rsidR="00FE6EE5">
        <w:t xml:space="preserve"> over the course of the 1820s</w:t>
      </w:r>
      <w:r w:rsidR="001500F7">
        <w:rPr>
          <w:rStyle w:val="EndnoteReference"/>
        </w:rPr>
        <w:endnoteReference w:id="129"/>
      </w:r>
      <w:r w:rsidR="00464306">
        <w:t xml:space="preserve">. The New Church found its </w:t>
      </w:r>
      <w:r w:rsidR="005849AC">
        <w:t xml:space="preserve">licenses revoked, and with the arch-traditionalist tilt of the British government, it did not take long </w:t>
      </w:r>
      <w:r w:rsidR="004B5123">
        <w:t>it to prosecute Swedenborgians for blasphemy</w:t>
      </w:r>
      <w:r w:rsidR="005849AC">
        <w:t xml:space="preserve">. </w:t>
      </w:r>
      <w:r w:rsidR="004B5123">
        <w:t>Though the Popular Revolution</w:t>
      </w:r>
      <w:r w:rsidR="00351C8D">
        <w:t xml:space="preserve"> in 1827</w:t>
      </w:r>
      <w:r w:rsidR="004B5123">
        <w:t xml:space="preserve"> found them liberated from their jails</w:t>
      </w:r>
      <w:r w:rsidR="00854F31">
        <w:t xml:space="preserve"> along with other dissenting Protestants</w:t>
      </w:r>
      <w:r w:rsidR="004B5123">
        <w:t xml:space="preserve">, and </w:t>
      </w:r>
      <w:r w:rsidR="00577108">
        <w:t xml:space="preserve">though </w:t>
      </w:r>
      <w:r w:rsidR="004B5123">
        <w:t xml:space="preserve">the new Charter granted them </w:t>
      </w:r>
      <w:r w:rsidR="00254662">
        <w:t>religious liberty</w:t>
      </w:r>
      <w:r w:rsidR="002B6A24">
        <w:t xml:space="preserve"> and abolished all remaining blasphemy laws</w:t>
      </w:r>
      <w:r w:rsidR="004B5123">
        <w:t>, the British public by and large considered the Swedenborgians to be un-Christian polytheists</w:t>
      </w:r>
      <w:r w:rsidR="00D951AB">
        <w:t>. Whether they should even stay in the British Isles became something of a topic of debate</w:t>
      </w:r>
      <w:r w:rsidR="00DB1DD8">
        <w:t xml:space="preserve">. The movement also found itself splintering; one section of this was led by </w:t>
      </w:r>
      <w:r w:rsidR="006000E7">
        <w:t xml:space="preserve">one Bernard Muller. </w:t>
      </w:r>
    </w:p>
    <w:p w14:paraId="577253D9" w14:textId="200174C6" w:rsidR="00A37FC9" w:rsidRDefault="00A37FC9" w:rsidP="003F6B0B">
      <w:r>
        <w:t xml:space="preserve">Bernard Muller was </w:t>
      </w:r>
      <w:r w:rsidR="00B9727E">
        <w:t xml:space="preserve">a </w:t>
      </w:r>
      <w:proofErr w:type="spellStart"/>
      <w:r w:rsidR="00B9727E">
        <w:t>Rappite</w:t>
      </w:r>
      <w:proofErr w:type="spellEnd"/>
      <w:r w:rsidR="00B9727E">
        <w:t>, if an unorthodox one</w:t>
      </w:r>
      <w:r>
        <w:t xml:space="preserve">; </w:t>
      </w:r>
      <w:r w:rsidR="00FD40E5">
        <w:t xml:space="preserve">as his section split itself from the rest of the New Church, </w:t>
      </w:r>
      <w:r>
        <w:t xml:space="preserve">he </w:t>
      </w:r>
      <w:r w:rsidR="00B9727E">
        <w:t xml:space="preserve">gave himself a massive assortment of titles, including the </w:t>
      </w:r>
      <w:r w:rsidR="00407326">
        <w:t xml:space="preserve">“Count de Leon”, </w:t>
      </w:r>
      <w:r w:rsidR="00407326">
        <w:lastRenderedPageBreak/>
        <w:t xml:space="preserve">and </w:t>
      </w:r>
      <w:r w:rsidR="0047213B">
        <w:t xml:space="preserve">he declared himself the “Lion of Judah”, to reestablish the “Kingdom of Israel” under his personal leadership. </w:t>
      </w:r>
      <w:r w:rsidR="004D3E31">
        <w:t>With his impressive charisma, he gained a considerable following within, and even without</w:t>
      </w:r>
      <w:r w:rsidR="00DD71AD">
        <w:t xml:space="preserve">, the </w:t>
      </w:r>
      <w:r w:rsidR="00B74B75">
        <w:t>New Church; to cheering crowds, he recited visions he received from Emanuel Swedenborg, George Rapp, the Virgin Sophia, Jesus Christ</w:t>
      </w:r>
      <w:r w:rsidR="00937E7D">
        <w:t>, and the formless God himself</w:t>
      </w:r>
      <w:r w:rsidR="00B74B75">
        <w:t xml:space="preserve">. </w:t>
      </w:r>
      <w:r w:rsidR="00E81F0E">
        <w:t xml:space="preserve">But with the chaotic post-revolutionary British climate being such as it was, </w:t>
      </w:r>
      <w:r w:rsidR="007E5259">
        <w:t xml:space="preserve">Muller found himself at the bad end of not only </w:t>
      </w:r>
      <w:proofErr w:type="gramStart"/>
      <w:r w:rsidR="007E5259">
        <w:t>Orange</w:t>
      </w:r>
      <w:proofErr w:type="gramEnd"/>
      <w:r w:rsidR="007E5259">
        <w:t xml:space="preserve"> mobs, but also </w:t>
      </w:r>
      <w:r w:rsidR="000126AE">
        <w:t xml:space="preserve">the National Volunteers, the </w:t>
      </w:r>
      <w:proofErr w:type="spellStart"/>
      <w:r w:rsidR="000126AE">
        <w:t>Ribbonmen</w:t>
      </w:r>
      <w:proofErr w:type="spellEnd"/>
      <w:r w:rsidR="000126AE">
        <w:t>, and virtually every other political organization</w:t>
      </w:r>
      <w:r w:rsidR="004311E4">
        <w:t>, which saw him as nothing less than a “British Muhammad” who would end up</w:t>
      </w:r>
      <w:r w:rsidR="0069069E">
        <w:t xml:space="preserve"> leading his own religion</w:t>
      </w:r>
      <w:r w:rsidR="000126AE">
        <w:t xml:space="preserve">. </w:t>
      </w:r>
      <w:r w:rsidR="00183BEB">
        <w:t xml:space="preserve">With this, in 1834, Muller made a final decision. He called for his followers to </w:t>
      </w:r>
      <w:r w:rsidR="006730CE">
        <w:t xml:space="preserve">come with him into the United States, and they did. </w:t>
      </w:r>
    </w:p>
    <w:p w14:paraId="059D9F88" w14:textId="02AC66A4" w:rsidR="00482AF6" w:rsidRDefault="00AD6502" w:rsidP="003F6B0B">
      <w:r>
        <w:t xml:space="preserve">They made </w:t>
      </w:r>
      <w:r w:rsidR="00EA6674">
        <w:t>their</w:t>
      </w:r>
      <w:r>
        <w:t xml:space="preserve"> way into New York, and travelling up the Erie Canal, they </w:t>
      </w:r>
      <w:r w:rsidR="00B973CF">
        <w:t xml:space="preserve">set up camp </w:t>
      </w:r>
      <w:r w:rsidR="00847A81">
        <w:t>near</w:t>
      </w:r>
      <w:r w:rsidR="00B973CF">
        <w:t xml:space="preserve"> Rochester</w:t>
      </w:r>
      <w:r w:rsidR="00B26068">
        <w:t>, just outside it in a commune he declared “New Philadelphia”</w:t>
      </w:r>
      <w:r w:rsidR="00B973CF">
        <w:t xml:space="preserve">. </w:t>
      </w:r>
      <w:r w:rsidR="00640F5D">
        <w:t xml:space="preserve">Here, Muller </w:t>
      </w:r>
      <w:r w:rsidR="00354414">
        <w:t>with</w:t>
      </w:r>
      <w:r w:rsidR="00640F5D">
        <w:t xml:space="preserve"> his self-styled aristocratic titles</w:t>
      </w:r>
      <w:r w:rsidR="00AC10D7">
        <w:t>, and his followers</w:t>
      </w:r>
      <w:r w:rsidR="00640F5D">
        <w:t xml:space="preserve"> were simply yet another strange scene in the </w:t>
      </w:r>
      <w:r w:rsidR="00C819F8">
        <w:t>religious ferment of the region</w:t>
      </w:r>
      <w:r w:rsidR="00CA1CFD">
        <w:t xml:space="preserve">. Combining local ideas of </w:t>
      </w:r>
      <w:r w:rsidR="007630FB">
        <w:t>astrology and spiritism, he</w:t>
      </w:r>
      <w:r w:rsidR="00C026EA">
        <w:t xml:space="preserve"> was perfectly able to adjust, and</w:t>
      </w:r>
      <w:r w:rsidR="00CA1CFD">
        <w:t xml:space="preserve"> </w:t>
      </w:r>
      <w:r w:rsidR="00C819F8">
        <w:t xml:space="preserve">in the favorable climate of the </w:t>
      </w:r>
      <w:r w:rsidR="003C12BE">
        <w:t>area</w:t>
      </w:r>
      <w:r w:rsidR="005001BF">
        <w:t>, he attracted a massive number of disciples</w:t>
      </w:r>
      <w:r w:rsidR="00270942">
        <w:t>.</w:t>
      </w:r>
      <w:r w:rsidR="005001BF">
        <w:t xml:space="preserve"> </w:t>
      </w:r>
      <w:r w:rsidR="00270942">
        <w:t>T</w:t>
      </w:r>
      <w:r w:rsidR="005001BF">
        <w:t>hese followers called themselves the “New Canaanites”, with their explicit desire being to establish a New Canaan somewhere in North America</w:t>
      </w:r>
      <w:r w:rsidR="00EC0366">
        <w:t xml:space="preserve"> – hardly an unusual goal given what New England had been founded as. Despite their self-denomination, </w:t>
      </w:r>
      <w:r w:rsidR="00161177">
        <w:t xml:space="preserve">they would become known, outside their membership, as the </w:t>
      </w:r>
      <w:proofErr w:type="spellStart"/>
      <w:r w:rsidR="00161177">
        <w:t>Sophians</w:t>
      </w:r>
      <w:proofErr w:type="spellEnd"/>
      <w:r w:rsidR="005001BF">
        <w:t xml:space="preserve">. Their churches, with statues of the “Virgin Sophia” at the front, distinguished them from the </w:t>
      </w:r>
      <w:r w:rsidR="00DC704D">
        <w:t>normal revivalist churches of the area</w:t>
      </w:r>
      <w:r w:rsidR="00D95823">
        <w:t>.</w:t>
      </w:r>
      <w:r w:rsidR="00DC704D">
        <w:t xml:space="preserve"> </w:t>
      </w:r>
      <w:r w:rsidR="00D95823">
        <w:t>T</w:t>
      </w:r>
      <w:r w:rsidR="00DC704D">
        <w:t xml:space="preserve">heir theologies, with ideas that one who worshipped God, became God; </w:t>
      </w:r>
      <w:r w:rsidR="00B96E2F">
        <w:t xml:space="preserve">that Swedenborg, Rapp, and Muller were successor prophets of Jesus Christ; and that </w:t>
      </w:r>
      <w:r w:rsidR="00DE5525">
        <w:t>angels and demons were simply different states of man; were weird even by the standards of the Burnt-Over District</w:t>
      </w:r>
      <w:r w:rsidR="00652B8F">
        <w:t>, and slowly</w:t>
      </w:r>
      <w:r w:rsidR="00484AF0">
        <w:t xml:space="preserve"> others noticed</w:t>
      </w:r>
      <w:r w:rsidR="00DE5525">
        <w:t xml:space="preserve">. </w:t>
      </w:r>
      <w:r w:rsidR="005320B2">
        <w:t xml:space="preserve">It would not take too long for other nearby religious revivalists, who considered Muller nothing less than the American Muhammad, to launch violent attacks; </w:t>
      </w:r>
      <w:r w:rsidR="00483C47">
        <w:t xml:space="preserve">in 1843, </w:t>
      </w:r>
      <w:r w:rsidR="005320B2">
        <w:t>a mob</w:t>
      </w:r>
      <w:r w:rsidR="00483C47">
        <w:t xml:space="preserve"> from</w:t>
      </w:r>
      <w:r w:rsidR="005320B2">
        <w:t xml:space="preserve"> </w:t>
      </w:r>
      <w:r w:rsidR="00F312FA">
        <w:t xml:space="preserve">Rochester </w:t>
      </w:r>
      <w:r w:rsidR="005320B2">
        <w:t xml:space="preserve">beat Muller, </w:t>
      </w:r>
      <w:r w:rsidR="005320B2">
        <w:lastRenderedPageBreak/>
        <w:t>nearly to death</w:t>
      </w:r>
      <w:r w:rsidR="00791BB4">
        <w:rPr>
          <w:rStyle w:val="EndnoteReference"/>
        </w:rPr>
        <w:endnoteReference w:id="130"/>
      </w:r>
      <w:r w:rsidR="005320B2">
        <w:t xml:space="preserve">. </w:t>
      </w:r>
      <w:r w:rsidR="00B26068">
        <w:t>But he lived and recovered</w:t>
      </w:r>
      <w:r w:rsidR="00161177">
        <w:t xml:space="preserve">, and the </w:t>
      </w:r>
      <w:proofErr w:type="spellStart"/>
      <w:r w:rsidR="00161177">
        <w:t>Sophians</w:t>
      </w:r>
      <w:proofErr w:type="spellEnd"/>
      <w:r w:rsidR="00161177">
        <w:t xml:space="preserve"> continued to consider him their leader</w:t>
      </w:r>
      <w:r w:rsidR="003847C5">
        <w:t>; indeed, this gave him something of an aura of martyrdom, and through it he was able to expand his flock further</w:t>
      </w:r>
      <w:r w:rsidR="00482AF6">
        <w:t xml:space="preserve">. </w:t>
      </w:r>
    </w:p>
    <w:p w14:paraId="763AFF1C" w14:textId="6D3155D2" w:rsidR="00833F7E" w:rsidRDefault="00482AF6" w:rsidP="003F6B0B">
      <w:r>
        <w:t xml:space="preserve">After his recovery, he declared that while he was in </w:t>
      </w:r>
      <w:r w:rsidR="00AD662A">
        <w:t>his</w:t>
      </w:r>
      <w:r>
        <w:t xml:space="preserve"> coma, he had been transported into the spirit world </w:t>
      </w:r>
      <w:r w:rsidR="00087D50">
        <w:t>in the body of</w:t>
      </w:r>
      <w:r>
        <w:t xml:space="preserve"> an angel and travelled to Heaven</w:t>
      </w:r>
      <w:r w:rsidR="00CB2B96">
        <w:t xml:space="preserve"> to receive messages from Swedenborg, Rapp, and Jesus</w:t>
      </w:r>
      <w:r w:rsidR="009E416D">
        <w:t xml:space="preserve"> and serve as their representative on Earth</w:t>
      </w:r>
      <w:r w:rsidR="00D85C3C">
        <w:t xml:space="preserve">. With this new divine knowledge in hand, </w:t>
      </w:r>
      <w:r>
        <w:t>he declared that they</w:t>
      </w:r>
      <w:r w:rsidR="009E5DBB">
        <w:t xml:space="preserve"> should</w:t>
      </w:r>
      <w:r>
        <w:t xml:space="preserve"> travel to the West, to the Pacific</w:t>
      </w:r>
      <w:r w:rsidR="0025215A">
        <w:t>, where they could establish a kingdom of God</w:t>
      </w:r>
      <w:r w:rsidR="00B947A2">
        <w:t xml:space="preserve"> in what he called the “spiritual antipode” of Jerusalem</w:t>
      </w:r>
      <w:r w:rsidR="00A3363E">
        <w:rPr>
          <w:rStyle w:val="EndnoteReference"/>
        </w:rPr>
        <w:endnoteReference w:id="131"/>
      </w:r>
      <w:r w:rsidR="005A7E76">
        <w:t xml:space="preserve">. Most </w:t>
      </w:r>
      <w:proofErr w:type="spellStart"/>
      <w:r w:rsidR="009E5DBB">
        <w:t>Sophians</w:t>
      </w:r>
      <w:proofErr w:type="spellEnd"/>
      <w:r w:rsidR="005A7E76">
        <w:t>, considering his survival from the mob clear evidence of his powers of divinity, agreed</w:t>
      </w:r>
      <w:r>
        <w:t xml:space="preserve">. </w:t>
      </w:r>
      <w:r w:rsidR="00833F7E">
        <w:t>This was not an unprecedented act; the Oregon Country, along the Columbia River, had slowly seen European encroachment, reports of the land being lush with fur, and though most of this trade was done over the sea – the Russian, Spanish, and British trading posts in the area a testament to this – a land path had been lain</w:t>
      </w:r>
      <w:r w:rsidR="004328C7">
        <w:t>, first by Canadian trappers and then by Americans following them</w:t>
      </w:r>
      <w:r w:rsidR="00833F7E">
        <w:t>, and in this era the slow track of mountain men was slowly being supplemented with a flow of farmers</w:t>
      </w:r>
      <w:r w:rsidR="00555FB1">
        <w:t xml:space="preserve"> and, after discoveries in Australia, men hungry for gold</w:t>
      </w:r>
      <w:r w:rsidR="000524C3">
        <w:t xml:space="preserve">. </w:t>
      </w:r>
      <w:r w:rsidR="00911829">
        <w:t>Nor was the idea of travelling to a land to establish a new godly state</w:t>
      </w:r>
      <w:r w:rsidR="00B16841">
        <w:t xml:space="preserve"> an innovative one; famously, Puritans founded New England in keeping with their Protestant ideals. More recently, in Southern Africa, the Boers were making their way from the Cape to establish a new state free from the godless Age of Reason that they believed their Dutch overlords represented</w:t>
      </w:r>
      <w:r w:rsidR="00833F7E">
        <w:t xml:space="preserve">. </w:t>
      </w:r>
      <w:r w:rsidR="00B16841">
        <w:t>However, none of this</w:t>
      </w:r>
      <w:r w:rsidR="00833F7E">
        <w:t xml:space="preserve"> </w:t>
      </w:r>
      <w:r w:rsidR="00B16841">
        <w:t xml:space="preserve">did not stop that </w:t>
      </w:r>
      <w:r w:rsidR="00833F7E">
        <w:t xml:space="preserve">it would be a spectacular feat to travel to a land that, as with the Pilgrims of old, would give the </w:t>
      </w:r>
      <w:proofErr w:type="spellStart"/>
      <w:r w:rsidR="00833F7E">
        <w:t>Sophians</w:t>
      </w:r>
      <w:proofErr w:type="spellEnd"/>
      <w:r w:rsidR="00833F7E">
        <w:t xml:space="preserve"> room to establish a </w:t>
      </w:r>
      <w:r w:rsidR="00641141">
        <w:t>C</w:t>
      </w:r>
      <w:r w:rsidR="00833F7E">
        <w:t xml:space="preserve">ity on a </w:t>
      </w:r>
      <w:r w:rsidR="00641141">
        <w:t>H</w:t>
      </w:r>
      <w:r w:rsidR="00833F7E">
        <w:t>ill</w:t>
      </w:r>
      <w:r w:rsidR="00641141">
        <w:t>, in a state of absolute godliness</w:t>
      </w:r>
      <w:r w:rsidR="00833F7E">
        <w:t xml:space="preserve">. </w:t>
      </w:r>
    </w:p>
    <w:p w14:paraId="73C09D25" w14:textId="7260991B" w:rsidR="004165AF" w:rsidRDefault="00482AF6" w:rsidP="003F6B0B">
      <w:r>
        <w:t>The resulting travel</w:t>
      </w:r>
      <w:r w:rsidR="0079100C">
        <w:t>, after an initial vanguard party</w:t>
      </w:r>
      <w:r w:rsidR="00C5325F">
        <w:t xml:space="preserve"> successfully made their way across</w:t>
      </w:r>
      <w:r w:rsidR="00FA5CCC">
        <w:t xml:space="preserve"> to the </w:t>
      </w:r>
      <w:r w:rsidR="00371E2D">
        <w:t xml:space="preserve">target </w:t>
      </w:r>
      <w:r w:rsidR="00FA5CCC">
        <w:t>destination</w:t>
      </w:r>
      <w:r w:rsidR="0079100C">
        <w:t>,</w:t>
      </w:r>
      <w:r>
        <w:t xml:space="preserve"> would be a long feat; they travelled along the Erie Canal, and then </w:t>
      </w:r>
      <w:r w:rsidR="005A7E76">
        <w:t xml:space="preserve">from </w:t>
      </w:r>
      <w:r w:rsidR="005A7E76">
        <w:lastRenderedPageBreak/>
        <w:t>Sandusky to the Ohio River, and from there all the way to St. Louis</w:t>
      </w:r>
      <w:r w:rsidR="00D741BE">
        <w:t xml:space="preserve">. All the while, </w:t>
      </w:r>
      <w:r w:rsidR="0026089A">
        <w:t>they</w:t>
      </w:r>
      <w:r w:rsidR="00D741BE">
        <w:t xml:space="preserve"> w</w:t>
      </w:r>
      <w:r w:rsidR="0026089A">
        <w:t>ere</w:t>
      </w:r>
      <w:r w:rsidR="00D741BE">
        <w:t xml:space="preserve"> met with</w:t>
      </w:r>
      <w:r w:rsidR="0026089A">
        <w:t xml:space="preserve"> nothing but scorn, especially in St. Louis where their New Englander aversion of slavery was a bad fit</w:t>
      </w:r>
      <w:r w:rsidR="00B71690">
        <w:t xml:space="preserve"> for what was slave country</w:t>
      </w:r>
      <w:r w:rsidR="005A7E76">
        <w:t xml:space="preserve">. </w:t>
      </w:r>
      <w:r w:rsidR="009A5F9A">
        <w:t xml:space="preserve">From here, he declared </w:t>
      </w:r>
      <w:r w:rsidR="00572346">
        <w:t>they</w:t>
      </w:r>
      <w:r w:rsidR="009A5F9A">
        <w:t xml:space="preserve"> should make their way to Fort Independence on the </w:t>
      </w:r>
      <w:proofErr w:type="spellStart"/>
      <w:r w:rsidR="009A5F9A">
        <w:t>Cansa</w:t>
      </w:r>
      <w:proofErr w:type="spellEnd"/>
      <w:r w:rsidR="009A5F9A">
        <w:t xml:space="preserve"> River</w:t>
      </w:r>
      <w:r w:rsidR="00C866AA">
        <w:t>, and then from wagon across the Interior to the Pacific, to Vancouver Island</w:t>
      </w:r>
      <w:r w:rsidR="00B6436E">
        <w:t xml:space="preserve">. The settlement of this </w:t>
      </w:r>
      <w:r w:rsidR="00396F18">
        <w:t>Oregon Country</w:t>
      </w:r>
      <w:r w:rsidR="00B6436E">
        <w:t xml:space="preserve">, </w:t>
      </w:r>
      <w:r w:rsidR="00DF7043">
        <w:t>along the Columbia River, was slowly beginning in this period;</w:t>
      </w:r>
      <w:r w:rsidR="006F1085">
        <w:t xml:space="preserve"> it being </w:t>
      </w:r>
      <w:r w:rsidR="00365F49">
        <w:t>a region</w:t>
      </w:r>
      <w:r w:rsidR="006F1085">
        <w:t xml:space="preserve"> disputed by the Russians, Spanish, and </w:t>
      </w:r>
      <w:r w:rsidR="0011051F">
        <w:t>British</w:t>
      </w:r>
      <w:r w:rsidR="00677428">
        <w:t>, with a steady but still modest stream of American settlers</w:t>
      </w:r>
      <w:r w:rsidR="006F1085">
        <w:t xml:space="preserve">, </w:t>
      </w:r>
      <w:r w:rsidR="00292AE9">
        <w:t>it</w:t>
      </w:r>
      <w:r w:rsidR="004A4754">
        <w:t xml:space="preserve"> was</w:t>
      </w:r>
      <w:r w:rsidR="00292AE9">
        <w:t xml:space="preserve"> prime territory for </w:t>
      </w:r>
      <w:r w:rsidR="00156C60">
        <w:t>establishing a state of some sort. The ensuing travel along the so-called Oregon Trail</w:t>
      </w:r>
      <w:r w:rsidR="002F77D0">
        <w:t xml:space="preserve"> </w:t>
      </w:r>
      <w:r w:rsidR="00156C60">
        <w:t>was a perilous one, which saw several waves of wagons making their way</w:t>
      </w:r>
      <w:r w:rsidR="00090FF4">
        <w:t xml:space="preserve"> there</w:t>
      </w:r>
      <w:r w:rsidR="00D546D1">
        <w:t>, and several did</w:t>
      </w:r>
      <w:r w:rsidR="009815FD">
        <w:t xml:space="preserve"> get destroyed either by hunger or attacks by the Indigenous</w:t>
      </w:r>
      <w:r w:rsidR="00717042">
        <w:t>, with one particularly infamous case of cannibalism</w:t>
      </w:r>
      <w:r w:rsidR="00090FF4">
        <w:t xml:space="preserve"> – but they did make their way </w:t>
      </w:r>
      <w:r w:rsidR="00496FEE">
        <w:t>there.</w:t>
      </w:r>
      <w:r w:rsidR="00090FF4">
        <w:t xml:space="preserve"> </w:t>
      </w:r>
    </w:p>
    <w:p w14:paraId="1F3D1AD4" w14:textId="38C1AE17" w:rsidR="005679C9" w:rsidRDefault="0018053D" w:rsidP="003F6B0B">
      <w:r>
        <w:t>A</w:t>
      </w:r>
      <w:r w:rsidR="000279CE">
        <w:t>t Vancouver</w:t>
      </w:r>
      <w:r w:rsidR="000F5821">
        <w:t xml:space="preserve"> and Quadra</w:t>
      </w:r>
      <w:r w:rsidR="000279CE">
        <w:t xml:space="preserve"> Island, Muller established what was, for all intents and purposes, a theocracy with himself at his head, and he declared it </w:t>
      </w:r>
      <w:r w:rsidR="0023560C">
        <w:t>“</w:t>
      </w:r>
      <w:r w:rsidR="000279CE">
        <w:t>New Canaan</w:t>
      </w:r>
      <w:r w:rsidR="0023560C">
        <w:t>”</w:t>
      </w:r>
      <w:r w:rsidR="006D7187">
        <w:t>,</w:t>
      </w:r>
      <w:r w:rsidR="000279CE">
        <w:t xml:space="preserve"> with its capital</w:t>
      </w:r>
      <w:r w:rsidR="00C47D3C">
        <w:t xml:space="preserve"> the port of</w:t>
      </w:r>
      <w:r w:rsidR="000279CE">
        <w:t xml:space="preserve"> New Jerusalem</w:t>
      </w:r>
      <w:r>
        <w:t xml:space="preserve"> centered around what he declared the “Third Holy Temple of Jerusalem”</w:t>
      </w:r>
      <w:r w:rsidR="00F05346">
        <w:t xml:space="preserve">. </w:t>
      </w:r>
      <w:r w:rsidR="00C05743">
        <w:t xml:space="preserve">A </w:t>
      </w:r>
      <w:proofErr w:type="gramStart"/>
      <w:r w:rsidR="00C05743">
        <w:t>meticulously-planned</w:t>
      </w:r>
      <w:proofErr w:type="gramEnd"/>
      <w:r w:rsidR="00C05743">
        <w:t xml:space="preserve"> society, every town on the island was to be </w:t>
      </w:r>
      <w:r w:rsidR="003D0D29">
        <w:t>the same in miniature</w:t>
      </w:r>
      <w:r w:rsidR="00B11B11">
        <w:t>, taking advantage of the boom in urban planning that had consumed the Anglo-American world</w:t>
      </w:r>
      <w:r w:rsidR="00A30BA7">
        <w:t xml:space="preserve">. Additionally, </w:t>
      </w:r>
      <w:r w:rsidR="00FB5C11">
        <w:t>Muller</w:t>
      </w:r>
      <w:r w:rsidR="00A30BA7">
        <w:t xml:space="preserve"> triumphally declared the state open to the world</w:t>
      </w:r>
      <w:r w:rsidR="00FB5C11">
        <w:t>; for all that he de</w:t>
      </w:r>
      <w:r w:rsidR="002F40EF">
        <w:t>clared he wanted to convert humanity from materialism to</w:t>
      </w:r>
      <w:r w:rsidR="00C853F8">
        <w:t xml:space="preserve"> spiritualism, he did believe prosperity a precondition to spiritual enlightenment</w:t>
      </w:r>
      <w:r w:rsidR="000279CE">
        <w:t xml:space="preserve">. </w:t>
      </w:r>
      <w:r w:rsidR="00CA2D70">
        <w:t xml:space="preserve">Here, the old and still-ill </w:t>
      </w:r>
      <w:r w:rsidR="00FB5C11">
        <w:t>prophet</w:t>
      </w:r>
      <w:r w:rsidR="00CA2D70">
        <w:t xml:space="preserve"> died in 1847 – </w:t>
      </w:r>
      <w:r w:rsidR="00A6710B">
        <w:t xml:space="preserve">the </w:t>
      </w:r>
      <w:proofErr w:type="spellStart"/>
      <w:r w:rsidR="00A6710B">
        <w:t>Sophians</w:t>
      </w:r>
      <w:proofErr w:type="spellEnd"/>
      <w:r w:rsidR="00A6710B">
        <w:t xml:space="preserve"> </w:t>
      </w:r>
      <w:r w:rsidR="00CA2D70">
        <w:t>consider him as having become God</w:t>
      </w:r>
      <w:r w:rsidR="00992998">
        <w:t xml:space="preserve"> upon his death</w:t>
      </w:r>
      <w:r w:rsidR="00CA2D70">
        <w:t xml:space="preserve"> – </w:t>
      </w:r>
      <w:r w:rsidR="002246BA">
        <w:t xml:space="preserve">but with the succession secure. </w:t>
      </w:r>
      <w:r w:rsidR="00CA1C0E">
        <w:t>T</w:t>
      </w:r>
      <w:r w:rsidR="00CA2D70">
        <w:t>he ensuing “Kingdom of New Canaan”</w:t>
      </w:r>
      <w:r w:rsidR="00CA1C0E">
        <w:t xml:space="preserve"> was governed under a constitution which took many of its names from olden Israel, </w:t>
      </w:r>
      <w:r w:rsidR="00D63B69">
        <w:t>from its leader being called a “</w:t>
      </w:r>
      <w:proofErr w:type="spellStart"/>
      <w:r w:rsidR="00D63B69">
        <w:t>Shoffet</w:t>
      </w:r>
      <w:proofErr w:type="spellEnd"/>
      <w:r w:rsidR="00D63B69">
        <w:t>” to its legislature being named the “</w:t>
      </w:r>
      <w:proofErr w:type="spellStart"/>
      <w:r w:rsidR="00D63B69">
        <w:t>Canesset</w:t>
      </w:r>
      <w:proofErr w:type="spellEnd"/>
      <w:r w:rsidR="00D63B69">
        <w:t>”, or the judiciary being called the “Sanhedrin” – but in structure it resembled little more than</w:t>
      </w:r>
      <w:r w:rsidR="00160783">
        <w:t xml:space="preserve"> the tried-and-tested constitution</w:t>
      </w:r>
      <w:r w:rsidR="00805402">
        <w:t xml:space="preserve"> of most American states</w:t>
      </w:r>
      <w:r w:rsidR="00260827">
        <w:t xml:space="preserve">, which Muller had previously </w:t>
      </w:r>
      <w:r w:rsidR="00336B92">
        <w:lastRenderedPageBreak/>
        <w:t>praised as</w:t>
      </w:r>
      <w:r w:rsidR="00FB1EAC">
        <w:t xml:space="preserve"> indeed like that of the Kingdom of Judea</w:t>
      </w:r>
      <w:r w:rsidR="00160783">
        <w:t>.</w:t>
      </w:r>
      <w:r w:rsidR="00FB1EAC">
        <w:t xml:space="preserve"> The state</w:t>
      </w:r>
      <w:r w:rsidR="00CA2D70">
        <w:t xml:space="preserve"> avoided attacks from both the Spanish and the British during the New </w:t>
      </w:r>
      <w:proofErr w:type="spellStart"/>
      <w:r w:rsidR="00CA2D70">
        <w:t>Granadine</w:t>
      </w:r>
      <w:proofErr w:type="spellEnd"/>
      <w:r w:rsidR="00CA2D70">
        <w:t xml:space="preserve"> War by accepting entreaties to become a protectorate of the Russian American Company</w:t>
      </w:r>
      <w:r w:rsidR="00D0385C">
        <w:t>, and it boomed by providing grain to the outposts of Alaska</w:t>
      </w:r>
      <w:r w:rsidR="007D2817">
        <w:t xml:space="preserve">. The visit of the “uncrowned king of the Russian American Company”, </w:t>
      </w:r>
      <w:r w:rsidR="004D3BE0">
        <w:t xml:space="preserve">Iosif </w:t>
      </w:r>
      <w:proofErr w:type="spellStart"/>
      <w:r w:rsidR="004D3BE0">
        <w:t>Rezanov</w:t>
      </w:r>
      <w:proofErr w:type="spellEnd"/>
      <w:r w:rsidR="004D3BE0">
        <w:t>,</w:t>
      </w:r>
      <w:r w:rsidR="00770B4F">
        <w:t xml:space="preserve"> to New Jerusalem to</w:t>
      </w:r>
      <w:r w:rsidR="00AE1AE0">
        <w:t xml:space="preserve"> formally</w:t>
      </w:r>
      <w:r w:rsidR="00770B4F">
        <w:t xml:space="preserve"> sign the compact,</w:t>
      </w:r>
      <w:r w:rsidR="004D3BE0">
        <w:t xml:space="preserve"> continues to be commemorated with a large statue in the city</w:t>
      </w:r>
      <w:r w:rsidR="00CA2D70">
        <w:t>.</w:t>
      </w:r>
      <w:r w:rsidR="0023560C">
        <w:t xml:space="preserve"> </w:t>
      </w:r>
    </w:p>
    <w:p w14:paraId="14E29AAF" w14:textId="12846AD4" w:rsidR="00AD6502" w:rsidRDefault="0023560C" w:rsidP="003F6B0B">
      <w:r>
        <w:t>Among the Indigenous on the island already, relations were initially good</w:t>
      </w:r>
      <w:r w:rsidR="000132D9">
        <w:t xml:space="preserve"> as there was plenty of land to go around</w:t>
      </w:r>
      <w:r>
        <w:t>, but as</w:t>
      </w:r>
      <w:r>
        <w:t xml:space="preserve"> the embryonic society expanded and monopolized land for itself</w:t>
      </w:r>
      <w:r w:rsidR="005679C9">
        <w:t xml:space="preserve">, </w:t>
      </w:r>
      <w:r w:rsidR="000A090B">
        <w:t xml:space="preserve">and </w:t>
      </w:r>
      <w:r w:rsidR="005679C9">
        <w:t xml:space="preserve">as it </w:t>
      </w:r>
      <w:r w:rsidR="005F0C0A">
        <w:t>ignore</w:t>
      </w:r>
      <w:r w:rsidR="00B61A6D">
        <w:t>d</w:t>
      </w:r>
      <w:r w:rsidR="005679C9">
        <w:t xml:space="preserve"> treaties providing for land-sharing </w:t>
      </w:r>
      <w:r w:rsidR="005F0C0A">
        <w:t>and substituted them with individuated</w:t>
      </w:r>
      <w:r w:rsidR="005679C9">
        <w:t xml:space="preserve"> property ownership</w:t>
      </w:r>
      <w:r w:rsidR="000132D9">
        <w:t>, it reached an inevitable collision</w:t>
      </w:r>
      <w:r w:rsidR="00D55B24">
        <w:t>. Land wars ensued</w:t>
      </w:r>
      <w:r w:rsidR="005679C9">
        <w:t>.</w:t>
      </w:r>
      <w:r w:rsidR="000132D9">
        <w:t xml:space="preserve"> </w:t>
      </w:r>
      <w:r w:rsidR="000726D3">
        <w:t>New Canaanite mission efforts largely failed</w:t>
      </w:r>
      <w:r w:rsidR="00983B35">
        <w:t>, in part due to missionary arrogance and in part because the country already lay host to Orthodox and Catholic missions</w:t>
      </w:r>
      <w:r w:rsidR="00B77739">
        <w:t>, and instead</w:t>
      </w:r>
      <w:r w:rsidR="00983B35">
        <w:t xml:space="preserve"> of conversion and persuasion</w:t>
      </w:r>
      <w:r w:rsidR="00B77739">
        <w:t xml:space="preserve"> </w:t>
      </w:r>
      <w:r w:rsidR="00983B35">
        <w:t>the embryonic</w:t>
      </w:r>
      <w:r w:rsidR="00B77739">
        <w:t xml:space="preserve"> found itself launch several wars of dispossession which secured its </w:t>
      </w:r>
      <w:r w:rsidR="00A913A6">
        <w:t>domination of the island</w:t>
      </w:r>
      <w:r>
        <w:t>.</w:t>
      </w:r>
      <w:r w:rsidR="00CA2D70">
        <w:t xml:space="preserve"> </w:t>
      </w:r>
      <w:r w:rsidR="00015D36">
        <w:t xml:space="preserve">In the years that followed, </w:t>
      </w:r>
      <w:r w:rsidR="002737D6">
        <w:t>New Canaan would find its autonomy tested</w:t>
      </w:r>
      <w:r w:rsidR="00473889">
        <w:t xml:space="preserve"> –</w:t>
      </w:r>
      <w:r w:rsidR="00FA13CE">
        <w:t xml:space="preserve"> the Russian-American Telegraph </w:t>
      </w:r>
      <w:r w:rsidR="00F94C4D">
        <w:t>allowed it to communicate</w:t>
      </w:r>
      <w:r w:rsidR="00FA13CE">
        <w:t xml:space="preserve"> wit</w:t>
      </w:r>
      <w:r w:rsidR="00F94C4D">
        <w:t>h</w:t>
      </w:r>
      <w:r w:rsidR="00FA13CE">
        <w:t xml:space="preserve"> the rest of the world, the </w:t>
      </w:r>
      <w:r w:rsidR="00473889">
        <w:t>Second Circassian War saw</w:t>
      </w:r>
      <w:r w:rsidR="00A704BF">
        <w:t xml:space="preserve"> the downfall of Russia’s position and</w:t>
      </w:r>
      <w:r w:rsidR="00473889">
        <w:t xml:space="preserve"> </w:t>
      </w:r>
      <w:r w:rsidR="00A704BF">
        <w:t>the state</w:t>
      </w:r>
      <w:r w:rsidR="00473889">
        <w:t xml:space="preserve"> fall into British orbit</w:t>
      </w:r>
      <w:r w:rsidR="00080004">
        <w:t>, the settlement boom in the</w:t>
      </w:r>
      <w:r w:rsidR="009807FC">
        <w:t xml:space="preserve"> Oregon Country put an end to its </w:t>
      </w:r>
      <w:r w:rsidR="004F20D8">
        <w:t>isolatio</w:t>
      </w:r>
      <w:r w:rsidR="009807FC">
        <w:t>n</w:t>
      </w:r>
      <w:r w:rsidR="004F20D8">
        <w:t>, and by the economic laws of gravity it found itself forced to associate with its neighbors</w:t>
      </w:r>
      <w:r w:rsidR="009807FC">
        <w:t xml:space="preserve"> – but in the end </w:t>
      </w:r>
      <w:r w:rsidR="00242C08">
        <w:t>this new society</w:t>
      </w:r>
      <w:r w:rsidR="009807FC">
        <w:t xml:space="preserve"> would find itself able to exist</w:t>
      </w:r>
      <w:r w:rsidR="00761E65">
        <w:t>, and it moulded the culture of the land in its image</w:t>
      </w:r>
      <w:r w:rsidR="009807FC">
        <w:t xml:space="preserve">. </w:t>
      </w:r>
    </w:p>
    <w:p w14:paraId="03C6D998" w14:textId="5D9F72F0" w:rsidR="00612482" w:rsidRPr="003F6B0B" w:rsidRDefault="00CD6005" w:rsidP="00612482">
      <w:proofErr w:type="gramStart"/>
      <w:r>
        <w:t>Thus</w:t>
      </w:r>
      <w:proofErr w:type="gramEnd"/>
      <w:r>
        <w:t xml:space="preserve"> emerged</w:t>
      </w:r>
      <w:r w:rsidR="00161177">
        <w:t xml:space="preserve"> </w:t>
      </w:r>
      <w:r w:rsidR="0077099E">
        <w:t>what remains perhaps the most unusual of Christian denominations</w:t>
      </w:r>
      <w:r w:rsidR="00D47298">
        <w:t xml:space="preserve">, with land to establish </w:t>
      </w:r>
      <w:r w:rsidR="00161177">
        <w:t xml:space="preserve">a theocracy on the soil of </w:t>
      </w:r>
      <w:r w:rsidR="003114E1">
        <w:t xml:space="preserve">North America. </w:t>
      </w:r>
      <w:r w:rsidR="0026378C">
        <w:t xml:space="preserve">From its roots in the Swedenborgian and </w:t>
      </w:r>
      <w:proofErr w:type="spellStart"/>
      <w:r w:rsidR="0026378C">
        <w:t>Rappist</w:t>
      </w:r>
      <w:proofErr w:type="spellEnd"/>
      <w:r w:rsidR="0026378C">
        <w:t xml:space="preserve"> churches, it successfully developed a mysticism which allowed it to attract adherents</w:t>
      </w:r>
      <w:r w:rsidR="00414078">
        <w:t xml:space="preserve"> towards its mission of</w:t>
      </w:r>
      <w:r w:rsidR="00612482">
        <w:t xml:space="preserve"> enlightening mankind, and it was able to </w:t>
      </w:r>
      <w:r w:rsidR="002D42B3">
        <w:t>secure</w:t>
      </w:r>
      <w:r w:rsidR="00C858CB">
        <w:t xml:space="preserve"> a land</w:t>
      </w:r>
      <w:r w:rsidR="002D42B3">
        <w:t xml:space="preserve"> for itself.</w:t>
      </w:r>
      <w:r w:rsidR="0026378C">
        <w:t xml:space="preserve"> </w:t>
      </w:r>
      <w:r w:rsidR="004B4F0A">
        <w:t xml:space="preserve">Though New </w:t>
      </w:r>
      <w:r w:rsidR="004B4F0A">
        <w:lastRenderedPageBreak/>
        <w:t xml:space="preserve">Canaan is not an independent state today, and its government is not (formally) theocratic today, the </w:t>
      </w:r>
      <w:proofErr w:type="spellStart"/>
      <w:r w:rsidR="004B4F0A">
        <w:t>Sophian</w:t>
      </w:r>
      <w:proofErr w:type="spellEnd"/>
      <w:r w:rsidR="004B4F0A">
        <w:t xml:space="preserve"> Church</w:t>
      </w:r>
      <w:r w:rsidR="00706F61">
        <w:t>, with its strange combination of British, American, and German roots,</w:t>
      </w:r>
      <w:r w:rsidR="004B4F0A">
        <w:t xml:space="preserve"> continues to make a presence today. </w:t>
      </w:r>
    </w:p>
    <w:p w14:paraId="6F9B8A1D" w14:textId="77777777" w:rsidR="009378A4" w:rsidRDefault="009378A4" w:rsidP="009378A4">
      <w:r>
        <w:br w:type="page"/>
      </w:r>
    </w:p>
    <w:p w14:paraId="515CB082" w14:textId="77777777" w:rsidR="000B205D" w:rsidRDefault="000B205D" w:rsidP="00705738"/>
    <w:p w14:paraId="429C8EB9" w14:textId="77777777" w:rsidR="009378A4" w:rsidRDefault="009378A4" w:rsidP="00705738">
      <w:pPr>
        <w:sectPr w:rsidR="009378A4" w:rsidSect="00705738">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B1C3710" w14:textId="1FF1EC7F" w:rsidR="00705738" w:rsidRDefault="00705738" w:rsidP="00705738">
      <w:r>
        <w:br w:type="page"/>
      </w:r>
    </w:p>
    <w:p w14:paraId="4DF6E597" w14:textId="49940A2F" w:rsidR="00AF0E88" w:rsidRDefault="00C2388F" w:rsidP="00AF0E88">
      <w:pPr>
        <w:pStyle w:val="Heading1"/>
      </w:pPr>
      <w:bookmarkStart w:id="38" w:name="_Toc202006229"/>
      <w:r>
        <w:lastRenderedPageBreak/>
        <w:t>30</w:t>
      </w:r>
      <w:r w:rsidR="00AF0E88">
        <w:t xml:space="preserve">. Nothing But </w:t>
      </w:r>
      <w:proofErr w:type="gramStart"/>
      <w:r w:rsidR="00AF0E88">
        <w:t>The</w:t>
      </w:r>
      <w:proofErr w:type="gramEnd"/>
      <w:r w:rsidR="00AF0E88">
        <w:t xml:space="preserve"> Country</w:t>
      </w:r>
      <w:bookmarkEnd w:id="38"/>
    </w:p>
    <w:p w14:paraId="69718A56" w14:textId="1A665D50" w:rsidR="00BC6F84" w:rsidRDefault="00BC6F84" w:rsidP="00BC6F84">
      <w:r>
        <w:t>Coming into 1844, it was clear to everyone that</w:t>
      </w:r>
      <w:r w:rsidR="00D90BFB">
        <w:t xml:space="preserve"> the</w:t>
      </w:r>
      <w:r w:rsidR="009747BF">
        <w:t xml:space="preserve"> presidential</w:t>
      </w:r>
      <w:r w:rsidR="00D90BFB">
        <w:t xml:space="preserve"> election would, barring some gigantic shift to the nation, end up </w:t>
      </w:r>
      <w:r w:rsidR="009747BF">
        <w:t>with a Democratic</w:t>
      </w:r>
      <w:r w:rsidR="00E07EA2">
        <w:t xml:space="preserve"> victory. </w:t>
      </w:r>
      <w:r w:rsidR="00C17ABA">
        <w:t xml:space="preserve">As such, the two big personalities of the Democratic Party, Henry Clay and Daniel Webster, fought off each other for the nomination. As ever, Clay was the candidate of the South and Webster the candidate of the </w:t>
      </w:r>
      <w:r w:rsidR="00DA4BD9">
        <w:t>North,</w:t>
      </w:r>
      <w:r w:rsidR="00C17ABA">
        <w:t xml:space="preserve"> </w:t>
      </w:r>
      <w:r w:rsidR="00DA4BD9">
        <w:t xml:space="preserve">and both eagerly tried to obtain the support of the West. Webster’s </w:t>
      </w:r>
      <w:proofErr w:type="gramStart"/>
      <w:r w:rsidR="00DA4BD9">
        <w:t>near-success</w:t>
      </w:r>
      <w:proofErr w:type="gramEnd"/>
      <w:r w:rsidR="00DA4BD9">
        <w:t xml:space="preserve"> in winning the West in 1840 had meant that Clay</w:t>
      </w:r>
      <w:r w:rsidR="00E262EB">
        <w:t xml:space="preserve"> took</w:t>
      </w:r>
      <w:r w:rsidR="00635517">
        <w:t xml:space="preserve"> full advantage of his reputation as “Harry of the West”</w:t>
      </w:r>
      <w:r w:rsidR="005F31AB">
        <w:t xml:space="preserve"> and </w:t>
      </w:r>
      <w:r w:rsidR="00E262EB">
        <w:t>presented</w:t>
      </w:r>
      <w:r w:rsidR="005F31AB">
        <w:t xml:space="preserve"> a plan to bring National Bank land under federal authority</w:t>
      </w:r>
      <w:r w:rsidR="00635517">
        <w:t>. A</w:t>
      </w:r>
      <w:r w:rsidR="003657A9">
        <w:t xml:space="preserve">gainst this, Daniel Webster went on a tour of the West in 1843 where he </w:t>
      </w:r>
      <w:r w:rsidR="00B662AD">
        <w:t xml:space="preserve">also had a plan to bring National Bank land under federal </w:t>
      </w:r>
      <w:proofErr w:type="gramStart"/>
      <w:r w:rsidR="00B662AD">
        <w:t>authority, but</w:t>
      </w:r>
      <w:proofErr w:type="gramEnd"/>
      <w:r w:rsidR="00B662AD">
        <w:t xml:space="preserve"> accompanied it with a proposal to establish a maximum price for the sale of Western land. With this in hand, Webster successfully won the support of </w:t>
      </w:r>
      <w:r w:rsidR="00D96278">
        <w:t>much of the West</w:t>
      </w:r>
      <w:r w:rsidR="00BB2E0E">
        <w:t>, and</w:t>
      </w:r>
      <w:r w:rsidR="00C34313">
        <w:t xml:space="preserve"> additionally he rose the issue of the Equal Rights Party and how it split valuable northern votes and likely led to Pike’s re-election. Thus,</w:t>
      </w:r>
      <w:r w:rsidR="00BB2E0E">
        <w:t xml:space="preserve"> on the third ballot</w:t>
      </w:r>
      <w:r w:rsidR="00C34313">
        <w:t>,</w:t>
      </w:r>
      <w:r w:rsidR="00BB2E0E">
        <w:t xml:space="preserve"> he won the nomination</w:t>
      </w:r>
      <w:r w:rsidR="00C34313">
        <w:t xml:space="preserve"> of the party</w:t>
      </w:r>
      <w:r w:rsidR="00BB2E0E">
        <w:t xml:space="preserve">. </w:t>
      </w:r>
      <w:r w:rsidR="003E7314">
        <w:t xml:space="preserve">As his vice-presidential candidate was selected James L. </w:t>
      </w:r>
      <w:proofErr w:type="spellStart"/>
      <w:r w:rsidR="003E7314">
        <w:t>Petigru</w:t>
      </w:r>
      <w:proofErr w:type="spellEnd"/>
      <w:r w:rsidR="003E7314">
        <w:t xml:space="preserve">, </w:t>
      </w:r>
      <w:r w:rsidR="00910B61">
        <w:t xml:space="preserve">a man who had the honor of being virtually the only South Carolinian Democrat – and his presence on the same ticket as Daniel Webster was a demonstration of sectional unity. </w:t>
      </w:r>
      <w:r w:rsidR="008002EB">
        <w:t xml:space="preserve">On the other hand, the Republicans nominated William C. Rives, a moderate from Virginia who represented a break from the legacy of </w:t>
      </w:r>
      <w:proofErr w:type="spellStart"/>
      <w:r w:rsidR="008002EB">
        <w:t>Calhounism</w:t>
      </w:r>
      <w:proofErr w:type="spellEnd"/>
      <w:r w:rsidR="008002EB">
        <w:t xml:space="preserve"> and an attempt by the Richmond Junto to restore its influence over the nation. The Equal Rights Party meanwhile saw the winds blown out of </w:t>
      </w:r>
      <w:r w:rsidR="003662E9">
        <w:t>its</w:t>
      </w:r>
      <w:r w:rsidR="008002EB">
        <w:t xml:space="preserve"> sails due to </w:t>
      </w:r>
      <w:r w:rsidR="003662E9">
        <w:t>Webster’s antislavery reputation; its nomination of William Jay</w:t>
      </w:r>
      <w:r w:rsidR="00D93D5F">
        <w:t xml:space="preserve"> was more perfunctory than anything else. </w:t>
      </w:r>
    </w:p>
    <w:p w14:paraId="77EBF8EE" w14:textId="5C8A64B6" w:rsidR="00254CED" w:rsidRDefault="00254CED" w:rsidP="00BC6F84">
      <w:r>
        <w:t xml:space="preserve">The ensuing election saw Webster launch </w:t>
      </w:r>
      <w:r w:rsidR="00CA6808">
        <w:t xml:space="preserve">a national tour, which was </w:t>
      </w:r>
      <w:r w:rsidR="00542905">
        <w:t xml:space="preserve">reminiscent to Burr’s famous tours of 1820 and 1824. </w:t>
      </w:r>
      <w:r w:rsidR="002B2562">
        <w:t xml:space="preserve">Demonstrative of the sheer extent to which the nation had been stitched together by </w:t>
      </w:r>
      <w:r w:rsidR="00D31F2A">
        <w:t xml:space="preserve">canals and roads, Webster made his way to almost every state in the Union, </w:t>
      </w:r>
      <w:r w:rsidR="00D31F2A">
        <w:lastRenderedPageBreak/>
        <w:t>and here he took full advantage</w:t>
      </w:r>
      <w:r w:rsidR="009C49F0">
        <w:t xml:space="preserve"> of his considerable oratorical ability to spellbind crowds</w:t>
      </w:r>
      <w:r w:rsidR="00A15F3F">
        <w:t xml:space="preserve">, with rhetoric </w:t>
      </w:r>
      <w:r w:rsidR="00C33A2B">
        <w:t>of national unity</w:t>
      </w:r>
      <w:r w:rsidR="0021001B">
        <w:t xml:space="preserve"> and economic security</w:t>
      </w:r>
      <w:r w:rsidR="00A15F3F">
        <w:t xml:space="preserve">. This tour </w:t>
      </w:r>
      <w:r w:rsidR="009F7000">
        <w:t xml:space="preserve">resembled nothing less than Lafayette’s tour of the nation, </w:t>
      </w:r>
      <w:r w:rsidR="00A97189">
        <w:t xml:space="preserve">as frenzied crowds were only too eager to watch </w:t>
      </w:r>
      <w:r w:rsidR="00FB0B56">
        <w:t>“Godlike Daniel” speak to them</w:t>
      </w:r>
      <w:r w:rsidR="004E74F2">
        <w:t xml:space="preserve"> and marked it with new merchandise and </w:t>
      </w:r>
      <w:r w:rsidR="00B820D6">
        <w:t>squares</w:t>
      </w:r>
      <w:r w:rsidR="00FB0B56">
        <w:t xml:space="preserve">. </w:t>
      </w:r>
      <w:r w:rsidR="0098597D">
        <w:t xml:space="preserve">In contrast, Rives’ campaign was somewhat rudderless, as the Republicans had little else to do than coast on </w:t>
      </w:r>
      <w:r w:rsidR="004330FD">
        <w:t xml:space="preserve">the victory of the Second Quasi War – which, by 1844, frankly seemed like ancient history. </w:t>
      </w:r>
    </w:p>
    <w:p w14:paraId="25AF0242" w14:textId="08DBFAEF" w:rsidR="0035664E" w:rsidRDefault="0035664E" w:rsidP="00BC6F84">
      <w:r>
        <w:t xml:space="preserve">By the time the election’s time had come, </w:t>
      </w:r>
      <w:r w:rsidR="00DC056C">
        <w:t xml:space="preserve">few were surprised when the election ended with a sweeping landslide for Daniel Webster, who won a sweeping 207 electoral votes, while in contrast Rives had a mere 97. </w:t>
      </w:r>
      <w:r w:rsidR="0047420B">
        <w:t xml:space="preserve">Webster swept nearly the entire North and West, while Rives only had as a consolation </w:t>
      </w:r>
      <w:r w:rsidR="00D9405C">
        <w:t>that the South</w:t>
      </w:r>
      <w:r w:rsidR="0086413C">
        <w:t>east</w:t>
      </w:r>
      <w:r w:rsidR="00D9405C">
        <w:t xml:space="preserve"> held</w:t>
      </w:r>
      <w:r w:rsidR="000C061B">
        <w:t xml:space="preserve"> due to fear of Webster’s antislavery</w:t>
      </w:r>
      <w:r w:rsidR="00D9405C">
        <w:t xml:space="preserve">. </w:t>
      </w:r>
      <w:r w:rsidR="000C061B">
        <w:t xml:space="preserve">It was a sweeping mandate for change and a stark departure from the failure of Republican policy. </w:t>
      </w:r>
      <w:r w:rsidR="006958AB">
        <w:t xml:space="preserve">Before his inauguration, Webster launched a brief tour to cheering crowds </w:t>
      </w:r>
      <w:r w:rsidR="004E74F2">
        <w:t>from Boston to New York to Philadelphia, and finally to Washington</w:t>
      </w:r>
      <w:r w:rsidR="0001705D">
        <w:t xml:space="preserve">. His inauguration was one of the most vibrant in American history, where he outlined his economic policy to the nation, to widespread jubilation and an utterly spellbound Congress. </w:t>
      </w:r>
    </w:p>
    <w:p w14:paraId="0D08D7E4" w14:textId="77777777" w:rsidR="003C2274" w:rsidRDefault="00D75BAB" w:rsidP="00BC6F84">
      <w:r>
        <w:t>Daniel Webster is a man who does not need any introduction, but for the sake of completeness one shall be included here. Born in 1782 in New Hampshire along what was then the American frontier</w:t>
      </w:r>
      <w:r w:rsidR="00F35DF8">
        <w:t xml:space="preserve">, he made his way to </w:t>
      </w:r>
      <w:r w:rsidR="00E06D51">
        <w:t xml:space="preserve">Exeter Academy, where he learned many of the skills that would lead to his meteoric career. </w:t>
      </w:r>
      <w:r w:rsidR="00C65078">
        <w:t xml:space="preserve">Admitted to Dartmouth in 1797, he immediately shone; his Independence Day address of 1800 </w:t>
      </w:r>
      <w:r w:rsidR="006925F9">
        <w:t xml:space="preserve">demonstrated the oratorical ability that led to the American people to give him the title of “Godlike Daniel”, and </w:t>
      </w:r>
      <w:r w:rsidR="00100925">
        <w:t xml:space="preserve">it also demonstrated his strong support of Federalist principles. </w:t>
      </w:r>
      <w:r w:rsidR="00F005A4">
        <w:t>After graduation, he refused a clerkship because it did not fit his ambitions for greatness; he instead became a lawyer, and he swiftly became the greatest in all Portsmouth</w:t>
      </w:r>
      <w:r w:rsidR="00EB35D4">
        <w:t xml:space="preserve">. </w:t>
      </w:r>
      <w:r w:rsidR="00EB35D4">
        <w:lastRenderedPageBreak/>
        <w:t xml:space="preserve">Winning election in 1815 as a Federalist congressman, this first term </w:t>
      </w:r>
      <w:r w:rsidR="00B5624C">
        <w:t>of an epic career</w:t>
      </w:r>
      <w:r w:rsidR="00EB35D4">
        <w:t xml:space="preserve"> </w:t>
      </w:r>
      <w:r w:rsidR="00B5624C">
        <w:t xml:space="preserve">saw him serve as part of the collapsing “Hamiltonian Guard” that remained loyal to Federalism while </w:t>
      </w:r>
      <w:r w:rsidR="00233853">
        <w:t xml:space="preserve">most of the party instead joined Burr’s rising Democratic Party. </w:t>
      </w:r>
      <w:r w:rsidR="00BC6DF0">
        <w:t>Webster’s</w:t>
      </w:r>
      <w:r w:rsidR="00233853">
        <w:t xml:space="preserve"> late affiliation </w:t>
      </w:r>
      <w:r w:rsidR="00BC6DF0">
        <w:t xml:space="preserve">with Alexander Hamilton, until shortly after Hamilton committed treason, </w:t>
      </w:r>
      <w:r w:rsidR="00692C03">
        <w:t xml:space="preserve">would haunt him for the rest of his political career. </w:t>
      </w:r>
      <w:r w:rsidR="00004E60">
        <w:t xml:space="preserve">Come 1816, Webster chose not to run for re-election, and instead he moved to Boston to focus on his legal career. </w:t>
      </w:r>
      <w:r w:rsidR="00883826">
        <w:t>In the larger legal market of Boston, he swiftly made it big once again</w:t>
      </w:r>
      <w:r w:rsidR="00C012A9">
        <w:t xml:space="preserve">; famously he successfully defended the sanctity of the corporate charter of Dartmouth to the Supreme Court in a speech so moving it brought tears to the eyes of the usually stoic Chief Justice John Marshall. </w:t>
      </w:r>
    </w:p>
    <w:p w14:paraId="461EAADC" w14:textId="298E5360" w:rsidR="00855F4E" w:rsidRDefault="003C2274" w:rsidP="00BC6F84">
      <w:r>
        <w:t>With this victory in hand, he won election to the House of Representatives, this time from Boston, in 1820</w:t>
      </w:r>
      <w:r w:rsidR="005557D7">
        <w:t xml:space="preserve">, winning election </w:t>
      </w:r>
      <w:proofErr w:type="gramStart"/>
      <w:r w:rsidR="005557D7">
        <w:t>on the basis of</w:t>
      </w:r>
      <w:proofErr w:type="gramEnd"/>
      <w:r w:rsidR="005557D7">
        <w:t xml:space="preserve"> his bold but fiercely nationalist opposition to admitting Illinois with slavery</w:t>
      </w:r>
      <w:r>
        <w:t>. Here, he continued to be loyal to the Federalist Party, averse to Burr’s ambition and demagoguery and an admirer of Hamilton and his considerable abilities, comparing him to Minerva</w:t>
      </w:r>
      <w:r w:rsidR="00A12D99">
        <w:rPr>
          <w:rStyle w:val="EndnoteReference"/>
        </w:rPr>
        <w:endnoteReference w:id="132"/>
      </w:r>
      <w:r>
        <w:t>; he did begin to move into the Democratic orbit, though, as</w:t>
      </w:r>
      <w:r w:rsidR="00A65B1F">
        <w:t xml:space="preserve"> his support of a strong federal government and criticism of Madison</w:t>
      </w:r>
      <w:r w:rsidR="004D74B8">
        <w:t>’s lackluster response to the Panic of 1819</w:t>
      </w:r>
      <w:r w:rsidR="00A65B1F">
        <w:t xml:space="preserve"> merged onto </w:t>
      </w:r>
      <w:r w:rsidR="00C45337">
        <w:t xml:space="preserve">Democratic principles. </w:t>
      </w:r>
      <w:r w:rsidR="004D74B8">
        <w:t xml:space="preserve">He </w:t>
      </w:r>
      <w:r w:rsidR="00DA53FE">
        <w:t>continued</w:t>
      </w:r>
      <w:r w:rsidR="004D74B8">
        <w:t xml:space="preserve"> to differentiate himself though, and notably he was a committed advocate of free trade</w:t>
      </w:r>
      <w:r w:rsidR="006061F6">
        <w:t>, under the influence of New Englander Atlanticist sentiment</w:t>
      </w:r>
      <w:r w:rsidR="0097121D">
        <w:t xml:space="preserve">. </w:t>
      </w:r>
      <w:r w:rsidR="00F46A8D">
        <w:t xml:space="preserve">Supportive of the Luisiana War to secure New Orleans for American commerce, his bonds to </w:t>
      </w:r>
      <w:r w:rsidR="00D34C10">
        <w:t xml:space="preserve">the Federalists snapped and he became a Democrat fully supportive of the war. </w:t>
      </w:r>
      <w:r w:rsidR="006768A8">
        <w:t>This meant that with the Hamilton Plot and his subsequent flight to Canada</w:t>
      </w:r>
      <w:r w:rsidR="00A12D99">
        <w:t>, he was not implicated</w:t>
      </w:r>
      <w:r w:rsidR="00A26B1F">
        <w:t>,</w:t>
      </w:r>
      <w:r w:rsidR="00A12D99">
        <w:t xml:space="preserve"> and he </w:t>
      </w:r>
      <w:r w:rsidR="00A26B1F">
        <w:t>continued to remain in the political limelight. True to his Federalist roots, he</w:t>
      </w:r>
      <w:r w:rsidR="00202226">
        <w:t xml:space="preserve"> opposed the Popular Revolution in the British Isles, but nevertheless he excitedly saw the end of the Luisiana War. Though </w:t>
      </w:r>
      <w:r w:rsidR="00855F4E">
        <w:t xml:space="preserve">he sought the acquisition of less territory, to prevent the dispersal of too many people over too much territory, he nevertheless voted for the Treaty of St. Petersburg. </w:t>
      </w:r>
    </w:p>
    <w:p w14:paraId="578D641D" w14:textId="2BB7CF9B" w:rsidR="000E380D" w:rsidRDefault="00855F4E" w:rsidP="00BC6F84">
      <w:r>
        <w:lastRenderedPageBreak/>
        <w:t xml:space="preserve">In the years that followed, </w:t>
      </w:r>
      <w:r w:rsidR="00C87D4E">
        <w:t>winning election to the</w:t>
      </w:r>
      <w:r w:rsidR="00EA31B1">
        <w:t xml:space="preserve"> Senate with his higher profile</w:t>
      </w:r>
      <w:r w:rsidR="00C87D4E">
        <w:t xml:space="preserve"> </w:t>
      </w:r>
      <w:r>
        <w:t>Webster was a moving force in the</w:t>
      </w:r>
      <w:r w:rsidR="000B3770">
        <w:t xml:space="preserve"> economic agenda of the Harrison administration, though he opposed the </w:t>
      </w:r>
      <w:r w:rsidR="00C87D4E">
        <w:t>Compromise of 1829</w:t>
      </w:r>
      <w:r w:rsidR="0009415E">
        <w:t xml:space="preserve">. During the First Nullification Crisis, he became the leader of the </w:t>
      </w:r>
      <w:r w:rsidR="00097BC6">
        <w:t xml:space="preserve">protectionist effort against </w:t>
      </w:r>
      <w:proofErr w:type="spellStart"/>
      <w:r w:rsidR="00097BC6">
        <w:t>Calhounism</w:t>
      </w:r>
      <w:proofErr w:type="spellEnd"/>
      <w:r w:rsidR="00097BC6">
        <w:t>; his Second Reply to Calhoun remains perhaps the single greatest elucidation of nationalism in American history. And though he opposed the Compromise Tariff, he was nevertheless a strong supporter of President Harrison, Secretary Clay, and the American System;</w:t>
      </w:r>
      <w:r w:rsidR="00C87D4E">
        <w:t xml:space="preserve"> come the expiry of his Senate term in 1835, he was awarded for this</w:t>
      </w:r>
      <w:r w:rsidR="002F19EB">
        <w:t xml:space="preserve"> by being appointed as Consul-General to the British Isles. Here, he was an excellent diplomat and </w:t>
      </w:r>
      <w:r w:rsidR="00244928">
        <w:t xml:space="preserve">quickly became the talk of high British society; </w:t>
      </w:r>
      <w:r w:rsidR="006B52C3">
        <w:t>however, he did not avoid being trapped in the labyrinth of British politics</w:t>
      </w:r>
      <w:r w:rsidR="00653D0B">
        <w:t>,</w:t>
      </w:r>
      <w:r w:rsidR="006B52C3">
        <w:t xml:space="preserve"> and his sympathies for the British Moderate Party was something he wore on his sleeve</w:t>
      </w:r>
      <w:r w:rsidR="00653D0B">
        <w:t xml:space="preserve">. Daniel O’Connell, by then a Radical grandee whose sympathies for abolition had turned him </w:t>
      </w:r>
      <w:r w:rsidR="000E380D">
        <w:t xml:space="preserve">into a diehard critic of American republicanism, repeatedly attempted to get the moderately antislavery Webster to either damn America along with slavery, or </w:t>
      </w:r>
      <w:r w:rsidR="00784C04">
        <w:t xml:space="preserve">else </w:t>
      </w:r>
      <w:r w:rsidR="000E380D">
        <w:t>show his true colors as a supporter of the institution</w:t>
      </w:r>
      <w:r w:rsidR="006B52C3">
        <w:t xml:space="preserve">. </w:t>
      </w:r>
      <w:r w:rsidR="00784C04">
        <w:t xml:space="preserve">The raucous debate between the “Two Daniels” </w:t>
      </w:r>
      <w:r w:rsidR="009B0863">
        <w:t>saw</w:t>
      </w:r>
      <w:r w:rsidR="00784C04">
        <w:t xml:space="preserve"> Webster play coy to avoid the rhetorical traps O’Connell made for him; it would serve as a prelude to both O’Connell’s more vigorous opposition to Webster’s successor and the limits of </w:t>
      </w:r>
      <w:r w:rsidR="003C6895">
        <w:t>Webster’s mainstream</w:t>
      </w:r>
      <w:r w:rsidR="00721593">
        <w:t xml:space="preserve"> political</w:t>
      </w:r>
      <w:r w:rsidR="003C6895">
        <w:t xml:space="preserve"> antislavery</w:t>
      </w:r>
      <w:r w:rsidR="00A6256B">
        <w:rPr>
          <w:rStyle w:val="EndnoteReference"/>
        </w:rPr>
        <w:endnoteReference w:id="133"/>
      </w:r>
      <w:r w:rsidR="003C6895">
        <w:t xml:space="preserve">. </w:t>
      </w:r>
    </w:p>
    <w:p w14:paraId="553578C0" w14:textId="19A1E42A" w:rsidR="00D75BAB" w:rsidRDefault="00E96F97" w:rsidP="00BC6F84">
      <w:r>
        <w:t>This</w:t>
      </w:r>
      <w:r w:rsidR="000E380D">
        <w:t xml:space="preserve"> consulship</w:t>
      </w:r>
      <w:r>
        <w:t xml:space="preserve"> conveniently meant that </w:t>
      </w:r>
      <w:r w:rsidR="00D208D4">
        <w:t xml:space="preserve">he was off the board of American politics come the Missouri Crisis, and though all knew that </w:t>
      </w:r>
      <w:r w:rsidR="006400F8">
        <w:t xml:space="preserve">Webster would support restricting slavery, this was a happy coincidence come his presidential ambitions. Returning home after being recalled </w:t>
      </w:r>
      <w:r w:rsidR="008603AD">
        <w:t xml:space="preserve">by the Pike administration, </w:t>
      </w:r>
      <w:r w:rsidR="00975FEA">
        <w:t>it did not take long for Massachusetts to return him to the Senate</w:t>
      </w:r>
      <w:r w:rsidR="008C391D">
        <w:t xml:space="preserve">, and here he </w:t>
      </w:r>
      <w:r w:rsidR="004C069D">
        <w:t>once again</w:t>
      </w:r>
      <w:r w:rsidR="00000EBD">
        <w:t xml:space="preserve"> made his name. In the crisis after Missouri broke the terms of the Compromise and legalized slavery within its borders</w:t>
      </w:r>
      <w:r w:rsidR="00DF0DED">
        <w:t>, and after several Northern juries nullified the Fugitive Slave Act</w:t>
      </w:r>
      <w:r w:rsidR="00000EBD">
        <w:t>, he outlined an addendum</w:t>
      </w:r>
      <w:r w:rsidR="00DF0DED">
        <w:t>:</w:t>
      </w:r>
      <w:r w:rsidR="00000EBD">
        <w:t xml:space="preserve"> Missouri would be allowed to restore slavery while </w:t>
      </w:r>
      <w:r w:rsidR="00DF0DED">
        <w:t xml:space="preserve">juries would be </w:t>
      </w:r>
      <w:r w:rsidR="00DF0DED">
        <w:lastRenderedPageBreak/>
        <w:t xml:space="preserve">allowed to nullify fugitive slave laws. Both were their positive right, </w:t>
      </w:r>
      <w:r w:rsidR="00E61012">
        <w:t xml:space="preserve">he asserted; both sides should simply consider it water under the </w:t>
      </w:r>
      <w:r w:rsidR="00330BE7">
        <w:t>bridge and</w:t>
      </w:r>
      <w:r w:rsidR="00E61012">
        <w:t xml:space="preserve"> move on. </w:t>
      </w:r>
      <w:r w:rsidR="00330BE7">
        <w:t xml:space="preserve">This helped make him the foremost leader of the </w:t>
      </w:r>
      <w:r w:rsidR="00957469">
        <w:t xml:space="preserve">Democratic opposition; his firm opposition to the Second Quasi War, as well as increased outreach to the West, he successfully rode to the Democratic nomination in 1844, and then to the presidency. </w:t>
      </w:r>
    </w:p>
    <w:p w14:paraId="669B5218" w14:textId="298B2DBB" w:rsidR="00770664" w:rsidRDefault="0004696A" w:rsidP="00BC6F84">
      <w:r>
        <w:t>After establishing a cabinet which, with the</w:t>
      </w:r>
      <w:r w:rsidR="005677E9">
        <w:t xml:space="preserve"> career</w:t>
      </w:r>
      <w:r>
        <w:t xml:space="preserve"> diplomat Nicholas Biddle as his Secretary of State, the </w:t>
      </w:r>
      <w:r w:rsidR="00844E03">
        <w:t>strong Ohioan Thomas Ewing as his Domestic Secretary, and his close ally James Wilson II as his Treasury Secretary, it was immediately clear that Webster was charting his own path</w:t>
      </w:r>
      <w:r w:rsidR="00DA6DEF">
        <w:t>, and he was clearly intending to be the most dominant man in his own government</w:t>
      </w:r>
      <w:r w:rsidR="00482474">
        <w:t xml:space="preserve"> as none of these figures could be said to be </w:t>
      </w:r>
      <w:r w:rsidR="00D8784C">
        <w:t>party leaders</w:t>
      </w:r>
      <w:r w:rsidR="00844E03">
        <w:t>. Friends of Henry Clay would instead find themselves towards the edges of the cabinet, and the Webster’s relationships with Clay, who clearly regarded himself as the real party leader, would prove to be testy at best.</w:t>
      </w:r>
      <w:r>
        <w:t xml:space="preserve"> </w:t>
      </w:r>
      <w:r w:rsidR="00770664">
        <w:t xml:space="preserve">And at the same time, he appointed as fugitive slave </w:t>
      </w:r>
      <w:proofErr w:type="gramStart"/>
      <w:r w:rsidR="00770664">
        <w:t>commissioners</w:t>
      </w:r>
      <w:proofErr w:type="gramEnd"/>
      <w:r w:rsidR="0075253A">
        <w:t xml:space="preserve"> people who supported, or else tacitly accepted, jury nullification, and this did calm the</w:t>
      </w:r>
      <w:r w:rsidR="00CA6DD6">
        <w:t xml:space="preserve"> agitation over the fugitive slave crisis</w:t>
      </w:r>
      <w:r w:rsidR="00125289">
        <w:rPr>
          <w:rStyle w:val="EndnoteReference"/>
        </w:rPr>
        <w:endnoteReference w:id="134"/>
      </w:r>
      <w:r w:rsidR="00CA6DD6">
        <w:t xml:space="preserve">. </w:t>
      </w:r>
    </w:p>
    <w:p w14:paraId="0431E8E8" w14:textId="73C4421B" w:rsidR="003053F2" w:rsidRDefault="003053F2" w:rsidP="00BC6F84">
      <w:r>
        <w:t>Th</w:t>
      </w:r>
      <w:r w:rsidR="00A718E9">
        <w:t>e</w:t>
      </w:r>
      <w:r>
        <w:t xml:space="preserve"> first great part of the Webster agenda was the restored protectionist tariff. This went against the terms of the Compromise Tariff, and the Tariff of 1845 would almost immediately be jeered as the “Black Tariff” – but it did not see a sudden wave of </w:t>
      </w:r>
      <w:proofErr w:type="spellStart"/>
      <w:r>
        <w:t>nullificationism</w:t>
      </w:r>
      <w:proofErr w:type="spellEnd"/>
      <w:r>
        <w:t>. This was because the economic catastrophe of the last two years had weakened the cause of free trade even in the South, and more prosaically because Calhoun had plans to make his way to the presidency in 1848 which nullification might threaten</w:t>
      </w:r>
      <w:r w:rsidR="004C3798">
        <w:rPr>
          <w:rStyle w:val="EndnoteReference"/>
        </w:rPr>
        <w:endnoteReference w:id="135"/>
      </w:r>
      <w:r>
        <w:t xml:space="preserve">. And thus, the state revenues came </w:t>
      </w:r>
      <w:r w:rsidR="00CE5AD5">
        <w:t>in, and the Webster administration was now on a more solid economic foundation</w:t>
      </w:r>
      <w:r w:rsidR="00AA3D09">
        <w:t xml:space="preserve">. Additionally, he sent a section of the raised revenue to </w:t>
      </w:r>
      <w:r w:rsidR="00797D7E">
        <w:t xml:space="preserve">the states, </w:t>
      </w:r>
      <w:proofErr w:type="gramStart"/>
      <w:r w:rsidR="00797D7E">
        <w:t>in order to</w:t>
      </w:r>
      <w:proofErr w:type="gramEnd"/>
      <w:r w:rsidR="00797D7E">
        <w:t xml:space="preserve"> pay off their outstanding debts; the era of the debt </w:t>
      </w:r>
      <w:r w:rsidR="00797D7E">
        <w:lastRenderedPageBreak/>
        <w:t>default was beginning to come to an end</w:t>
      </w:r>
      <w:r w:rsidR="00CE5AD5">
        <w:t xml:space="preserve">. </w:t>
      </w:r>
      <w:r w:rsidR="00C55B81">
        <w:t xml:space="preserve">This also allowed for the passage of pre-emption, now that state revenues were not so massively dependent on the sale of public lands. </w:t>
      </w:r>
    </w:p>
    <w:p w14:paraId="52ADB7B7" w14:textId="3BFB6FA5" w:rsidR="00C30C39" w:rsidRDefault="00C30C39" w:rsidP="00BC6F84">
      <w:r>
        <w:t xml:space="preserve">And just as impactful would be the </w:t>
      </w:r>
      <w:r w:rsidR="005563A6">
        <w:t xml:space="preserve">renewal of the Second Bank. Faced with </w:t>
      </w:r>
      <w:r w:rsidR="00CA7065">
        <w:t>western discontent over the</w:t>
      </w:r>
      <w:r w:rsidR="003633FB">
        <w:t xml:space="preserve"> Bank’s large holdings of land, to get the Bank renewed, and Webster certainly did, </w:t>
      </w:r>
      <w:r w:rsidR="00865750">
        <w:t xml:space="preserve">the government would need to deal with it. </w:t>
      </w:r>
      <w:r w:rsidR="000A3733">
        <w:t xml:space="preserve">The ensuing renewal would see several reforms enacted. First, as a sort of compensation for removing its assets, the bank’s capitalization would be doubled to ten million dollars. </w:t>
      </w:r>
      <w:r w:rsidR="00187F83">
        <w:t xml:space="preserve">This would allow for the sale of double its existing stock, which would be more than enough for its land and slaves. Second, bank land would be transferred to the </w:t>
      </w:r>
      <w:r w:rsidR="0078185E">
        <w:t>state and</w:t>
      </w:r>
      <w:r w:rsidR="00187F83">
        <w:t xml:space="preserve"> restored to the status of public land to be distributed as normal</w:t>
      </w:r>
      <w:r w:rsidR="00FB0DCC">
        <w:t>, and in the future</w:t>
      </w:r>
      <w:r w:rsidR="00154FE8">
        <w:t xml:space="preserve"> other land </w:t>
      </w:r>
      <w:r w:rsidR="009E443E">
        <w:t xml:space="preserve">which would fall in its hands, </w:t>
      </w:r>
      <w:r w:rsidR="00154FE8">
        <w:t xml:space="preserve">would be </w:t>
      </w:r>
      <w:r w:rsidR="009E443E">
        <w:t>deposited back into the public land treasury</w:t>
      </w:r>
      <w:r w:rsidR="00187F83">
        <w:t xml:space="preserve">. Third, </w:t>
      </w:r>
      <w:r w:rsidR="0078185E">
        <w:t>the Bank would free its slaves and deport them to Fredonia</w:t>
      </w:r>
      <w:r w:rsidR="00524CA8">
        <w:t xml:space="preserve">. This was an informal deal as the Lower South would have never authorized a congressional law on the subject, but it was an open secret which </w:t>
      </w:r>
      <w:r w:rsidR="00085A8D">
        <w:t xml:space="preserve">only avoided being a sectional crisis because the Upper South entirely supported it to </w:t>
      </w:r>
      <w:r w:rsidR="007A35E4">
        <w:t>keep the price of slaves up</w:t>
      </w:r>
      <w:r w:rsidR="00B91D68">
        <w:t>; none could deny, however, that the Bank had the right to treat their slaves as they see fit</w:t>
      </w:r>
      <w:r w:rsidR="00085A8D">
        <w:t xml:space="preserve">. </w:t>
      </w:r>
      <w:r w:rsidR="00A901D4">
        <w:t>And lastly, foreign holders of Bank shares could not vote for directors in corporate elections</w:t>
      </w:r>
      <w:r w:rsidR="00A06AEB">
        <w:t xml:space="preserve"> – a proposal to </w:t>
      </w:r>
      <w:r w:rsidR="00313E6C">
        <w:t xml:space="preserve">bar them from owning them entirely, failed </w:t>
      </w:r>
      <w:r w:rsidR="00543BC2">
        <w:t>because the government was frankly unsure if it would be able to raise money locally</w:t>
      </w:r>
      <w:r w:rsidR="00B65369">
        <w:rPr>
          <w:rStyle w:val="EndnoteReference"/>
        </w:rPr>
        <w:endnoteReference w:id="136"/>
      </w:r>
      <w:r w:rsidR="00A901D4">
        <w:t xml:space="preserve">. </w:t>
      </w:r>
    </w:p>
    <w:p w14:paraId="4CDE5634" w14:textId="189C05B3" w:rsidR="00E50A95" w:rsidRDefault="00E50A95" w:rsidP="00BC6F84">
      <w:r>
        <w:t>The portion freeing slaves was the most controversial part of the renewal; it was not only not part of the congressional act, but it was simply a written promise between Webster and the Bank’s incoming president, Nathan Appleton which was kept secret</w:t>
      </w:r>
      <w:r w:rsidR="003A66F7">
        <w:rPr>
          <w:rStyle w:val="EndnoteReference"/>
        </w:rPr>
        <w:endnoteReference w:id="137"/>
      </w:r>
      <w:r>
        <w:t xml:space="preserve">. </w:t>
      </w:r>
      <w:r w:rsidR="00096651">
        <w:t>It would only be implemented after the renewal of the Bank, as a directive issued by President Appleton – but it inspired a great degree of horror</w:t>
      </w:r>
      <w:r w:rsidR="00102A51">
        <w:t xml:space="preserve"> and revulsion</w:t>
      </w:r>
      <w:r w:rsidR="00096651">
        <w:t xml:space="preserve"> from the Lower South</w:t>
      </w:r>
      <w:r w:rsidR="00102A51">
        <w:t xml:space="preserve"> which feared this would act as precedent for the </w:t>
      </w:r>
      <w:r w:rsidR="0096172A">
        <w:t xml:space="preserve">Bank being a vehicle of emancipation, and Webster would need to send the army to enforce the Bank’s </w:t>
      </w:r>
      <w:r w:rsidR="0096172A">
        <w:lastRenderedPageBreak/>
        <w:t>right to dispense of its property as it wished</w:t>
      </w:r>
      <w:r w:rsidR="00547812">
        <w:t xml:space="preserve">. At the time, </w:t>
      </w:r>
      <w:r w:rsidR="0092728E">
        <w:t>most American</w:t>
      </w:r>
      <w:r w:rsidR="00EF4269">
        <w:t xml:space="preserve"> foe</w:t>
      </w:r>
      <w:r w:rsidR="00547812">
        <w:t>s</w:t>
      </w:r>
      <w:r w:rsidR="00EF4269">
        <w:t xml:space="preserve"> of slavery</w:t>
      </w:r>
      <w:r w:rsidR="00547812">
        <w:t xml:space="preserve"> cheered this as a bold act of emancipation, but</w:t>
      </w:r>
      <w:r w:rsidR="002010D7">
        <w:t xml:space="preserve"> it demonstrated the limits of mainstream political antislavery</w:t>
      </w:r>
      <w:r w:rsidR="00190A1C">
        <w:rPr>
          <w:rStyle w:val="EndnoteReference"/>
        </w:rPr>
        <w:endnoteReference w:id="138"/>
      </w:r>
      <w:r w:rsidR="00D36387">
        <w:t>;</w:t>
      </w:r>
      <w:r w:rsidR="00547812">
        <w:t xml:space="preserve"> even at the time </w:t>
      </w:r>
      <w:r w:rsidR="00232142">
        <w:t>the abolitionist movement declared this an immoral act of deportation which contravened racial equality, and nobody was as vociferous in denunciation as free Coloreds</w:t>
      </w:r>
      <w:r w:rsidR="0096172A">
        <w:t xml:space="preserve">. </w:t>
      </w:r>
      <w:r w:rsidR="001B21DC">
        <w:t xml:space="preserve">This had dramatic effects on Fredonia as well – </w:t>
      </w:r>
      <w:r w:rsidR="005005E1">
        <w:t>these freedmen</w:t>
      </w:r>
      <w:r w:rsidR="005951A0">
        <w:t>, nicknamed “Collateral”,</w:t>
      </w:r>
      <w:r w:rsidR="005005E1">
        <w:t xml:space="preserve"> </w:t>
      </w:r>
      <w:r w:rsidR="0010388A">
        <w:t>were an important part of the expansion of the nation into the African interior</w:t>
      </w:r>
      <w:r w:rsidR="006B549B">
        <w:t>; the Collateral being almost entirely men, they married local women and produced a new population of “</w:t>
      </w:r>
      <w:proofErr w:type="spellStart"/>
      <w:r w:rsidR="006B549B">
        <w:t>Halfbreeds</w:t>
      </w:r>
      <w:proofErr w:type="spellEnd"/>
      <w:r w:rsidR="006B549B">
        <w:t xml:space="preserve">”, and </w:t>
      </w:r>
      <w:r w:rsidR="00E915EA">
        <w:t>after decades of disenfranchisement</w:t>
      </w:r>
      <w:r w:rsidR="006B549B">
        <w:t xml:space="preserve">, they overthrew the oligarchical </w:t>
      </w:r>
      <w:proofErr w:type="spellStart"/>
      <w:r w:rsidR="006B549B">
        <w:t>Fred</w:t>
      </w:r>
      <w:r w:rsidR="00F13B92">
        <w:t>ish</w:t>
      </w:r>
      <w:proofErr w:type="spellEnd"/>
      <w:r w:rsidR="006B549B">
        <w:t xml:space="preserve"> settler administration</w:t>
      </w:r>
      <w:r w:rsidR="002C0F03">
        <w:t>,</w:t>
      </w:r>
      <w:r w:rsidR="006B549B">
        <w:t xml:space="preserve"> and </w:t>
      </w:r>
      <w:r w:rsidR="00F13B92">
        <w:t xml:space="preserve">the ensuing </w:t>
      </w:r>
      <w:r w:rsidR="002C0F03">
        <w:t xml:space="preserve">revolutionary </w:t>
      </w:r>
      <w:r w:rsidR="00F13B92">
        <w:t>despotism of Leonard Butler saw the nation change from a settler state</w:t>
      </w:r>
      <w:r w:rsidR="00CE522A">
        <w:t xml:space="preserve"> oriented towards the Atlantic</w:t>
      </w:r>
      <w:r w:rsidR="00F13B92">
        <w:t xml:space="preserve"> into a</w:t>
      </w:r>
      <w:r w:rsidR="00CE522A">
        <w:t xml:space="preserve"> </w:t>
      </w:r>
      <w:r w:rsidR="00794BB7">
        <w:t>creole state</w:t>
      </w:r>
      <w:r w:rsidR="00CE522A">
        <w:t xml:space="preserve"> oriented towards the interior</w:t>
      </w:r>
      <w:r w:rsidR="00860AAC">
        <w:rPr>
          <w:rStyle w:val="EndnoteReference"/>
        </w:rPr>
        <w:endnoteReference w:id="139"/>
      </w:r>
      <w:r w:rsidR="002E6174">
        <w:t xml:space="preserve">. </w:t>
      </w:r>
    </w:p>
    <w:p w14:paraId="1AD707B6" w14:textId="09AF3BD1" w:rsidR="00380203" w:rsidRDefault="00C14E41" w:rsidP="00BC6F84">
      <w:r>
        <w:t>Just as impactful on American fortunes was the newly enlarged capitalization of the Bank</w:t>
      </w:r>
      <w:r w:rsidR="00973E12">
        <w:t>, double its former value</w:t>
      </w:r>
      <w:r>
        <w:t xml:space="preserve">. </w:t>
      </w:r>
      <w:r w:rsidR="00973E12">
        <w:t>The ensuing sale of shares was a process it did gradually</w:t>
      </w:r>
      <w:r w:rsidR="00632B37">
        <w:t xml:space="preserve">, to avoid handing brokers too many shares that would then plummet </w:t>
      </w:r>
      <w:r w:rsidR="00AB234A">
        <w:t xml:space="preserve">in </w:t>
      </w:r>
      <w:r w:rsidR="00632B37">
        <w:t xml:space="preserve">value – but it did raise an additional </w:t>
      </w:r>
      <w:r w:rsidR="0092728E">
        <w:t>four</w:t>
      </w:r>
      <w:r w:rsidR="00632B37">
        <w:t xml:space="preserve"> million dollars in total. </w:t>
      </w:r>
      <w:r w:rsidR="009F14F1">
        <w:t xml:space="preserve">With this in hand, it pumped </w:t>
      </w:r>
      <w:proofErr w:type="gramStart"/>
      <w:r w:rsidR="009F14F1">
        <w:t>a large number of</w:t>
      </w:r>
      <w:proofErr w:type="gramEnd"/>
      <w:r w:rsidR="009F14F1">
        <w:t xml:space="preserve"> banknotes into the economy, and the ensuing inflation allowed for commerce to move again. </w:t>
      </w:r>
      <w:r w:rsidR="00A34010">
        <w:t>At the same time, with its money in hand</w:t>
      </w:r>
      <w:r w:rsidR="00B55141">
        <w:t>, and to avoid</w:t>
      </w:r>
      <w:r w:rsidR="002773C1">
        <w:t xml:space="preserve"> its capitaliz</w:t>
      </w:r>
      <w:r w:rsidR="00257EE8">
        <w:t>ation</w:t>
      </w:r>
      <w:r w:rsidR="002773C1">
        <w:t xml:space="preserve"> from crashing on the exchange boards</w:t>
      </w:r>
      <w:r w:rsidR="00A34010">
        <w:t xml:space="preserve">, the Bank also invested in projects across the nation. </w:t>
      </w:r>
      <w:r w:rsidR="00B4733E">
        <w:t xml:space="preserve">The effects of this </w:t>
      </w:r>
      <w:r w:rsidR="006D377F">
        <w:t>were</w:t>
      </w:r>
      <w:r w:rsidR="00B4733E">
        <w:t xml:space="preserve"> immediate, as it </w:t>
      </w:r>
      <w:r w:rsidR="006D377F">
        <w:t xml:space="preserve">allowed for </w:t>
      </w:r>
      <w:r w:rsidR="00B652DB">
        <w:t>new businesses to pop up</w:t>
      </w:r>
      <w:r w:rsidR="00460A0B">
        <w:rPr>
          <w:rStyle w:val="EndnoteReference"/>
        </w:rPr>
        <w:endnoteReference w:id="140"/>
      </w:r>
      <w:r w:rsidR="006D377F">
        <w:t xml:space="preserve">. The later 1840s would end up becoming a </w:t>
      </w:r>
      <w:r w:rsidR="00B652DB">
        <w:t xml:space="preserve">time of growing industrialization, as this the Bank considered </w:t>
      </w:r>
      <w:r w:rsidR="00DB4BC9">
        <w:t xml:space="preserve">industry </w:t>
      </w:r>
      <w:r w:rsidR="00B652DB">
        <w:t xml:space="preserve">a more stable investment than </w:t>
      </w:r>
      <w:r w:rsidR="007F1385">
        <w:t>land speculation projects</w:t>
      </w:r>
      <w:r w:rsidR="008756A4">
        <w:t xml:space="preserve">, although a section of this money did go to </w:t>
      </w:r>
      <w:r w:rsidR="003F02D8">
        <w:t>grain silos and other farm</w:t>
      </w:r>
      <w:r w:rsidR="000A0C80">
        <w:t>ing purposes</w:t>
      </w:r>
      <w:r w:rsidR="008756A4">
        <w:t xml:space="preserve"> – and even a section towards cotton</w:t>
      </w:r>
      <w:r w:rsidR="003F02D8">
        <w:t>, which was quickly recovering from the glut</w:t>
      </w:r>
      <w:r w:rsidR="005E466F">
        <w:t xml:space="preserve"> thanks to increased demand</w:t>
      </w:r>
      <w:r w:rsidR="007F1385">
        <w:t xml:space="preserve">. </w:t>
      </w:r>
    </w:p>
    <w:p w14:paraId="6F56DE4C" w14:textId="2CCC582A" w:rsidR="0053330F" w:rsidRDefault="007F1385" w:rsidP="00BC6F84">
      <w:r>
        <w:lastRenderedPageBreak/>
        <w:t xml:space="preserve">And at the same </w:t>
      </w:r>
      <w:r w:rsidR="000A0C80">
        <w:t>time,</w:t>
      </w:r>
      <w:r>
        <w:t xml:space="preserve"> it </w:t>
      </w:r>
      <w:r w:rsidR="00DB4BC9">
        <w:t>invested in internal improvements</w:t>
      </w:r>
      <w:r w:rsidR="00C62CF4">
        <w:t xml:space="preserve">, and here it considered the West to be </w:t>
      </w:r>
      <w:r w:rsidR="00AB234A">
        <w:t xml:space="preserve">a land </w:t>
      </w:r>
      <w:proofErr w:type="gramStart"/>
      <w:r w:rsidR="00C62CF4">
        <w:t>wise investments</w:t>
      </w:r>
      <w:proofErr w:type="gramEnd"/>
      <w:r w:rsidR="008C5B2A">
        <w:t xml:space="preserve">. </w:t>
      </w:r>
      <w:r w:rsidR="0062792A">
        <w:t>Indiana had</w:t>
      </w:r>
      <w:r w:rsidR="000B5A6E">
        <w:t>, in 1836, passed a mammoth bill which</w:t>
      </w:r>
      <w:r w:rsidR="0062792A">
        <w:t xml:space="preserve"> </w:t>
      </w:r>
      <w:r w:rsidR="000B5A6E">
        <w:t xml:space="preserve">would turn its capital of Concord into the center of a network of canals wrapping the entire state, turning it into a point for trading from the Ohio River to </w:t>
      </w:r>
      <w:proofErr w:type="spellStart"/>
      <w:r w:rsidR="000B5A6E">
        <w:t>Ballyburr</w:t>
      </w:r>
      <w:proofErr w:type="spellEnd"/>
      <w:r w:rsidR="000B5A6E">
        <w:t>, on</w:t>
      </w:r>
      <w:r w:rsidR="00E859DD">
        <w:t xml:space="preserve"> Lake Michigan</w:t>
      </w:r>
      <w:r w:rsidR="000D6915">
        <w:t>, but it collapsed with the financial panic; Bank money would be crucial to getting this project up again</w:t>
      </w:r>
      <w:r w:rsidR="00E859DD">
        <w:t>.</w:t>
      </w:r>
      <w:r w:rsidR="000B5A6E">
        <w:t xml:space="preserve"> </w:t>
      </w:r>
      <w:r w:rsidR="009B28B5">
        <w:t>But</w:t>
      </w:r>
      <w:r w:rsidR="00DB4BC9">
        <w:t xml:space="preserve"> most famously, the Rock Creek Canal </w:t>
      </w:r>
      <w:r w:rsidR="005F4E97">
        <w:t xml:space="preserve">project to </w:t>
      </w:r>
      <w:r w:rsidR="00DB4BC9">
        <w:t xml:space="preserve">connect </w:t>
      </w:r>
      <w:proofErr w:type="spellStart"/>
      <w:r w:rsidR="00DB4BC9">
        <w:t>Millewackie</w:t>
      </w:r>
      <w:proofErr w:type="spellEnd"/>
      <w:r w:rsidR="00DB4BC9">
        <w:t xml:space="preserve"> to the Mississippi watershed, which had collapsed after Huron simply ran out of money in 1842, now got to work again</w:t>
      </w:r>
      <w:r w:rsidR="003773FC">
        <w:t>, and it would be completed in 1847</w:t>
      </w:r>
      <w:r w:rsidR="00115A68">
        <w:rPr>
          <w:rStyle w:val="EndnoteReference"/>
        </w:rPr>
        <w:endnoteReference w:id="141"/>
      </w:r>
      <w:r w:rsidR="00DB4BC9">
        <w:t>. And additionally, rather than loans and bonds, the Bank preferred to buy stock in these new enterprises</w:t>
      </w:r>
      <w:r w:rsidR="00A37E8F">
        <w:t xml:space="preserve">, </w:t>
      </w:r>
      <w:r w:rsidR="00B22FFE">
        <w:t>which demonstrated that it was beginning to act as a fiduciary authority</w:t>
      </w:r>
      <w:r w:rsidR="007D3CC7">
        <w:t>, and though the Bank</w:t>
      </w:r>
      <w:r w:rsidR="00892C00">
        <w:t xml:space="preserve"> did make </w:t>
      </w:r>
      <w:r w:rsidR="0035201A">
        <w:t>investments</w:t>
      </w:r>
      <w:r w:rsidR="00892C00">
        <w:t xml:space="preserve"> in companies that </w:t>
      </w:r>
      <w:r w:rsidR="00B57D89">
        <w:t>ended up</w:t>
      </w:r>
      <w:r w:rsidR="00892C00">
        <w:t xml:space="preserve"> collaps</w:t>
      </w:r>
      <w:r w:rsidR="00B57D89">
        <w:t>ing</w:t>
      </w:r>
      <w:r w:rsidR="00892C00">
        <w:t xml:space="preserve">, </w:t>
      </w:r>
      <w:r w:rsidR="0035201A">
        <w:t>for the most part these investments were successful affairs</w:t>
      </w:r>
      <w:r w:rsidR="00DF16C1">
        <w:t xml:space="preserve"> and made back its money</w:t>
      </w:r>
      <w:r w:rsidR="00892C00">
        <w:t>.</w:t>
      </w:r>
      <w:r w:rsidR="00676F7F">
        <w:t xml:space="preserve"> </w:t>
      </w:r>
      <w:r w:rsidR="00CD1202">
        <w:t>Furthermore</w:t>
      </w:r>
      <w:r w:rsidR="00783419">
        <w:t>, with the sheer numbers of shares it owned</w:t>
      </w:r>
      <w:r w:rsidR="005A584B">
        <w:t>, the</w:t>
      </w:r>
      <w:r w:rsidR="00676F7F">
        <w:t xml:space="preserve"> </w:t>
      </w:r>
      <w:r w:rsidR="005A584B">
        <w:t xml:space="preserve">Bank sent representatives to serve as company directors, who would inevitably </w:t>
      </w:r>
      <w:r w:rsidR="009A11EE">
        <w:t xml:space="preserve">serve </w:t>
      </w:r>
      <w:r w:rsidR="005A584B">
        <w:t xml:space="preserve">both </w:t>
      </w:r>
      <w:r w:rsidR="009A11EE">
        <w:t>as</w:t>
      </w:r>
      <w:r w:rsidR="005A584B">
        <w:t xml:space="preserve"> </w:t>
      </w:r>
      <w:r w:rsidR="009A11EE">
        <w:t>its</w:t>
      </w:r>
      <w:r w:rsidR="005A584B">
        <w:t xml:space="preserve"> ear</w:t>
      </w:r>
      <w:r w:rsidR="009A11EE">
        <w:t xml:space="preserve"> and its voice</w:t>
      </w:r>
      <w:r w:rsidR="00B22FFE">
        <w:t xml:space="preserve">. </w:t>
      </w:r>
      <w:r w:rsidR="000D1909">
        <w:t>The Bank had previously opened second branches to manage real estate and slaves; now, it opened second and even third branches to manage stocks in companies</w:t>
      </w:r>
      <w:r w:rsidR="00A47989">
        <w:t>, and all of these monitored and influenced those companies’ conduct</w:t>
      </w:r>
      <w:r w:rsidR="007B6BE8">
        <w:t xml:space="preserve"> and made them responsible, ultimately, to the administrators of Washington</w:t>
      </w:r>
      <w:r w:rsidR="006D0957">
        <w:t xml:space="preserve">. </w:t>
      </w:r>
      <w:r w:rsidR="00365177">
        <w:t xml:space="preserve">The scale of these investments was such that many called the Bank of the United States the coordinating office of the nation, which would unite the </w:t>
      </w:r>
      <w:r w:rsidR="000773D2">
        <w:t>disparate corporations into a dispassionate outfit that was at least partially responsible</w:t>
      </w:r>
      <w:r w:rsidR="00A46EA2">
        <w:t xml:space="preserve"> to the people</w:t>
      </w:r>
      <w:r w:rsidR="000773D2">
        <w:t xml:space="preserve">; several scholars have gone as far as to call </w:t>
      </w:r>
      <w:r w:rsidR="00115739">
        <w:t>the Bank proto-</w:t>
      </w:r>
      <w:proofErr w:type="spellStart"/>
      <w:r w:rsidR="00115739">
        <w:t>sociocratic</w:t>
      </w:r>
      <w:proofErr w:type="spellEnd"/>
      <w:r w:rsidR="00F94AC1">
        <w:rPr>
          <w:rStyle w:val="EndnoteReference"/>
        </w:rPr>
        <w:endnoteReference w:id="142"/>
      </w:r>
      <w:r w:rsidR="00115739">
        <w:t xml:space="preserve">. </w:t>
      </w:r>
    </w:p>
    <w:p w14:paraId="29B6E7D2" w14:textId="3C65B164" w:rsidR="00CE4741" w:rsidRDefault="006D0957" w:rsidP="00BC6F84">
      <w:r>
        <w:t>This</w:t>
      </w:r>
      <w:r w:rsidR="003849A5">
        <w:t xml:space="preserve"> investment</w:t>
      </w:r>
      <w:r>
        <w:t xml:space="preserve"> came at a crucial juncture, as the new technologies of the railroad and electric telegraph came on the scene</w:t>
      </w:r>
      <w:r w:rsidR="00C769EA">
        <w:rPr>
          <w:rStyle w:val="EndnoteReference"/>
        </w:rPr>
        <w:endnoteReference w:id="143"/>
      </w:r>
      <w:r w:rsidR="00F44A55">
        <w:t>.</w:t>
      </w:r>
      <w:r>
        <w:t xml:space="preserve"> </w:t>
      </w:r>
      <w:r w:rsidR="0091338B">
        <w:t>A</w:t>
      </w:r>
      <w:r>
        <w:t xml:space="preserve"> great national Rail</w:t>
      </w:r>
      <w:r w:rsidR="007D39E7">
        <w:t>road</w:t>
      </w:r>
      <w:r>
        <w:t xml:space="preserve"> Mania would</w:t>
      </w:r>
      <w:r w:rsidR="00256543">
        <w:t xml:space="preserve"> gradually</w:t>
      </w:r>
      <w:r>
        <w:t xml:space="preserve"> replace the great Canal Mania that had wrapped the nation since Burr and the Erie Canal</w:t>
      </w:r>
      <w:r w:rsidR="0091338B">
        <w:t>, as the Webster administration in close affiliation with the</w:t>
      </w:r>
      <w:r w:rsidR="00E14074">
        <w:t xml:space="preserve"> National Bank established</w:t>
      </w:r>
      <w:r w:rsidR="007D39E7">
        <w:t xml:space="preserve"> a railroad network</w:t>
      </w:r>
      <w:r w:rsidR="00BA2E4B">
        <w:t xml:space="preserve"> on the hub-</w:t>
      </w:r>
      <w:r w:rsidR="00BA2E4B">
        <w:lastRenderedPageBreak/>
        <w:t>and-spoke model which tended to</w:t>
      </w:r>
      <w:r w:rsidR="00227C03">
        <w:t xml:space="preserve"> favor existing cities over new ones</w:t>
      </w:r>
      <w:r w:rsidR="00463240">
        <w:t>. B</w:t>
      </w:r>
      <w:r w:rsidR="00227C03">
        <w:t>y its very centralization</w:t>
      </w:r>
      <w:r w:rsidR="00463240">
        <w:t>, this</w:t>
      </w:r>
      <w:r w:rsidR="00227C03">
        <w:t xml:space="preserve"> meant that</w:t>
      </w:r>
      <w:r w:rsidR="005E638B">
        <w:t xml:space="preserve"> it avoided the extreme redundancy of </w:t>
      </w:r>
      <w:r w:rsidR="00BD5B99">
        <w:t>similar manias that consumed countries like the British Isles</w:t>
      </w:r>
      <w:r w:rsidR="00171A21">
        <w:t>; however, this also meant it favored settled land in the East over unsettled land in the West</w:t>
      </w:r>
      <w:r w:rsidR="00E14074">
        <w:t>.</w:t>
      </w:r>
      <w:r>
        <w:t xml:space="preserve"> </w:t>
      </w:r>
      <w:r w:rsidR="00882BA5">
        <w:t xml:space="preserve">However, the United States had already developed a huge network of inland waterways; </w:t>
      </w:r>
      <w:r w:rsidR="00456E3A">
        <w:t>this was an era where the canal and the steamboat could compete with the railroad in terms of both capacity and speed, and to replace canals with railroads would not only be costly, but also of minimal benefit. Indeed, this era also saw some degree of expansion of the canal system, as in some regards it was cheaper to</w:t>
      </w:r>
      <w:r w:rsidR="00CE4741">
        <w:t xml:space="preserve"> expand the existing network than to build a railroad and require several changes from steamer to railroad</w:t>
      </w:r>
      <w:r w:rsidR="00AB0298">
        <w:rPr>
          <w:rStyle w:val="EndnoteReference"/>
        </w:rPr>
        <w:endnoteReference w:id="144"/>
      </w:r>
      <w:r w:rsidR="00CE4741">
        <w:t>.</w:t>
      </w:r>
      <w:r w:rsidR="00882BA5">
        <w:t xml:space="preserve"> </w:t>
      </w:r>
    </w:p>
    <w:p w14:paraId="1979E081" w14:textId="4DF56F5A" w:rsidR="00C14E41" w:rsidRDefault="00CE4741" w:rsidP="00BC6F84">
      <w:r>
        <w:t>In contrast,</w:t>
      </w:r>
      <w:r w:rsidR="006D0957">
        <w:t xml:space="preserve"> it did not take long for the Post Office to put telegraph wires over their semaphore towers</w:t>
      </w:r>
      <w:r w:rsidR="00F969B9">
        <w:t xml:space="preserve"> and turn them into </w:t>
      </w:r>
      <w:r w:rsidR="003345A3">
        <w:t>receivers</w:t>
      </w:r>
      <w:r w:rsidR="006D0957">
        <w:t xml:space="preserve">, allowing for far more rapid communications </w:t>
      </w:r>
      <w:r w:rsidR="00CF651F">
        <w:t>and</w:t>
      </w:r>
      <w:r w:rsidR="006D0957">
        <w:t xml:space="preserve"> superior capacity</w:t>
      </w:r>
      <w:r w:rsidR="00CF651F">
        <w:t xml:space="preserve"> than ever before</w:t>
      </w:r>
      <w:r w:rsidR="006D0957">
        <w:t xml:space="preserve">; </w:t>
      </w:r>
      <w:r w:rsidR="002F4BC3">
        <w:t xml:space="preserve">by 1860, </w:t>
      </w:r>
      <w:r w:rsidR="006D0957">
        <w:t xml:space="preserve">the </w:t>
      </w:r>
      <w:r w:rsidR="0072260E">
        <w:t xml:space="preserve">semaphoric </w:t>
      </w:r>
      <w:r w:rsidR="00B917B6">
        <w:t>telegraph</w:t>
      </w:r>
      <w:r w:rsidR="006D0957">
        <w:t xml:space="preserve"> would only persist as a way to signal ships</w:t>
      </w:r>
      <w:r w:rsidR="006220A9">
        <w:t xml:space="preserve">, and indeed by then the name “telegraph” referred to not the </w:t>
      </w:r>
      <w:r w:rsidR="00327CF2">
        <w:t>semaphoric telegraph</w:t>
      </w:r>
      <w:r w:rsidR="002B5FF9">
        <w:t xml:space="preserve"> invented by Claude Chappe</w:t>
      </w:r>
      <w:r w:rsidR="00327CF2">
        <w:t xml:space="preserve">, but rather the </w:t>
      </w:r>
      <w:r w:rsidR="007A174A">
        <w:t>electric telegraph</w:t>
      </w:r>
      <w:r w:rsidR="00711596">
        <w:t xml:space="preserve"> invented by Joseph Henry</w:t>
      </w:r>
      <w:r w:rsidR="00AA65C9">
        <w:t xml:space="preserve">. It was a dramatic change, although here too the United States suffered from the handicap of the first mover as the existing semaphoric network slowed the expansion of the </w:t>
      </w:r>
      <w:r w:rsidR="00644F6D">
        <w:t xml:space="preserve">electric </w:t>
      </w:r>
      <w:r w:rsidR="00AA65C9">
        <w:t>telegraph</w:t>
      </w:r>
      <w:r w:rsidR="000D1909">
        <w:t xml:space="preserve">. </w:t>
      </w:r>
      <w:r w:rsidR="006D0957">
        <w:t xml:space="preserve">Along with this new </w:t>
      </w:r>
      <w:r w:rsidR="00C977BC">
        <w:t>flow of monies</w:t>
      </w:r>
      <w:r w:rsidR="006D0957">
        <w:t xml:space="preserve"> came</w:t>
      </w:r>
      <w:r w:rsidR="00907AAE">
        <w:t xml:space="preserve"> new opportunities for corruption, however; combined with</w:t>
      </w:r>
      <w:r w:rsidR="00B1597A">
        <w:t xml:space="preserve"> whispers of the administration selling patronage positions, many slowly wondered how honest Daniel Webster truly was. </w:t>
      </w:r>
      <w:r w:rsidR="00C15371">
        <w:t xml:space="preserve">Many wondered if Webster’s retainer from the National Bank was but the tip of an iceberg of corruption. </w:t>
      </w:r>
    </w:p>
    <w:p w14:paraId="16101D04" w14:textId="378860A5" w:rsidR="00705768" w:rsidRPr="00BC6F84" w:rsidRDefault="00705768" w:rsidP="00BC6F84">
      <w:r>
        <w:t xml:space="preserve">Thus, the nation was out of the throes of </w:t>
      </w:r>
      <w:r w:rsidR="00476317">
        <w:t>economic panic</w:t>
      </w:r>
      <w:r w:rsidR="00B816ED">
        <w:t xml:space="preserve">, and into the era of </w:t>
      </w:r>
      <w:proofErr w:type="spellStart"/>
      <w:r w:rsidR="00B816ED">
        <w:t>Websterism</w:t>
      </w:r>
      <w:proofErr w:type="spellEnd"/>
      <w:r>
        <w:t xml:space="preserve">. If it was </w:t>
      </w:r>
      <w:r w:rsidR="00476317">
        <w:t>ceasing to be an agrarian state of producers and instead</w:t>
      </w:r>
      <w:r>
        <w:t xml:space="preserve"> an industrial state </w:t>
      </w:r>
      <w:r w:rsidR="00476317">
        <w:t xml:space="preserve">with a permanent underclass – an underclass aside from the slaves of the South, of course – </w:t>
      </w:r>
      <w:r w:rsidR="008E5CE8">
        <w:t xml:space="preserve">and despite this </w:t>
      </w:r>
      <w:r w:rsidR="008E5CE8">
        <w:lastRenderedPageBreak/>
        <w:t xml:space="preserve">violation of republican principle, </w:t>
      </w:r>
      <w:r w:rsidR="00476317">
        <w:t>many still cheered the rise of progress</w:t>
      </w:r>
      <w:r w:rsidR="00B816ED">
        <w:t xml:space="preserve">, and those who were discontented could buy land which, thanks to the </w:t>
      </w:r>
      <w:r w:rsidR="00FF2E4D">
        <w:t>economic crash</w:t>
      </w:r>
      <w:r w:rsidR="00B816ED">
        <w:t xml:space="preserve">, </w:t>
      </w:r>
      <w:r w:rsidR="00B21408">
        <w:t>was now at an all-time low</w:t>
      </w:r>
      <w:r w:rsidR="00476317">
        <w:t xml:space="preserve">. </w:t>
      </w:r>
      <w:r w:rsidR="00B816ED">
        <w:t>The nation boomed, and immigrants came in droves to take up jobs in the factories of the nation. But this economic boom would not take long to splutter, and though this did not ultimately</w:t>
      </w:r>
      <w:r w:rsidR="00DD4CA1">
        <w:t xml:space="preserve"> upend </w:t>
      </w:r>
      <w:proofErr w:type="spellStart"/>
      <w:r w:rsidR="00DD4CA1">
        <w:t>Websterism</w:t>
      </w:r>
      <w:proofErr w:type="spellEnd"/>
      <w:r w:rsidR="00DD4CA1">
        <w:t xml:space="preserve">, it did reveal its shaky foundations. </w:t>
      </w:r>
    </w:p>
    <w:p w14:paraId="29B73B4F" w14:textId="77777777" w:rsidR="00D31F2A" w:rsidRDefault="00D31F2A" w:rsidP="00D31F2A">
      <w:r>
        <w:br w:type="page"/>
      </w:r>
    </w:p>
    <w:p w14:paraId="2927487F" w14:textId="77777777" w:rsidR="00AF0E88" w:rsidRDefault="00AF0E88" w:rsidP="00AF0E88"/>
    <w:p w14:paraId="13D2A3C1" w14:textId="77777777" w:rsidR="00D31F2A" w:rsidRDefault="00D31F2A" w:rsidP="00AF0E88">
      <w:pPr>
        <w:sectPr w:rsidR="00D31F2A" w:rsidSect="00AF0E88">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2E0EB0C" w14:textId="77777777" w:rsidR="00AF0E88" w:rsidRDefault="00AF0E88" w:rsidP="00AF0E88">
      <w:r>
        <w:br w:type="page"/>
      </w:r>
    </w:p>
    <w:p w14:paraId="7FE764C5" w14:textId="6CF38443" w:rsidR="00855AEA" w:rsidRDefault="008800FF" w:rsidP="00855AEA">
      <w:pPr>
        <w:pStyle w:val="Heading1"/>
      </w:pPr>
      <w:bookmarkStart w:id="39" w:name="_Toc202006230"/>
      <w:r>
        <w:lastRenderedPageBreak/>
        <w:t>3</w:t>
      </w:r>
      <w:r w:rsidR="00C2388F">
        <w:t>1</w:t>
      </w:r>
      <w:r w:rsidR="00855AEA">
        <w:t xml:space="preserve">. </w:t>
      </w:r>
      <w:r w:rsidR="00C74F5E">
        <w:t xml:space="preserve">The </w:t>
      </w:r>
      <w:r w:rsidR="00B52EB4">
        <w:t>Tyranny of Distance</w:t>
      </w:r>
      <w:bookmarkEnd w:id="39"/>
    </w:p>
    <w:p w14:paraId="0AEBB9F5" w14:textId="30436A60" w:rsidR="00785442" w:rsidRDefault="00097BC6" w:rsidP="00785442">
      <w:r>
        <w:t>The United States was not aloof from the world; it exist</w:t>
      </w:r>
      <w:r w:rsidR="00976364">
        <w:t>ed</w:t>
      </w:r>
      <w:r>
        <w:t xml:space="preserve"> in the context of </w:t>
      </w:r>
      <w:proofErr w:type="gramStart"/>
      <w:r w:rsidR="00976364">
        <w:t>Europe</w:t>
      </w:r>
      <w:r w:rsidR="00F9349F">
        <w:t>,</w:t>
      </w:r>
      <w:proofErr w:type="gramEnd"/>
      <w:r w:rsidR="00F9349F">
        <w:t xml:space="preserve"> a continent increasingly divided between republicanism and monarchy</w:t>
      </w:r>
      <w:r w:rsidR="00976364">
        <w:t xml:space="preserve">. </w:t>
      </w:r>
      <w:r w:rsidR="0016524B">
        <w:t xml:space="preserve">On one side was </w:t>
      </w:r>
      <w:r w:rsidR="00F87B5D">
        <w:t>the republics of France, her sister states, and now the British Isles</w:t>
      </w:r>
      <w:r w:rsidR="00626DC0">
        <w:t xml:space="preserve">; and on the other was the monarchies of Austria, the German states, and Russia. </w:t>
      </w:r>
      <w:r w:rsidR="00A470A5">
        <w:t>The continent was mired in an escalating path of tension, a</w:t>
      </w:r>
      <w:r w:rsidR="008E65D6">
        <w:t xml:space="preserve">nd virtually any dispute threatened to break out into a general war. </w:t>
      </w:r>
      <w:r w:rsidR="00C6797B">
        <w:t>In 1847, Christian VIII of Denmark died</w:t>
      </w:r>
      <w:r w:rsidR="0033231E">
        <w:t xml:space="preserve">; lacking issue, </w:t>
      </w:r>
      <w:r w:rsidR="004B656E">
        <w:t>the succession was immediately disputed between the Elector of Hesse-Kassel</w:t>
      </w:r>
      <w:r w:rsidR="00176593">
        <w:t>, backed by France, and the Duke of Oldenburg, backed by Austria</w:t>
      </w:r>
      <w:r w:rsidR="00040419">
        <w:t>; this</w:t>
      </w:r>
      <w:r w:rsidR="002B29A9">
        <w:t xml:space="preserve"> succession dispute</w:t>
      </w:r>
      <w:r w:rsidR="00040419">
        <w:t xml:space="preserve"> was the exact push needed to bring</w:t>
      </w:r>
      <w:r w:rsidR="000C3041">
        <w:t xml:space="preserve"> Europe into war</w:t>
      </w:r>
      <w:r w:rsidR="004958D3">
        <w:t>. The ensuing War of Danish Succession</w:t>
      </w:r>
      <w:r w:rsidR="000E48B7">
        <w:t xml:space="preserve"> surrounded mainland Europe in bloodshed for the next seven years;</w:t>
      </w:r>
      <w:r w:rsidR="00D068E8">
        <w:t xml:space="preserve"> this put an end to immigration to the United States</w:t>
      </w:r>
      <w:r w:rsidR="0081070B">
        <w:rPr>
          <w:rStyle w:val="EndnoteReference"/>
        </w:rPr>
        <w:endnoteReference w:id="145"/>
      </w:r>
      <w:r w:rsidR="002D084F">
        <w:t xml:space="preserve">. </w:t>
      </w:r>
      <w:r w:rsidR="00D068E8">
        <w:t xml:space="preserve">With </w:t>
      </w:r>
      <w:proofErr w:type="gramStart"/>
      <w:r w:rsidR="00C04FA6">
        <w:t>a large number of</w:t>
      </w:r>
      <w:proofErr w:type="gramEnd"/>
      <w:r w:rsidR="00C04FA6">
        <w:t xml:space="preserve"> Americans migrating westwards, immigration had been the only thing keeping wages low enough to make industry profitable; now that German immigration was off the table, wages spiked. Goods got more expensive </w:t>
      </w:r>
      <w:proofErr w:type="gramStart"/>
      <w:r w:rsidR="00C04FA6">
        <w:t>all across</w:t>
      </w:r>
      <w:proofErr w:type="gramEnd"/>
      <w:r w:rsidR="00C04FA6">
        <w:t xml:space="preserve"> the board, and </w:t>
      </w:r>
      <w:r w:rsidR="007B33BB">
        <w:t>this reduced the margins for all the farmers and planters who used them</w:t>
      </w:r>
      <w:r w:rsidR="00587418">
        <w:t xml:space="preserve">. This had consequences </w:t>
      </w:r>
      <w:proofErr w:type="gramStart"/>
      <w:r w:rsidR="00587418">
        <w:t>all across</w:t>
      </w:r>
      <w:proofErr w:type="gramEnd"/>
      <w:r w:rsidR="00587418">
        <w:t xml:space="preserve"> the board for the American economy</w:t>
      </w:r>
      <w:r w:rsidR="00E130CD">
        <w:t xml:space="preserve">, and it severely compromised the </w:t>
      </w:r>
      <w:r w:rsidR="00ED3A12">
        <w:t xml:space="preserve">recovery from the Panic of 1842. There was one part of the economy this did not affect, namely the slave-powered factories of the </w:t>
      </w:r>
      <w:r w:rsidR="00D655F8">
        <w:t xml:space="preserve">South. </w:t>
      </w:r>
      <w:r w:rsidR="00A648B6">
        <w:t>The price of the slave was still low, and so the goods</w:t>
      </w:r>
      <w:r w:rsidR="001106AA">
        <w:t xml:space="preserve"> they produced</w:t>
      </w:r>
      <w:r w:rsidR="00A648B6">
        <w:t xml:space="preserve"> continued to </w:t>
      </w:r>
      <w:r w:rsidR="001106AA">
        <w:t xml:space="preserve">have similar prices. </w:t>
      </w:r>
      <w:r w:rsidR="005047EE">
        <w:t>This began the so-called “mechanic’s critique of slavery” – that as northern free labor existed within the same economy as southern slave labor, the two competed with one another and that slave labor, being free for the owner, would inevitably depress free labor</w:t>
      </w:r>
      <w:r w:rsidR="00CB673D">
        <w:t xml:space="preserve"> towards its level</w:t>
      </w:r>
      <w:r w:rsidR="005047EE">
        <w:t xml:space="preserve">. But at the time this was just an undercurrent, and most instead focused on the </w:t>
      </w:r>
      <w:r w:rsidR="007E1776">
        <w:t xml:space="preserve">real labor crisis that emerged in the North. </w:t>
      </w:r>
    </w:p>
    <w:p w14:paraId="3BC74366" w14:textId="77777777" w:rsidR="00E42ACF" w:rsidRDefault="007E1776" w:rsidP="00785442">
      <w:r>
        <w:lastRenderedPageBreak/>
        <w:t>To solve this, President Webster immediately</w:t>
      </w:r>
      <w:r w:rsidR="00C72A7F">
        <w:t xml:space="preserve"> did several things. First, he sent immigration agents deep into Europe</w:t>
      </w:r>
      <w:r w:rsidR="00BB320D">
        <w:t xml:space="preserve">, most particularly into the Giray Empire to </w:t>
      </w:r>
      <w:r w:rsidR="0034589F">
        <w:t>attract migrants from Southeastern Europe</w:t>
      </w:r>
      <w:r w:rsidR="007447ED">
        <w:t xml:space="preserve">; this gave the United States, for the first time, a small Slavic minority. </w:t>
      </w:r>
      <w:r w:rsidR="00781281">
        <w:t xml:space="preserve">But this was a long-term solution which, he could see, would take a while to pay off. </w:t>
      </w:r>
      <w:r w:rsidR="001A2C9B">
        <w:t xml:space="preserve">The real solution came from the South. The slow boom and expansion of slavery </w:t>
      </w:r>
      <w:r w:rsidR="00461F7C">
        <w:t>in the South pushed a lot of</w:t>
      </w:r>
      <w:r w:rsidR="007A3FEE">
        <w:t xml:space="preserve"> poor whites from their</w:t>
      </w:r>
      <w:r w:rsidR="00B2591C">
        <w:t xml:space="preserve"> former occupations, as they could not possibly compete</w:t>
      </w:r>
      <w:r w:rsidR="001E6BF3">
        <w:t xml:space="preserve"> with their labor</w:t>
      </w:r>
      <w:r w:rsidR="00EE16E7">
        <w:t xml:space="preserve">; the collapse of the price of the slave after the Panic of 1842 only worsened this, as it became profitable to use them for more and more economic purposes. </w:t>
      </w:r>
      <w:r w:rsidR="00A14B63">
        <w:t>Poor</w:t>
      </w:r>
      <w:r w:rsidR="0001528F">
        <w:t xml:space="preserve"> whites </w:t>
      </w:r>
      <w:r w:rsidR="00A14B63">
        <w:t>got</w:t>
      </w:r>
      <w:r w:rsidR="0001528F">
        <w:t xml:space="preserve"> pushed out of their </w:t>
      </w:r>
      <w:r w:rsidR="00A14B63">
        <w:t xml:space="preserve">former </w:t>
      </w:r>
      <w:r w:rsidR="00A9400C">
        <w:t xml:space="preserve">jobs, and they </w:t>
      </w:r>
      <w:r w:rsidR="0012075E">
        <w:t>found themselves pushed out of the economy</w:t>
      </w:r>
      <w:r w:rsidR="009E3C42">
        <w:t xml:space="preserve"> entirely</w:t>
      </w:r>
      <w:r w:rsidR="0012075E">
        <w:t xml:space="preserve">. </w:t>
      </w:r>
      <w:r w:rsidR="007E608E">
        <w:t xml:space="preserve">Being unable to </w:t>
      </w:r>
      <w:r w:rsidR="00207BB8">
        <w:t xml:space="preserve">get the money to move, </w:t>
      </w:r>
      <w:r w:rsidR="009165F9">
        <w:t>they instead had to make a living on the very edge of Southern economy, and with the institutions of state</w:t>
      </w:r>
      <w:r w:rsidR="008E77C3">
        <w:t xml:space="preserve"> in their hand, the Planter Ascendancy passed laws to keep them under control. Most infamously, they passed vagrancy laws which subjected them to </w:t>
      </w:r>
      <w:r w:rsidR="00F549D9">
        <w:t>servitude only slightly above slavery</w:t>
      </w:r>
      <w:r w:rsidR="002948C5">
        <w:t xml:space="preserve">; it did not take long for abolitionists to point to this as proof of slavery being bad for both Coloreds and whites. </w:t>
      </w:r>
    </w:p>
    <w:p w14:paraId="335BCE58" w14:textId="706B7118" w:rsidR="007E1776" w:rsidRDefault="00286B8D" w:rsidP="00785442">
      <w:r>
        <w:t xml:space="preserve">With the South having an idle population, and with </w:t>
      </w:r>
      <w:r w:rsidR="002E5B78">
        <w:t xml:space="preserve">the North having a labor deficit, it did not take very long for Northern </w:t>
      </w:r>
      <w:r w:rsidR="0086089E">
        <w:t xml:space="preserve">factory owners to look to </w:t>
      </w:r>
      <w:r w:rsidR="0069661E">
        <w:t>getting Southern poor whites to migrate</w:t>
      </w:r>
      <w:r w:rsidR="00E234E8">
        <w:t xml:space="preserve"> – which with the canal network</w:t>
      </w:r>
      <w:r w:rsidR="00225F2B">
        <w:t xml:space="preserve"> having matured</w:t>
      </w:r>
      <w:r w:rsidR="00E234E8">
        <w:t>, and a railroad boom beginning to dawn, was now more viable than ever</w:t>
      </w:r>
      <w:r w:rsidR="00225F2B">
        <w:t xml:space="preserve">; they just needed to pay the bill. </w:t>
      </w:r>
      <w:r w:rsidR="00A903B7">
        <w:t xml:space="preserve">With the bank investing large amounts of money into </w:t>
      </w:r>
      <w:r w:rsidR="00713B02">
        <w:t xml:space="preserve">the factory system, they also had the money for it, and </w:t>
      </w:r>
      <w:r w:rsidR="00006737">
        <w:t xml:space="preserve">thus beginning in 1847 was a large </w:t>
      </w:r>
      <w:r w:rsidR="0012623E">
        <w:t>migration of poor “white trash” from the</w:t>
      </w:r>
      <w:r w:rsidR="00390DA8">
        <w:t xml:space="preserve"> fringes of the</w:t>
      </w:r>
      <w:r w:rsidR="0012623E">
        <w:t xml:space="preserve"> South to the factories of the North</w:t>
      </w:r>
      <w:r w:rsidR="00FA6867">
        <w:t>. This dramatically changed the shape of the Northern working classes, as they tended to be antislavery, but also anti-Colored</w:t>
      </w:r>
      <w:r w:rsidR="00661E0F">
        <w:t>, blaming them for their economic misfortune</w:t>
      </w:r>
      <w:r w:rsidR="00FA6867">
        <w:t>; additionally, that they competed with immigrant labor and could claim to be American-born meant that</w:t>
      </w:r>
      <w:r w:rsidR="001814B0">
        <w:t xml:space="preserve"> they became easy pickings for nativism</w:t>
      </w:r>
      <w:r w:rsidR="00B276DD">
        <w:t xml:space="preserve">, although a wing of the nativist movement accusing them of being </w:t>
      </w:r>
      <w:r w:rsidR="00B276DD">
        <w:lastRenderedPageBreak/>
        <w:t>“swarthy” and “part-Colored” continued to persist.</w:t>
      </w:r>
      <w:r w:rsidR="00876182">
        <w:t xml:space="preserve"> </w:t>
      </w:r>
      <w:r w:rsidR="00B276DD">
        <w:t>T</w:t>
      </w:r>
      <w:r w:rsidR="00876182">
        <w:t>hey</w:t>
      </w:r>
      <w:r w:rsidR="00B276DD">
        <w:t xml:space="preserve"> also</w:t>
      </w:r>
      <w:r w:rsidR="00876182">
        <w:t xml:space="preserve"> went on to being among the most zealously converted in the Third Great Awakening</w:t>
      </w:r>
      <w:r w:rsidR="0012623E">
        <w:t xml:space="preserve">. </w:t>
      </w:r>
      <w:r w:rsidR="00AC138F">
        <w:t>In total five to seven million Southerners migrated northwards, and t</w:t>
      </w:r>
      <w:r w:rsidR="00D1463B">
        <w:t>he enduring effects of this are such that it is today called the Great Migration</w:t>
      </w:r>
      <w:r w:rsidR="002A38E5">
        <w:rPr>
          <w:rStyle w:val="EndnoteReference"/>
        </w:rPr>
        <w:endnoteReference w:id="146"/>
      </w:r>
      <w:r w:rsidR="00FA6867">
        <w:t xml:space="preserve">. </w:t>
      </w:r>
    </w:p>
    <w:p w14:paraId="655A39C9" w14:textId="652B954C" w:rsidR="00C42A8B" w:rsidRDefault="008176EB" w:rsidP="00785442">
      <w:r>
        <w:t xml:space="preserve">The </w:t>
      </w:r>
      <w:r w:rsidR="004A7D55">
        <w:t xml:space="preserve">outbreak of the </w:t>
      </w:r>
      <w:r w:rsidR="00876182">
        <w:t xml:space="preserve">New </w:t>
      </w:r>
      <w:proofErr w:type="spellStart"/>
      <w:r w:rsidR="00876182">
        <w:t>Granadine</w:t>
      </w:r>
      <w:proofErr w:type="spellEnd"/>
      <w:r w:rsidR="00876182">
        <w:t xml:space="preserve"> War of Independence</w:t>
      </w:r>
      <w:r w:rsidR="00704787">
        <w:t xml:space="preserve"> in 1848</w:t>
      </w:r>
      <w:r w:rsidR="00876182">
        <w:t xml:space="preserve"> further escalated several</w:t>
      </w:r>
      <w:r w:rsidR="00F52EE6">
        <w:t xml:space="preserve"> economic issues. Breaking out over a Venezuelan</w:t>
      </w:r>
      <w:r w:rsidR="00B87359">
        <w:t xml:space="preserve"> filibuster to the West</w:t>
      </w:r>
      <w:r w:rsidR="00704787">
        <w:t>, when the British intervened in the conflict, it truly went out of control. The British Isles, under the control of the charismatic radical Lord Dundonald, had a strong affinity</w:t>
      </w:r>
      <w:r w:rsidR="004E0FB5">
        <w:t xml:space="preserve"> towards Spanish American liberation</w:t>
      </w:r>
      <w:r w:rsidR="005F2346">
        <w:t xml:space="preserve"> –</w:t>
      </w:r>
      <w:r w:rsidR="004E0FB5">
        <w:t xml:space="preserve"> </w:t>
      </w:r>
      <w:r w:rsidR="00356924">
        <w:t>prior to the Popular Revolution, Dundonald had served as admiral of the Venezuelan Navy, although in that capacity he is better known as Lord Cochrane</w:t>
      </w:r>
      <w:r w:rsidR="005F2346">
        <w:t xml:space="preserve"> – and it successfully turned that affinity into a declaration of war</w:t>
      </w:r>
      <w:r w:rsidR="00356924">
        <w:t xml:space="preserve">. </w:t>
      </w:r>
      <w:r w:rsidR="00A86EF8">
        <w:t>Almost immediately, the British Navy launched a huge, dramatic war against the Spanish; Prime Minister Dundonald sent</w:t>
      </w:r>
      <w:r w:rsidR="00920907">
        <w:t xml:space="preserve"> fleets not only to New Granada, but also across the Pacific to take the Philippines, and to Spain itself he </w:t>
      </w:r>
      <w:r w:rsidR="0030481E">
        <w:t>attacked its harbors to destroy its navy</w:t>
      </w:r>
      <w:r w:rsidR="00B2752C">
        <w:rPr>
          <w:rStyle w:val="EndnoteReference"/>
        </w:rPr>
        <w:endnoteReference w:id="147"/>
      </w:r>
      <w:r w:rsidR="00920907">
        <w:t xml:space="preserve">. </w:t>
      </w:r>
      <w:r w:rsidR="00F12554">
        <w:t>Indeed, he proposed to the French that they conquer Spain itself</w:t>
      </w:r>
      <w:r w:rsidR="0065679F">
        <w:t xml:space="preserve"> and at last put an end to the House of Bourbon</w:t>
      </w:r>
      <w:r w:rsidR="00F12554">
        <w:t xml:space="preserve">, but France considered a weak Spain dependent on it preferable to the free-for-all that might come with </w:t>
      </w:r>
      <w:r w:rsidR="00B11928">
        <w:t>her</w:t>
      </w:r>
      <w:r w:rsidR="00F12554">
        <w:t xml:space="preserve"> collapse</w:t>
      </w:r>
      <w:r w:rsidR="00102E8D">
        <w:t>, and so instead Dundonald focused his efforts on shearing Spain from her colonies</w:t>
      </w:r>
      <w:r w:rsidR="006E2F17">
        <w:rPr>
          <w:rStyle w:val="EndnoteReference"/>
        </w:rPr>
        <w:endnoteReference w:id="148"/>
      </w:r>
      <w:r w:rsidR="00F12554">
        <w:t xml:space="preserve">. </w:t>
      </w:r>
      <w:r w:rsidR="00DD77AF">
        <w:t xml:space="preserve">Dundonald had even attempted to gain </w:t>
      </w:r>
      <w:r w:rsidR="00750146">
        <w:t>American support in this war, but Webster was, if sympathetic, nevertheless deeply aware that allying with the antislavery British Isles would provoke a sectional crisis</w:t>
      </w:r>
      <w:r w:rsidR="0031766E">
        <w:t>, which his tacit acceptance of jury nullification of the Fugitive Slave Act already contributed towards</w:t>
      </w:r>
      <w:r w:rsidR="00750146">
        <w:t xml:space="preserve">. </w:t>
      </w:r>
    </w:p>
    <w:p w14:paraId="25EB2BC7" w14:textId="35B4B982" w:rsidR="008176EB" w:rsidRDefault="00C42A8B" w:rsidP="00785442">
      <w:r>
        <w:t>The British Navy’s sweeping attacks on shipping and blockades of ports resulted in a cessation of America’s considerable trade with Spanish America; most critically, it meant a pause on the trans-Caribbean slave trade. The Upper South had long exported slaves to the Deep South</w:t>
      </w:r>
      <w:r w:rsidR="00AB7580">
        <w:t xml:space="preserve"> </w:t>
      </w:r>
      <w:r w:rsidR="00AB7580">
        <w:lastRenderedPageBreak/>
        <w:t xml:space="preserve">and the Tidewater </w:t>
      </w:r>
      <w:r w:rsidR="00040182">
        <w:t>had long become</w:t>
      </w:r>
      <w:r w:rsidR="00AB7580">
        <w:t xml:space="preserve"> America’s Slave Coast</w:t>
      </w:r>
      <w:r w:rsidR="00D1592F">
        <w:t>, and indeed much of Virginia’s economy was based on slave breeding</w:t>
      </w:r>
      <w:r>
        <w:t xml:space="preserve">; after France and later the British Isles put the brakes on the </w:t>
      </w:r>
      <w:r w:rsidR="00F15325">
        <w:t>transatlantic slave trade, as much out of economic self-interest as out of morality</w:t>
      </w:r>
      <w:r w:rsidR="00AB7580">
        <w:t xml:space="preserve">, the Upper South focused their exports southwards, over the </w:t>
      </w:r>
      <w:r w:rsidR="00071038">
        <w:t>Caribbean</w:t>
      </w:r>
      <w:r w:rsidR="00AB7580">
        <w:t xml:space="preserve"> to Latin America</w:t>
      </w:r>
      <w:r w:rsidR="00BC2B08">
        <w:t xml:space="preserve">, whose </w:t>
      </w:r>
      <w:r w:rsidR="002E2BF8">
        <w:t xml:space="preserve">slave </w:t>
      </w:r>
      <w:r w:rsidR="00BC2B08">
        <w:t xml:space="preserve">gender divides were </w:t>
      </w:r>
      <w:r w:rsidR="00CA0222">
        <w:t>so extreme, and the death rates so high, that slavery’s continued existence required constant import</w:t>
      </w:r>
      <w:r w:rsidR="00F27EA6">
        <w:t>. The Second Quasi War damaged the ensuing trans-Caribbean slave trade, but its end saw it escalate yet further</w:t>
      </w:r>
      <w:r w:rsidR="00AB7580">
        <w:t>.</w:t>
      </w:r>
      <w:r w:rsidR="001C7F74">
        <w:t xml:space="preserve"> The British blockade of </w:t>
      </w:r>
      <w:r w:rsidR="00071038">
        <w:t>much of Spanish America sudden</w:t>
      </w:r>
      <w:r w:rsidR="00961851">
        <w:t>ly put an end to this</w:t>
      </w:r>
      <w:r w:rsidR="00406BAE">
        <w:t>, as American slave ships</w:t>
      </w:r>
      <w:r w:rsidR="00D156D7">
        <w:t xml:space="preserve"> to Mexico</w:t>
      </w:r>
      <w:r w:rsidR="00225E8E">
        <w:t>, Guatemala, and</w:t>
      </w:r>
      <w:r w:rsidR="00D156D7">
        <w:t xml:space="preserve"> New Granada, </w:t>
      </w:r>
      <w:r w:rsidR="00406BAE">
        <w:t>were turned back</w:t>
      </w:r>
      <w:r w:rsidR="00331241">
        <w:t>, and instead traders sold their slaves in the United States proper. The result was</w:t>
      </w:r>
      <w:r w:rsidR="00436796">
        <w:t xml:space="preserve"> </w:t>
      </w:r>
      <w:proofErr w:type="gramStart"/>
      <w:r w:rsidR="00436796">
        <w:t>a sudden collapse</w:t>
      </w:r>
      <w:proofErr w:type="gramEnd"/>
      <w:r w:rsidR="00436796">
        <w:t xml:space="preserve"> in the price of the slave</w:t>
      </w:r>
      <w:r w:rsidR="000B292A">
        <w:t>, and with it this shook</w:t>
      </w:r>
      <w:r w:rsidR="00D67ECD">
        <w:t xml:space="preserve"> slave bonds, cotton bonds, </w:t>
      </w:r>
      <w:r w:rsidR="00A236F9">
        <w:t>and the several other securities that brokers built around the price of the slave</w:t>
      </w:r>
      <w:r w:rsidR="00CC17E6">
        <w:t>, and this in turn shook the economy of the nation at large</w:t>
      </w:r>
      <w:r w:rsidR="00B2752C">
        <w:rPr>
          <w:rStyle w:val="EndnoteReference"/>
        </w:rPr>
        <w:endnoteReference w:id="149"/>
      </w:r>
      <w:r w:rsidR="00A236F9">
        <w:t xml:space="preserve">. </w:t>
      </w:r>
      <w:r w:rsidR="00CC17E6">
        <w:t>It also led to a further expansion of slavery within the South –Missouri</w:t>
      </w:r>
      <w:r w:rsidR="004B710E">
        <w:t xml:space="preserve"> and Illinois</w:t>
      </w:r>
      <w:r w:rsidR="00CC17E6">
        <w:t xml:space="preserve"> particular</w:t>
      </w:r>
      <w:r w:rsidR="004B710E">
        <w:t>ly</w:t>
      </w:r>
      <w:r w:rsidR="00CC17E6">
        <w:t xml:space="preserve"> saw a huge </w:t>
      </w:r>
      <w:r w:rsidR="004B710E">
        <w:t>expansion of slavery</w:t>
      </w:r>
      <w:r w:rsidR="00CC17E6">
        <w:t xml:space="preserve"> in this era – which forced yet more Southern poor whites out of their jobs and escalated the Great Migration</w:t>
      </w:r>
      <w:r w:rsidR="00F878E6">
        <w:t xml:space="preserve">. Thus, despite all of Webster’s efforts, and despite </w:t>
      </w:r>
      <w:proofErr w:type="gramStart"/>
      <w:r w:rsidR="00F878E6">
        <w:t>all of</w:t>
      </w:r>
      <w:proofErr w:type="gramEnd"/>
      <w:r w:rsidR="00F878E6">
        <w:t xml:space="preserve"> his investments, </w:t>
      </w:r>
      <w:r w:rsidR="00916948">
        <w:t>the nation’s economy continued to falter</w:t>
      </w:r>
      <w:r w:rsidR="00CB7F4A">
        <w:t xml:space="preserve"> - come 1848, </w:t>
      </w:r>
      <w:r w:rsidR="00DD62DF">
        <w:t>the state of the nation</w:t>
      </w:r>
      <w:r w:rsidR="00CB7F4A">
        <w:t xml:space="preserve"> was certainly far better than it was in 1844, but it continued to be </w:t>
      </w:r>
      <w:r w:rsidR="00190A99">
        <w:t>shaky at best</w:t>
      </w:r>
      <w:r w:rsidR="00E90EEE">
        <w:t xml:space="preserve">. </w:t>
      </w:r>
    </w:p>
    <w:p w14:paraId="258A5A71" w14:textId="58BEED3E" w:rsidR="00212B0D" w:rsidRPr="00785442" w:rsidRDefault="00212B0D" w:rsidP="00785442">
      <w:r>
        <w:t>Along with this came the fear that</w:t>
      </w:r>
      <w:r w:rsidR="0097580F">
        <w:t xml:space="preserve"> the British were plotting a strike </w:t>
      </w:r>
      <w:proofErr w:type="gramStart"/>
      <w:r w:rsidR="0097580F">
        <w:t>on</w:t>
      </w:r>
      <w:proofErr w:type="gramEnd"/>
      <w:r w:rsidR="0097580F">
        <w:t xml:space="preserve"> Cuba, Texas, California, or </w:t>
      </w:r>
      <w:proofErr w:type="gramStart"/>
      <w:r w:rsidR="0097580F">
        <w:t>all of</w:t>
      </w:r>
      <w:proofErr w:type="gramEnd"/>
      <w:r w:rsidR="0097580F">
        <w:t xml:space="preserve"> the above. Despite the strength of Anglophilia in the </w:t>
      </w:r>
      <w:r w:rsidR="00B702B0">
        <w:t>United States since the Popular Revolution</w:t>
      </w:r>
      <w:r w:rsidR="0097580F">
        <w:t xml:space="preserve">, </w:t>
      </w:r>
      <w:r w:rsidR="00B702B0">
        <w:t xml:space="preserve">few genuinely wanted the United States to find itself surrounded by British territory; </w:t>
      </w:r>
      <w:r w:rsidR="00911262">
        <w:t>most notably</w:t>
      </w:r>
      <w:r w:rsidR="006B3487">
        <w:t xml:space="preserve"> </w:t>
      </w:r>
      <w:r w:rsidR="00ED7D73">
        <w:t xml:space="preserve">the South </w:t>
      </w:r>
      <w:r w:rsidR="00D15650">
        <w:t>had</w:t>
      </w:r>
      <w:r w:rsidR="006B3487">
        <w:t xml:space="preserve"> long</w:t>
      </w:r>
      <w:r w:rsidR="00D15650">
        <w:t xml:space="preserve"> feared British abolitionism, and the specter of </w:t>
      </w:r>
      <w:r w:rsidR="006B3487">
        <w:t xml:space="preserve">being surrounded by British colonies populated by freedmen they could only meet with genuine fear. </w:t>
      </w:r>
      <w:r w:rsidR="00DC2712">
        <w:t>And though Webster fought quite hard to keep the British out of America’s southern neighborhood</w:t>
      </w:r>
      <w:r w:rsidR="00F71000">
        <w:t>, going so far as to bluff to the</w:t>
      </w:r>
      <w:r w:rsidR="00DD55EA">
        <w:t xml:space="preserve"> British</w:t>
      </w:r>
      <w:r w:rsidR="00F71000">
        <w:t xml:space="preserve"> consul-general </w:t>
      </w:r>
      <w:r w:rsidR="00DD55EA">
        <w:t xml:space="preserve">in Washington </w:t>
      </w:r>
      <w:r w:rsidR="00F71000">
        <w:t>that he’d declare war if they did</w:t>
      </w:r>
      <w:r w:rsidR="00A17A63">
        <w:t>, he could only do so much</w:t>
      </w:r>
      <w:r w:rsidR="00BE1F96">
        <w:t>.</w:t>
      </w:r>
      <w:r w:rsidR="00A17A63">
        <w:t xml:space="preserve"> </w:t>
      </w:r>
      <w:r w:rsidR="00BE1F96">
        <w:t>T</w:t>
      </w:r>
      <w:r w:rsidR="00A17A63">
        <w:t xml:space="preserve">he South’s great fear of some British strike on Texas and Cuba which would </w:t>
      </w:r>
      <w:r w:rsidR="00A17A63">
        <w:lastRenderedPageBreak/>
        <w:t>serve</w:t>
      </w:r>
      <w:r w:rsidR="001F1148">
        <w:t xml:space="preserve"> as an example for </w:t>
      </w:r>
      <w:r w:rsidR="00CB7239">
        <w:t>American</w:t>
      </w:r>
      <w:r w:rsidR="001F1148">
        <w:t xml:space="preserve"> slaves</w:t>
      </w:r>
      <w:r w:rsidR="00CB7239">
        <w:t xml:space="preserve"> to take their fates in their own hands</w:t>
      </w:r>
      <w:r w:rsidR="00A17A63">
        <w:t>, would drive</w:t>
      </w:r>
      <w:r w:rsidR="001F1148">
        <w:t xml:space="preserve"> panic in the election year that followed. </w:t>
      </w:r>
    </w:p>
    <w:p w14:paraId="76982E33" w14:textId="77777777" w:rsidR="00C72A7F" w:rsidRDefault="00C72A7F" w:rsidP="00C72A7F">
      <w:r>
        <w:br w:type="page"/>
      </w:r>
    </w:p>
    <w:p w14:paraId="685B3CA4" w14:textId="77777777" w:rsidR="00FC1816" w:rsidRDefault="00FC1816" w:rsidP="00FC1816"/>
    <w:p w14:paraId="0F325751" w14:textId="77777777" w:rsidR="00FC1816" w:rsidRDefault="00FC1816" w:rsidP="00FC1816">
      <w:pPr>
        <w:sectPr w:rsidR="00FC1816" w:rsidSect="00FC1816">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94C7BF2" w14:textId="77777777" w:rsidR="00FC1816" w:rsidRDefault="00FC1816" w:rsidP="00FC1816">
      <w:r>
        <w:br w:type="page"/>
      </w:r>
    </w:p>
    <w:p w14:paraId="4C6F7E4D" w14:textId="2BC5C1B6" w:rsidR="00855AEA" w:rsidRDefault="00560BAD" w:rsidP="00FC1816">
      <w:pPr>
        <w:pStyle w:val="Heading1"/>
      </w:pPr>
      <w:bookmarkStart w:id="40" w:name="_Toc202006231"/>
      <w:r>
        <w:lastRenderedPageBreak/>
        <w:t>3</w:t>
      </w:r>
      <w:r w:rsidR="00C2388F">
        <w:t>2</w:t>
      </w:r>
      <w:r w:rsidR="00FC1816">
        <w:t xml:space="preserve">. The </w:t>
      </w:r>
      <w:r w:rsidR="007E6554">
        <w:t>Devil Against Daniel Webster</w:t>
      </w:r>
      <w:bookmarkEnd w:id="40"/>
    </w:p>
    <w:p w14:paraId="2CC5CF21" w14:textId="1CAE023A" w:rsidR="0064658B" w:rsidRDefault="0076790B" w:rsidP="0064658B">
      <w:r>
        <w:t>The shaky but still strong</w:t>
      </w:r>
      <w:r w:rsidR="00F4265B">
        <w:t xml:space="preserve"> Webster administration was one which </w:t>
      </w:r>
      <w:proofErr w:type="gramStart"/>
      <w:r w:rsidR="00F4265B">
        <w:t>observers</w:t>
      </w:r>
      <w:proofErr w:type="gramEnd"/>
      <w:r w:rsidR="00F4265B">
        <w:t xml:space="preserve"> reckoned could be </w:t>
      </w:r>
      <w:r w:rsidR="006A6A55">
        <w:t>beaten</w:t>
      </w:r>
      <w:r w:rsidR="00F4265B">
        <w:t xml:space="preserve"> through</w:t>
      </w:r>
      <w:r w:rsidR="00001D50">
        <w:t xml:space="preserve"> a sufficiently ambitious and effective campaign</w:t>
      </w:r>
      <w:r w:rsidR="007A20DD">
        <w:t xml:space="preserve">. </w:t>
      </w:r>
      <w:r w:rsidR="00891012">
        <w:t>Into this came John C. Calhoun</w:t>
      </w:r>
      <w:r w:rsidR="001518D2">
        <w:rPr>
          <w:rStyle w:val="EndnoteReference"/>
        </w:rPr>
        <w:endnoteReference w:id="150"/>
      </w:r>
      <w:r w:rsidR="00891012">
        <w:t xml:space="preserve">. Since the 1832 campaign and the First Nullification Crisis, </w:t>
      </w:r>
      <w:r w:rsidR="00E05A40">
        <w:t xml:space="preserve">Calhoun slowly attempted to </w:t>
      </w:r>
      <w:r w:rsidR="00FF0817">
        <w:t>rebuild his image</w:t>
      </w:r>
      <w:r w:rsidR="00E05A40">
        <w:t xml:space="preserve"> as a</w:t>
      </w:r>
      <w:r w:rsidR="002B4DDF">
        <w:t>n American</w:t>
      </w:r>
      <w:r w:rsidR="00E05A40">
        <w:t xml:space="preserve"> </w:t>
      </w:r>
      <w:r w:rsidR="00FF0817">
        <w:t xml:space="preserve">patriot, if one who believed in </w:t>
      </w:r>
      <w:r w:rsidR="002B4DDF">
        <w:t xml:space="preserve">devolution of power to the states. Come the Missouri Compromise, where his attempts to </w:t>
      </w:r>
      <w:r w:rsidR="00F10A6A">
        <w:t xml:space="preserve">establish a cohesive South issuing ultimatums to the North proved successful in establishing a slave-sided compromise. </w:t>
      </w:r>
      <w:r w:rsidR="00136756">
        <w:t>Choosing not to join t</w:t>
      </w:r>
      <w:r w:rsidR="003F0F6E">
        <w:t>he Pike administration</w:t>
      </w:r>
      <w:r w:rsidR="00136756">
        <w:t xml:space="preserve">, </w:t>
      </w:r>
      <w:r w:rsidR="003F0F6E">
        <w:t xml:space="preserve">he </w:t>
      </w:r>
      <w:r w:rsidR="00136756">
        <w:t xml:space="preserve">was nevertheless influential within it and his allies held the bulk of </w:t>
      </w:r>
      <w:r w:rsidR="00374AE9">
        <w:t xml:space="preserve">cabinet positions. </w:t>
      </w:r>
      <w:r w:rsidR="00D01AE8">
        <w:t xml:space="preserve">Calhoun was a driving force for Pike’s attempts to enforce the Fugitive Slave Act; </w:t>
      </w:r>
      <w:r w:rsidR="00351F08">
        <w:t>in the negotiation whose breakdown preceded t</w:t>
      </w:r>
      <w:r w:rsidR="00D01AE8">
        <w:t xml:space="preserve">he </w:t>
      </w:r>
      <w:r w:rsidR="00351F08">
        <w:t xml:space="preserve">Second Quasi War, he fully supported it as part of protecting and maintaining </w:t>
      </w:r>
      <w:r w:rsidR="00DA4D7A">
        <w:t xml:space="preserve">hemispheric slavery against the rising tide of abolitionism. Though he stumped for Pike in 1840 election and cheered on </w:t>
      </w:r>
      <w:r w:rsidR="000D04D2">
        <w:t xml:space="preserve">his win, he subsequently found himself </w:t>
      </w:r>
      <w:r w:rsidR="008E1C2E">
        <w:t>outmaneuvered by Pike and his Secretary of State, Joel Poinsett</w:t>
      </w:r>
      <w:r w:rsidR="00CA1D06">
        <w:t xml:space="preserve">, and he lost most of his influence in the </w:t>
      </w:r>
      <w:r w:rsidR="00B503B6">
        <w:t>halls of power</w:t>
      </w:r>
      <w:r w:rsidR="00FB4C5D">
        <w:t>. He lost his leadership of the Republican Party</w:t>
      </w:r>
      <w:r w:rsidR="008E1C2E">
        <w:t xml:space="preserve">. </w:t>
      </w:r>
      <w:r w:rsidR="00E36AC5">
        <w:t>Come the Panic of 1842, Calhoun served as a leading critic of Democratic proposals to deal with the economic havoc</w:t>
      </w:r>
      <w:r w:rsidR="00FB4C5D">
        <w:t>, and here he sought to jockey for power within the party – but sniffing out that it would be an electoral defeat, his 1844 campaign</w:t>
      </w:r>
      <w:r w:rsidR="00806AD4">
        <w:t xml:space="preserve"> for the nomination</w:t>
      </w:r>
      <w:r w:rsidR="00FB4C5D">
        <w:t xml:space="preserve"> was almost token</w:t>
      </w:r>
      <w:r w:rsidR="00806AD4">
        <w:t>istic</w:t>
      </w:r>
      <w:r w:rsidR="00FB4C5D">
        <w:t xml:space="preserve">, to </w:t>
      </w:r>
      <w:r w:rsidR="00125064">
        <w:t>keep himself close to the leadership</w:t>
      </w:r>
      <w:r w:rsidR="00FB4C5D">
        <w:t xml:space="preserve">. Horrified that the </w:t>
      </w:r>
      <w:r w:rsidR="00125064">
        <w:t>nationalist Daniel Webster won the Democratic nomination, however, he nevertheless stumped quite hard for Rives</w:t>
      </w:r>
      <w:r w:rsidR="00F05296">
        <w:rPr>
          <w:rStyle w:val="EndnoteReference"/>
        </w:rPr>
        <w:endnoteReference w:id="151"/>
      </w:r>
      <w:r w:rsidR="00125064">
        <w:t xml:space="preserve">, and he saw the announcement of Webster’s victory </w:t>
      </w:r>
      <w:r w:rsidR="00D805C1">
        <w:t xml:space="preserve">with great trepidation. </w:t>
      </w:r>
    </w:p>
    <w:p w14:paraId="43CC4B3F" w14:textId="4477D7FB" w:rsidR="00EC5204" w:rsidRDefault="00EC5204" w:rsidP="0064658B">
      <w:r>
        <w:t>Over the next four years</w:t>
      </w:r>
      <w:r w:rsidR="00CB7F4E">
        <w:t>, Calhoun was hard at work building his name within the Republican Party, as a man who could represent</w:t>
      </w:r>
      <w:r w:rsidR="00C1510B">
        <w:t xml:space="preserve"> not only the South but the entire nation. He took the charge against the Democratic agenda in the Senate and railed against the “Hamiltonian” economics of </w:t>
      </w:r>
      <w:r w:rsidR="00C1510B">
        <w:lastRenderedPageBreak/>
        <w:t xml:space="preserve">Daniel Webster. </w:t>
      </w:r>
      <w:r w:rsidR="00F35940">
        <w:t>At the same time, he clamped down upon neo-nullificationist sentiment incited by the Black Tariff of 1845, to avoid provoking a counterreaction from the Republicans’ northern wing</w:t>
      </w:r>
      <w:r w:rsidR="007C0CF5">
        <w:rPr>
          <w:rStyle w:val="EndnoteReference"/>
        </w:rPr>
        <w:endnoteReference w:id="152"/>
      </w:r>
      <w:r w:rsidR="00F35940">
        <w:t xml:space="preserve">; though the Bluffton </w:t>
      </w:r>
      <w:r w:rsidR="00235D76">
        <w:t>M</w:t>
      </w:r>
      <w:r w:rsidR="00F35940">
        <w:t>ovement</w:t>
      </w:r>
      <w:r w:rsidR="00764719">
        <w:t xml:space="preserve">, </w:t>
      </w:r>
      <w:r w:rsidR="007A6A45">
        <w:t>which tried to use the specter of secession to end the Tariff,</w:t>
      </w:r>
      <w:r w:rsidR="00F35940">
        <w:t xml:space="preserve"> emerge</w:t>
      </w:r>
      <w:r w:rsidR="007A6A45">
        <w:t>d</w:t>
      </w:r>
      <w:r w:rsidR="00F35940">
        <w:t xml:space="preserve"> in South Carolina under the charismatic Robert Barnwell Smith, it was a distinct </w:t>
      </w:r>
      <w:r w:rsidR="001C29E7">
        <w:t>minority</w:t>
      </w:r>
      <w:r w:rsidR="00F35940">
        <w:t xml:space="preserve"> even within that state.</w:t>
      </w:r>
      <w:r w:rsidR="004B3933">
        <w:t xml:space="preserve"> Additionally, Calhoun tried to attract the North to his agenda, with a special focus on the West which he believed could be brought</w:t>
      </w:r>
      <w:r w:rsidR="00037CA9">
        <w:t xml:space="preserve"> onside through its strong commercial connections</w:t>
      </w:r>
      <w:r w:rsidR="00A4217E">
        <w:t xml:space="preserve"> to the South. In an industrial convention in Memphis in </w:t>
      </w:r>
      <w:r w:rsidR="002F45DA">
        <w:t xml:space="preserve">1846, </w:t>
      </w:r>
      <w:r w:rsidR="00F90CBF">
        <w:t xml:space="preserve">to southern and western delegates </w:t>
      </w:r>
      <w:r w:rsidR="002F45DA">
        <w:t>Calhoun declared that</w:t>
      </w:r>
      <w:r w:rsidR="00F90CBF">
        <w:t xml:space="preserve"> he supported a program of industrial improvements to, at once, destroy the rapids in the Mississippi, build a set of railroads radiating from Memphis, and establish a more comprehensive network of canals. </w:t>
      </w:r>
      <w:r w:rsidR="003464FD">
        <w:t xml:space="preserve">The South, he declared, would yield on the issue of internal improvements; the West would in turn agree to a reduction of the tariff. </w:t>
      </w:r>
      <w:r w:rsidR="00B62647">
        <w:t>To this, he was met with cheers</w:t>
      </w:r>
      <w:r w:rsidR="00CA09E3">
        <w:t xml:space="preserve">; that this would implicitly redirect </w:t>
      </w:r>
      <w:r w:rsidR="00766963">
        <w:t xml:space="preserve">the investment, currently being pumped by the bank in the East, towards the West, represented that Calhoun was now bidding for </w:t>
      </w:r>
      <w:r w:rsidR="00160149">
        <w:t>western support</w:t>
      </w:r>
      <w:r w:rsidR="00310C9F">
        <w:rPr>
          <w:rStyle w:val="EndnoteReference"/>
        </w:rPr>
        <w:endnoteReference w:id="153"/>
      </w:r>
      <w:r w:rsidR="00160149">
        <w:t xml:space="preserve">. </w:t>
      </w:r>
      <w:r w:rsidR="00364733">
        <w:t xml:space="preserve">Calhoun also wanted some Northeastern support; the Anti-Catholic roots of much of the Northwestern Republican Party </w:t>
      </w:r>
      <w:r w:rsidR="009C357A">
        <w:t xml:space="preserve">meant that it had never been particularly </w:t>
      </w:r>
      <w:r w:rsidR="00D672CE">
        <w:t>pro-Calhoun</w:t>
      </w:r>
      <w:r w:rsidR="00B35DDD">
        <w:t>,</w:t>
      </w:r>
      <w:r w:rsidR="00D672CE">
        <w:t xml:space="preserve"> </w:t>
      </w:r>
      <w:r w:rsidR="00B35DDD">
        <w:t>but</w:t>
      </w:r>
      <w:r w:rsidR="00D672CE">
        <w:t xml:space="preserve"> here he </w:t>
      </w:r>
      <w:r w:rsidR="001C4C2D">
        <w:t xml:space="preserve">combined </w:t>
      </w:r>
      <w:r w:rsidR="006337CD">
        <w:t>a critique of northern industrial commercialism with a defence of slavery. He declared that</w:t>
      </w:r>
      <w:r w:rsidR="00FE0A02">
        <w:t xml:space="preserve"> slavery was a moderating force on the development of American commerce</w:t>
      </w:r>
      <w:r w:rsidR="004B34DC">
        <w:t xml:space="preserve"> and prevented, for all, potentially deleterious laissez-faire economics</w:t>
      </w:r>
      <w:r w:rsidR="00FE0A02">
        <w:t xml:space="preserve">; in its absence, wages would rather than improving, instead fall to the level of subsistence. A section of the working-class movement had already drifted towards Webster in the name </w:t>
      </w:r>
      <w:r w:rsidR="0006497C">
        <w:t>of a high tariff;</w:t>
      </w:r>
      <w:r w:rsidR="004906F4">
        <w:t xml:space="preserve"> much of</w:t>
      </w:r>
      <w:r w:rsidR="0006497C">
        <w:t xml:space="preserve"> the remainder did find itself falling into Calhoun’s orbit, however</w:t>
      </w:r>
      <w:r w:rsidR="00656779">
        <w:rPr>
          <w:rStyle w:val="EndnoteReference"/>
        </w:rPr>
        <w:endnoteReference w:id="154"/>
      </w:r>
      <w:r w:rsidR="0006497C">
        <w:t xml:space="preserve">. </w:t>
      </w:r>
    </w:p>
    <w:p w14:paraId="127F5E87" w14:textId="0516B18B" w:rsidR="00EF62CF" w:rsidRDefault="00EF62CF" w:rsidP="0064658B">
      <w:r>
        <w:t xml:space="preserve">With the economic shocks of </w:t>
      </w:r>
      <w:r w:rsidR="00630B40">
        <w:t>1847 and 1848, Calhoun became a leading critic of what he castigated as a corrupt scheme of spending</w:t>
      </w:r>
      <w:r w:rsidR="00827631">
        <w:t>, to cheers of the entire Republican Party against the vigorous nationalism of Webster</w:t>
      </w:r>
      <w:r w:rsidR="00A836AF">
        <w:rPr>
          <w:rStyle w:val="EndnoteReference"/>
        </w:rPr>
        <w:endnoteReference w:id="155"/>
      </w:r>
      <w:r w:rsidR="00827631">
        <w:t xml:space="preserve">. </w:t>
      </w:r>
      <w:r w:rsidR="005065A0">
        <w:t xml:space="preserve">He had done it; he had established a singular Republican Party </w:t>
      </w:r>
      <w:r w:rsidR="005065A0">
        <w:lastRenderedPageBreak/>
        <w:t xml:space="preserve">which </w:t>
      </w:r>
      <w:r w:rsidR="00962761">
        <w:t xml:space="preserve">rallied behind him. Come the Republican party convention of 1848, he won its nomination by a broad margin. </w:t>
      </w:r>
      <w:r w:rsidR="0079152D">
        <w:t>And he would face off Daniel Webster in one of the most hard-fought elections in American history.</w:t>
      </w:r>
      <w:r w:rsidR="00FB42D2">
        <w:t xml:space="preserve"> </w:t>
      </w:r>
      <w:r w:rsidR="00B5532D">
        <w:t xml:space="preserve">In a riposte to Webster, Calhoun </w:t>
      </w:r>
      <w:r w:rsidR="00692BF0">
        <w:t>had the convention nominate</w:t>
      </w:r>
      <w:r w:rsidR="00B5532D">
        <w:t xml:space="preserve"> the </w:t>
      </w:r>
      <w:r w:rsidR="00043F26">
        <w:t>New England</w:t>
      </w:r>
      <w:r w:rsidR="00B5532D">
        <w:t xml:space="preserve"> </w:t>
      </w:r>
      <w:proofErr w:type="spellStart"/>
      <w:r w:rsidR="00B5532D">
        <w:t>Calhounian</w:t>
      </w:r>
      <w:proofErr w:type="spellEnd"/>
      <w:r w:rsidR="00B5532D">
        <w:t xml:space="preserve"> David Henshaw as his </w:t>
      </w:r>
      <w:proofErr w:type="gramStart"/>
      <w:r w:rsidR="00692BF0">
        <w:t>vice presidential</w:t>
      </w:r>
      <w:proofErr w:type="gramEnd"/>
      <w:r w:rsidR="00692BF0">
        <w:t xml:space="preserve"> candidate</w:t>
      </w:r>
      <w:r w:rsidR="00B5532D">
        <w:t xml:space="preserve"> – many remarked that the two tickets were mirror images of one another</w:t>
      </w:r>
      <w:r w:rsidR="00692BF0">
        <w:t xml:space="preserve">, </w:t>
      </w:r>
      <w:r w:rsidR="00043F26">
        <w:t xml:space="preserve">the Democrats with the Massachusettsian Daniel Webster and the South Carolinian James L. </w:t>
      </w:r>
      <w:proofErr w:type="spellStart"/>
      <w:r w:rsidR="00043F26">
        <w:t>Petigru</w:t>
      </w:r>
      <w:proofErr w:type="spellEnd"/>
      <w:r w:rsidR="00043F26">
        <w:t xml:space="preserve">, and the Republicans with South Carolinian John C. Calhoun and the Massachusettsian David Henshaw. Both clearly wanted to revive the much-vaunted revolutionary alliance of Massachusetts and South Carolina, but very strongly on their terms. </w:t>
      </w:r>
    </w:p>
    <w:p w14:paraId="78255BCF" w14:textId="4716BE83" w:rsidR="00FB42D2" w:rsidRDefault="000304D8" w:rsidP="0064658B">
      <w:r>
        <w:t>Both Webster and Calhoun launched massive tours of the nation, to win support. Webster’s was more statesmanlike, as he was after all the serving president, while Calhoun’s was more oppositionist, but the two national tours resembled one another. All the work done in building canals and, increasingly, railroads now made it easier than ever to tour the entire nation, to win its votes. And though the two never met one another, they never used the opportunity to launch some national debates – although several of their speeches on their respective economic programs</w:t>
      </w:r>
      <w:r w:rsidR="00C9302E">
        <w:t xml:space="preserve">, or on the testy events of the New </w:t>
      </w:r>
      <w:proofErr w:type="spellStart"/>
      <w:r w:rsidR="00C9302E">
        <w:t>Granadine</w:t>
      </w:r>
      <w:proofErr w:type="spellEnd"/>
      <w:r w:rsidR="00C9302E">
        <w:t xml:space="preserve"> War of Independence,</w:t>
      </w:r>
      <w:r w:rsidR="004906F4">
        <w:t xml:space="preserve"> were clearly written in response to one another, and the viciously partisan press was only too eager to </w:t>
      </w:r>
      <w:r w:rsidR="00375249">
        <w:t>point to</w:t>
      </w:r>
      <w:r w:rsidR="004906F4">
        <w:t xml:space="preserve"> how one speech</w:t>
      </w:r>
      <w:r w:rsidR="00C00C1A">
        <w:t xml:space="preserve"> rebutted another. </w:t>
      </w:r>
      <w:r w:rsidR="00AA3042">
        <w:t>Whether one regards Webster or Calhoun as having prevailed in this contest of speeches</w:t>
      </w:r>
      <w:r w:rsidR="006E08B9">
        <w:t xml:space="preserve">, depended on one’s partisan leanings; today, most historians agree that Webster prevailed, but much of this may be because </w:t>
      </w:r>
      <w:r w:rsidR="00342140">
        <w:t>Webster is remembered as a great American patriot</w:t>
      </w:r>
      <w:r w:rsidR="008E0E8D">
        <w:t>,</w:t>
      </w:r>
      <w:r w:rsidR="00342140">
        <w:t xml:space="preserve"> and Calhoun as </w:t>
      </w:r>
      <w:r w:rsidR="008E0E8D">
        <w:t>the evil genius of the Planter Ascendancy</w:t>
      </w:r>
      <w:r w:rsidR="00F37E83">
        <w:t xml:space="preserve">. </w:t>
      </w:r>
    </w:p>
    <w:p w14:paraId="4CB2A57C" w14:textId="5D142990" w:rsidR="00BA03B9" w:rsidRDefault="00BA03B9" w:rsidP="0064658B">
      <w:r>
        <w:t xml:space="preserve">But nevertheless, the battle lines were drawn very stiffly in the West. </w:t>
      </w:r>
      <w:r w:rsidR="00B5532D">
        <w:t>The</w:t>
      </w:r>
      <w:r w:rsidR="008E4B65">
        <w:t xml:space="preserve"> expansion of the National Bank with its capitalization came with economic growth, but it was a very uneven one. </w:t>
      </w:r>
      <w:r w:rsidR="00460149">
        <w:t xml:space="preserve">It </w:t>
      </w:r>
      <w:r w:rsidR="00460149">
        <w:lastRenderedPageBreak/>
        <w:t>tended to focus on the East as a more stable return on investment, and though it did invest in the East, this was mostly in</w:t>
      </w:r>
      <w:r w:rsidR="002425A6">
        <w:t xml:space="preserve"> Ohio and New Ireland, both of whom were urban, and they increasingly resembled the East more than they did the national image of the West. </w:t>
      </w:r>
      <w:r w:rsidR="00E86484">
        <w:t xml:space="preserve">At the same time, Calhoun’s appeals to the West, towards an agenda that would wrap them more fully towards the mouth of the Mississippi were working, even if his many statements calling for a weak federal government went against him. </w:t>
      </w:r>
      <w:r w:rsidR="005361B0">
        <w:t>He was no longer the crazy man of South Carolina, but instead the venerable successor to Thomas Jefferson who, yes, supported almost revolutionary</w:t>
      </w:r>
      <w:r w:rsidR="00476190">
        <w:t xml:space="preserve"> </w:t>
      </w:r>
      <w:r w:rsidR="00306F3E">
        <w:t xml:space="preserve">doctrines that might threaten national unity, but was also a patriotic American who cherished his country and legitimately believed in its union. </w:t>
      </w:r>
      <w:r w:rsidR="00FF2E4D">
        <w:t xml:space="preserve">And though Webster did very strongly appeal to the west, and indeed he even went so far as to speak of a general </w:t>
      </w:r>
      <w:proofErr w:type="spellStart"/>
      <w:r w:rsidR="00FF2E4D">
        <w:t>Preemption</w:t>
      </w:r>
      <w:proofErr w:type="spellEnd"/>
      <w:r w:rsidR="00FF2E4D">
        <w:t xml:space="preserve"> Act setting a maximum price for public land, </w:t>
      </w:r>
      <w:r w:rsidR="00905A8E">
        <w:t>which though may go against the interests of the New England industrialists he represented, he nevertheless thought good policy for the nation</w:t>
      </w:r>
    </w:p>
    <w:p w14:paraId="19A75064" w14:textId="2E442A9D" w:rsidR="00B83761" w:rsidRPr="0064658B" w:rsidRDefault="00B83761" w:rsidP="0064658B">
      <w:r>
        <w:t>In the end, the 1848 election came to the wire</w:t>
      </w:r>
      <w:r w:rsidR="00C30211">
        <w:rPr>
          <w:rStyle w:val="EndnoteReference"/>
        </w:rPr>
        <w:endnoteReference w:id="156"/>
      </w:r>
      <w:r>
        <w:t xml:space="preserve">. With electric telegraphy </w:t>
      </w:r>
      <w:r w:rsidR="0099083A">
        <w:t>beginning to span</w:t>
      </w:r>
      <w:r>
        <w:t xml:space="preserve"> the nation, and with semaphore towers</w:t>
      </w:r>
      <w:r w:rsidR="005E360F">
        <w:t xml:space="preserve"> </w:t>
      </w:r>
      <w:r w:rsidR="00A02B89">
        <w:t>on their way to</w:t>
      </w:r>
      <w:r>
        <w:t xml:space="preserve"> being either retired or turned into electric telegraph posts, </w:t>
      </w:r>
      <w:r w:rsidR="00167BB2">
        <w:t xml:space="preserve">election results permeated across the nation almost immediately. </w:t>
      </w:r>
      <w:r w:rsidR="00787308">
        <w:t>Most major cities</w:t>
      </w:r>
      <w:r w:rsidR="00394593">
        <w:t xml:space="preserve"> could hear of every electoral vote coming in, as they came in. In the end it was a close-run thing – but Webster’s position as a figure of Northern </w:t>
      </w:r>
      <w:r w:rsidR="00EA5DE0">
        <w:t>pride</w:t>
      </w:r>
      <w:r w:rsidR="00A45FAD">
        <w:t xml:space="preserve">, and his success in </w:t>
      </w:r>
      <w:r w:rsidR="00F76F94">
        <w:t>improving the economy,</w:t>
      </w:r>
      <w:r w:rsidR="00EA5DE0">
        <w:t xml:space="preserve"> meant that</w:t>
      </w:r>
      <w:r w:rsidR="006F10B4">
        <w:t xml:space="preserve"> he won</w:t>
      </w:r>
      <w:r w:rsidR="0088742C">
        <w:rPr>
          <w:rStyle w:val="EndnoteReference"/>
        </w:rPr>
        <w:endnoteReference w:id="157"/>
      </w:r>
      <w:r w:rsidR="006F10B4">
        <w:t xml:space="preserve">. </w:t>
      </w:r>
    </w:p>
    <w:p w14:paraId="0761795D" w14:textId="77777777" w:rsidR="00961CDF" w:rsidRDefault="00961CDF" w:rsidP="00961CDF">
      <w:r>
        <w:br w:type="page"/>
      </w:r>
    </w:p>
    <w:p w14:paraId="4A17BB5D" w14:textId="21FF4BBD" w:rsidR="00961CDF" w:rsidRDefault="00961CDF" w:rsidP="00961CDF">
      <w:pPr>
        <w:pStyle w:val="Caption"/>
      </w:pPr>
      <w:bookmarkStart w:id="41" w:name="_Toc202006266"/>
      <w:r>
        <w:lastRenderedPageBreak/>
        <w:t xml:space="preserve">Figure </w:t>
      </w:r>
      <w:fldSimple w:instr=" SEQ Figure \* ARABIC ">
        <w:r w:rsidR="00567D66">
          <w:rPr>
            <w:noProof/>
          </w:rPr>
          <w:t>10</w:t>
        </w:r>
      </w:fldSimple>
      <w:r>
        <w:t>: The 1848 election, by state</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226"/>
        <w:gridCol w:w="2245"/>
        <w:gridCol w:w="2235"/>
      </w:tblGrid>
      <w:tr w:rsidR="00961CDF" w:rsidRPr="006E24CF" w14:paraId="03755750" w14:textId="77777777" w:rsidTr="00582EC4">
        <w:trPr>
          <w:trHeight w:val="272"/>
        </w:trPr>
        <w:tc>
          <w:tcPr>
            <w:tcW w:w="2554" w:type="dxa"/>
            <w:tcBorders>
              <w:bottom w:val="single" w:sz="4" w:space="0" w:color="auto"/>
              <w:right w:val="single" w:sz="4" w:space="0" w:color="auto"/>
            </w:tcBorders>
          </w:tcPr>
          <w:p w14:paraId="5618DF3D" w14:textId="77777777" w:rsidR="00961CDF" w:rsidRPr="006E24CF" w:rsidRDefault="00961CDF" w:rsidP="00AF4CAA">
            <w:pPr>
              <w:pStyle w:val="NoSpacing"/>
              <w:rPr>
                <w:b/>
                <w:bCs/>
              </w:rPr>
            </w:pPr>
            <w:r w:rsidRPr="006E24CF">
              <w:rPr>
                <w:b/>
                <w:bCs/>
              </w:rPr>
              <w:t>State</w:t>
            </w:r>
          </w:p>
        </w:tc>
        <w:tc>
          <w:tcPr>
            <w:tcW w:w="2226" w:type="dxa"/>
            <w:tcBorders>
              <w:left w:val="single" w:sz="4" w:space="0" w:color="auto"/>
              <w:bottom w:val="single" w:sz="4" w:space="0" w:color="auto"/>
              <w:right w:val="single" w:sz="4" w:space="0" w:color="auto"/>
            </w:tcBorders>
          </w:tcPr>
          <w:p w14:paraId="13390965" w14:textId="69A9CE64" w:rsidR="00961CDF" w:rsidRPr="006E24CF" w:rsidRDefault="00961CDF" w:rsidP="00AF4CAA">
            <w:pPr>
              <w:pStyle w:val="NoSpacing"/>
              <w:rPr>
                <w:b/>
                <w:bCs/>
              </w:rPr>
            </w:pPr>
            <w:r w:rsidRPr="006E24CF">
              <w:rPr>
                <w:b/>
                <w:bCs/>
              </w:rPr>
              <w:t>Elector</w:t>
            </w:r>
            <w:r w:rsidR="000B6844" w:rsidRPr="006E24CF">
              <w:rPr>
                <w:b/>
                <w:bCs/>
              </w:rPr>
              <w:t>al Votes</w:t>
            </w:r>
          </w:p>
        </w:tc>
        <w:tc>
          <w:tcPr>
            <w:tcW w:w="2245" w:type="dxa"/>
            <w:tcBorders>
              <w:left w:val="single" w:sz="4" w:space="0" w:color="auto"/>
              <w:bottom w:val="single" w:sz="4" w:space="0" w:color="auto"/>
            </w:tcBorders>
          </w:tcPr>
          <w:p w14:paraId="0E2A2031" w14:textId="19B89A2B" w:rsidR="00961CDF" w:rsidRPr="006E24CF" w:rsidRDefault="00AF07D0" w:rsidP="00AF4CAA">
            <w:pPr>
              <w:pStyle w:val="NoSpacing"/>
              <w:rPr>
                <w:b/>
                <w:bCs/>
              </w:rPr>
            </w:pPr>
            <w:r w:rsidRPr="006E24CF">
              <w:rPr>
                <w:b/>
                <w:bCs/>
              </w:rPr>
              <w:t>Webster</w:t>
            </w:r>
          </w:p>
        </w:tc>
        <w:tc>
          <w:tcPr>
            <w:tcW w:w="2235" w:type="dxa"/>
            <w:tcBorders>
              <w:bottom w:val="single" w:sz="4" w:space="0" w:color="auto"/>
            </w:tcBorders>
          </w:tcPr>
          <w:p w14:paraId="0121A9A2" w14:textId="01693701" w:rsidR="00961CDF" w:rsidRPr="006E24CF" w:rsidRDefault="00AF07D0" w:rsidP="00AF4CAA">
            <w:pPr>
              <w:pStyle w:val="NoSpacing"/>
              <w:rPr>
                <w:b/>
                <w:bCs/>
              </w:rPr>
            </w:pPr>
            <w:r w:rsidRPr="006E24CF">
              <w:rPr>
                <w:b/>
                <w:bCs/>
              </w:rPr>
              <w:t>Calhoun</w:t>
            </w:r>
          </w:p>
        </w:tc>
      </w:tr>
      <w:tr w:rsidR="00AF07D0" w14:paraId="13E441FD" w14:textId="77777777" w:rsidTr="00582EC4">
        <w:trPr>
          <w:trHeight w:val="266"/>
        </w:trPr>
        <w:tc>
          <w:tcPr>
            <w:tcW w:w="2554" w:type="dxa"/>
            <w:tcBorders>
              <w:top w:val="single" w:sz="4" w:space="0" w:color="auto"/>
              <w:right w:val="single" w:sz="4" w:space="0" w:color="auto"/>
            </w:tcBorders>
          </w:tcPr>
          <w:p w14:paraId="47A35907" w14:textId="77777777" w:rsidR="00AF07D0" w:rsidRDefault="00AF07D0" w:rsidP="00AF4CAA">
            <w:pPr>
              <w:pStyle w:val="NoSpacing"/>
            </w:pPr>
            <w:r w:rsidRPr="00672853">
              <w:t>Mass</w:t>
            </w:r>
            <w:r>
              <w:t>achusetts</w:t>
            </w:r>
          </w:p>
        </w:tc>
        <w:tc>
          <w:tcPr>
            <w:tcW w:w="2226" w:type="dxa"/>
            <w:tcBorders>
              <w:top w:val="single" w:sz="4" w:space="0" w:color="auto"/>
              <w:left w:val="single" w:sz="4" w:space="0" w:color="auto"/>
              <w:right w:val="single" w:sz="4" w:space="0" w:color="auto"/>
            </w:tcBorders>
          </w:tcPr>
          <w:p w14:paraId="609B3305" w14:textId="122ED754" w:rsidR="00AF07D0" w:rsidRDefault="00AF07D0" w:rsidP="00AF4CAA">
            <w:pPr>
              <w:pStyle w:val="NoSpacing"/>
            </w:pPr>
            <w:r w:rsidRPr="009717DF">
              <w:t>22</w:t>
            </w:r>
          </w:p>
        </w:tc>
        <w:tc>
          <w:tcPr>
            <w:tcW w:w="2245" w:type="dxa"/>
            <w:tcBorders>
              <w:top w:val="single" w:sz="4" w:space="0" w:color="auto"/>
              <w:left w:val="single" w:sz="4" w:space="0" w:color="auto"/>
            </w:tcBorders>
          </w:tcPr>
          <w:p w14:paraId="3D0140BA" w14:textId="77614576" w:rsidR="00AF07D0" w:rsidRDefault="00AF07D0" w:rsidP="00AF4CAA">
            <w:pPr>
              <w:pStyle w:val="NoSpacing"/>
            </w:pPr>
            <w:r w:rsidRPr="009717DF">
              <w:t>22</w:t>
            </w:r>
          </w:p>
        </w:tc>
        <w:tc>
          <w:tcPr>
            <w:tcW w:w="2235" w:type="dxa"/>
            <w:tcBorders>
              <w:top w:val="single" w:sz="4" w:space="0" w:color="auto"/>
            </w:tcBorders>
          </w:tcPr>
          <w:p w14:paraId="741CE759" w14:textId="08CD0C4F" w:rsidR="00AF07D0" w:rsidRDefault="00AF07D0" w:rsidP="00AF4CAA">
            <w:pPr>
              <w:pStyle w:val="NoSpacing"/>
            </w:pPr>
            <w:r w:rsidRPr="009717DF">
              <w:t>0</w:t>
            </w:r>
          </w:p>
        </w:tc>
      </w:tr>
      <w:tr w:rsidR="00AF07D0" w14:paraId="74F1A5CB" w14:textId="77777777" w:rsidTr="00582EC4">
        <w:trPr>
          <w:trHeight w:val="272"/>
        </w:trPr>
        <w:tc>
          <w:tcPr>
            <w:tcW w:w="2554" w:type="dxa"/>
            <w:tcBorders>
              <w:right w:val="single" w:sz="4" w:space="0" w:color="auto"/>
            </w:tcBorders>
          </w:tcPr>
          <w:p w14:paraId="36C435BE" w14:textId="77777777" w:rsidR="00AF07D0" w:rsidRDefault="00AF07D0" w:rsidP="00AF4CAA">
            <w:pPr>
              <w:pStyle w:val="NoSpacing"/>
            </w:pPr>
            <w:r w:rsidRPr="00672853">
              <w:t>New Hamp</w:t>
            </w:r>
            <w:r>
              <w:t>shire</w:t>
            </w:r>
          </w:p>
        </w:tc>
        <w:tc>
          <w:tcPr>
            <w:tcW w:w="2226" w:type="dxa"/>
            <w:tcBorders>
              <w:left w:val="single" w:sz="4" w:space="0" w:color="auto"/>
              <w:right w:val="single" w:sz="4" w:space="0" w:color="auto"/>
            </w:tcBorders>
          </w:tcPr>
          <w:p w14:paraId="204E81A8" w14:textId="555A0945" w:rsidR="00AF07D0" w:rsidRDefault="00AF07D0" w:rsidP="00AF4CAA">
            <w:pPr>
              <w:pStyle w:val="NoSpacing"/>
            </w:pPr>
            <w:r w:rsidRPr="009717DF">
              <w:t>7</w:t>
            </w:r>
          </w:p>
        </w:tc>
        <w:tc>
          <w:tcPr>
            <w:tcW w:w="2245" w:type="dxa"/>
            <w:tcBorders>
              <w:left w:val="single" w:sz="4" w:space="0" w:color="auto"/>
            </w:tcBorders>
          </w:tcPr>
          <w:p w14:paraId="7ED0D661" w14:textId="18FDA0D7" w:rsidR="00AF07D0" w:rsidRDefault="00AF07D0" w:rsidP="00AF4CAA">
            <w:pPr>
              <w:pStyle w:val="NoSpacing"/>
            </w:pPr>
            <w:r w:rsidRPr="009717DF">
              <w:t>4</w:t>
            </w:r>
          </w:p>
        </w:tc>
        <w:tc>
          <w:tcPr>
            <w:tcW w:w="2235" w:type="dxa"/>
          </w:tcPr>
          <w:p w14:paraId="2CBD4AF7" w14:textId="672B3BAC" w:rsidR="00AF07D0" w:rsidRDefault="00AF07D0" w:rsidP="00AF4CAA">
            <w:pPr>
              <w:pStyle w:val="NoSpacing"/>
            </w:pPr>
            <w:r w:rsidRPr="009717DF">
              <w:t>3</w:t>
            </w:r>
          </w:p>
        </w:tc>
      </w:tr>
      <w:tr w:rsidR="00AF07D0" w14:paraId="1C8AA9A7" w14:textId="77777777" w:rsidTr="00582EC4">
        <w:trPr>
          <w:trHeight w:val="272"/>
        </w:trPr>
        <w:tc>
          <w:tcPr>
            <w:tcW w:w="2554" w:type="dxa"/>
            <w:tcBorders>
              <w:right w:val="single" w:sz="4" w:space="0" w:color="auto"/>
            </w:tcBorders>
          </w:tcPr>
          <w:p w14:paraId="75724232" w14:textId="77777777" w:rsidR="00AF07D0" w:rsidRDefault="00AF07D0" w:rsidP="00AF4CAA">
            <w:pPr>
              <w:pStyle w:val="NoSpacing"/>
            </w:pPr>
            <w:r w:rsidRPr="00672853">
              <w:t>Vermont</w:t>
            </w:r>
          </w:p>
        </w:tc>
        <w:tc>
          <w:tcPr>
            <w:tcW w:w="2226" w:type="dxa"/>
            <w:tcBorders>
              <w:left w:val="single" w:sz="4" w:space="0" w:color="auto"/>
              <w:right w:val="single" w:sz="4" w:space="0" w:color="auto"/>
            </w:tcBorders>
          </w:tcPr>
          <w:p w14:paraId="3B627645" w14:textId="29247DFE" w:rsidR="00AF07D0" w:rsidRDefault="00AF07D0" w:rsidP="00AF4CAA">
            <w:pPr>
              <w:pStyle w:val="NoSpacing"/>
            </w:pPr>
            <w:r w:rsidRPr="009717DF">
              <w:t>6</w:t>
            </w:r>
          </w:p>
        </w:tc>
        <w:tc>
          <w:tcPr>
            <w:tcW w:w="2245" w:type="dxa"/>
            <w:tcBorders>
              <w:left w:val="single" w:sz="4" w:space="0" w:color="auto"/>
            </w:tcBorders>
          </w:tcPr>
          <w:p w14:paraId="4B600384" w14:textId="090541B3" w:rsidR="00AF07D0" w:rsidRDefault="00AF07D0" w:rsidP="00AF4CAA">
            <w:pPr>
              <w:pStyle w:val="NoSpacing"/>
            </w:pPr>
            <w:r w:rsidRPr="009717DF">
              <w:t>6</w:t>
            </w:r>
          </w:p>
        </w:tc>
        <w:tc>
          <w:tcPr>
            <w:tcW w:w="2235" w:type="dxa"/>
          </w:tcPr>
          <w:p w14:paraId="3D73BF9C" w14:textId="4C06D754" w:rsidR="00AF07D0" w:rsidRDefault="00AF07D0" w:rsidP="00AF4CAA">
            <w:pPr>
              <w:pStyle w:val="NoSpacing"/>
            </w:pPr>
            <w:r w:rsidRPr="009717DF">
              <w:t>0</w:t>
            </w:r>
          </w:p>
        </w:tc>
      </w:tr>
      <w:tr w:rsidR="00AF07D0" w14:paraId="382211DE" w14:textId="77777777" w:rsidTr="00582EC4">
        <w:trPr>
          <w:trHeight w:val="266"/>
        </w:trPr>
        <w:tc>
          <w:tcPr>
            <w:tcW w:w="2554" w:type="dxa"/>
            <w:tcBorders>
              <w:right w:val="single" w:sz="4" w:space="0" w:color="auto"/>
            </w:tcBorders>
          </w:tcPr>
          <w:p w14:paraId="0E9B2750" w14:textId="77777777" w:rsidR="00AF07D0" w:rsidRDefault="00AF07D0" w:rsidP="00AF4CAA">
            <w:pPr>
              <w:pStyle w:val="NoSpacing"/>
            </w:pPr>
            <w:r w:rsidRPr="00672853">
              <w:t>Rhode Is</w:t>
            </w:r>
            <w:r>
              <w:t>land</w:t>
            </w:r>
          </w:p>
        </w:tc>
        <w:tc>
          <w:tcPr>
            <w:tcW w:w="2226" w:type="dxa"/>
            <w:tcBorders>
              <w:left w:val="single" w:sz="4" w:space="0" w:color="auto"/>
              <w:right w:val="single" w:sz="4" w:space="0" w:color="auto"/>
            </w:tcBorders>
          </w:tcPr>
          <w:p w14:paraId="713FF204" w14:textId="601ABEDA" w:rsidR="00AF07D0" w:rsidRDefault="00AF07D0" w:rsidP="00AF4CAA">
            <w:pPr>
              <w:pStyle w:val="NoSpacing"/>
            </w:pPr>
            <w:r w:rsidRPr="009717DF">
              <w:t>5</w:t>
            </w:r>
          </w:p>
        </w:tc>
        <w:tc>
          <w:tcPr>
            <w:tcW w:w="2245" w:type="dxa"/>
            <w:tcBorders>
              <w:left w:val="single" w:sz="4" w:space="0" w:color="auto"/>
            </w:tcBorders>
          </w:tcPr>
          <w:p w14:paraId="3D346802" w14:textId="32E81AF1" w:rsidR="00AF07D0" w:rsidRDefault="00AF07D0" w:rsidP="00AF4CAA">
            <w:pPr>
              <w:pStyle w:val="NoSpacing"/>
            </w:pPr>
            <w:r w:rsidRPr="009717DF">
              <w:t>5</w:t>
            </w:r>
          </w:p>
        </w:tc>
        <w:tc>
          <w:tcPr>
            <w:tcW w:w="2235" w:type="dxa"/>
          </w:tcPr>
          <w:p w14:paraId="1E86E594" w14:textId="774C1209" w:rsidR="00AF07D0" w:rsidRDefault="00AF07D0" w:rsidP="00AF4CAA">
            <w:pPr>
              <w:pStyle w:val="NoSpacing"/>
            </w:pPr>
            <w:r w:rsidRPr="009717DF">
              <w:t>0</w:t>
            </w:r>
          </w:p>
        </w:tc>
      </w:tr>
      <w:tr w:rsidR="00AF07D0" w14:paraId="14711206" w14:textId="77777777" w:rsidTr="00582EC4">
        <w:trPr>
          <w:trHeight w:val="272"/>
        </w:trPr>
        <w:tc>
          <w:tcPr>
            <w:tcW w:w="2554" w:type="dxa"/>
            <w:tcBorders>
              <w:right w:val="single" w:sz="4" w:space="0" w:color="auto"/>
            </w:tcBorders>
          </w:tcPr>
          <w:p w14:paraId="0E1446D8" w14:textId="77777777" w:rsidR="00AF07D0" w:rsidRDefault="00AF07D0" w:rsidP="00AF4CAA">
            <w:pPr>
              <w:pStyle w:val="NoSpacing"/>
            </w:pPr>
            <w:r w:rsidRPr="00672853">
              <w:t>Conn</w:t>
            </w:r>
            <w:r>
              <w:t>ecticut</w:t>
            </w:r>
          </w:p>
        </w:tc>
        <w:tc>
          <w:tcPr>
            <w:tcW w:w="2226" w:type="dxa"/>
            <w:tcBorders>
              <w:left w:val="single" w:sz="4" w:space="0" w:color="auto"/>
              <w:right w:val="single" w:sz="4" w:space="0" w:color="auto"/>
            </w:tcBorders>
          </w:tcPr>
          <w:p w14:paraId="3AEE941A" w14:textId="513C39F7" w:rsidR="00AF07D0" w:rsidRDefault="00AF07D0" w:rsidP="00AF4CAA">
            <w:pPr>
              <w:pStyle w:val="NoSpacing"/>
            </w:pPr>
            <w:r w:rsidRPr="009717DF">
              <w:t>8</w:t>
            </w:r>
          </w:p>
        </w:tc>
        <w:tc>
          <w:tcPr>
            <w:tcW w:w="2245" w:type="dxa"/>
            <w:tcBorders>
              <w:left w:val="single" w:sz="4" w:space="0" w:color="auto"/>
            </w:tcBorders>
          </w:tcPr>
          <w:p w14:paraId="6DB475CB" w14:textId="2788A6EE" w:rsidR="00AF07D0" w:rsidRDefault="00AF07D0" w:rsidP="00AF4CAA">
            <w:pPr>
              <w:pStyle w:val="NoSpacing"/>
            </w:pPr>
            <w:r w:rsidRPr="009717DF">
              <w:t>8</w:t>
            </w:r>
          </w:p>
        </w:tc>
        <w:tc>
          <w:tcPr>
            <w:tcW w:w="2235" w:type="dxa"/>
          </w:tcPr>
          <w:p w14:paraId="3F17F078" w14:textId="7323686E" w:rsidR="00AF07D0" w:rsidRDefault="00AF07D0" w:rsidP="00AF4CAA">
            <w:pPr>
              <w:pStyle w:val="NoSpacing"/>
            </w:pPr>
            <w:r w:rsidRPr="009717DF">
              <w:t>0</w:t>
            </w:r>
          </w:p>
        </w:tc>
      </w:tr>
      <w:tr w:rsidR="00AF07D0" w14:paraId="2D89690D" w14:textId="77777777" w:rsidTr="00582EC4">
        <w:trPr>
          <w:trHeight w:val="272"/>
        </w:trPr>
        <w:tc>
          <w:tcPr>
            <w:tcW w:w="2554" w:type="dxa"/>
            <w:tcBorders>
              <w:right w:val="single" w:sz="4" w:space="0" w:color="auto"/>
            </w:tcBorders>
          </w:tcPr>
          <w:p w14:paraId="50CD2F45" w14:textId="77777777" w:rsidR="00AF07D0" w:rsidRDefault="00AF07D0" w:rsidP="00AF4CAA">
            <w:pPr>
              <w:pStyle w:val="NoSpacing"/>
            </w:pPr>
            <w:r w:rsidRPr="00672853">
              <w:t>New York</w:t>
            </w:r>
          </w:p>
        </w:tc>
        <w:tc>
          <w:tcPr>
            <w:tcW w:w="2226" w:type="dxa"/>
            <w:tcBorders>
              <w:left w:val="single" w:sz="4" w:space="0" w:color="auto"/>
              <w:right w:val="single" w:sz="4" w:space="0" w:color="auto"/>
            </w:tcBorders>
          </w:tcPr>
          <w:p w14:paraId="6A9B41A8" w14:textId="771C388F" w:rsidR="00AF07D0" w:rsidRDefault="00AF07D0" w:rsidP="00AF4CAA">
            <w:pPr>
              <w:pStyle w:val="NoSpacing"/>
            </w:pPr>
            <w:r w:rsidRPr="009717DF">
              <w:t>40</w:t>
            </w:r>
          </w:p>
        </w:tc>
        <w:tc>
          <w:tcPr>
            <w:tcW w:w="2245" w:type="dxa"/>
            <w:tcBorders>
              <w:left w:val="single" w:sz="4" w:space="0" w:color="auto"/>
            </w:tcBorders>
          </w:tcPr>
          <w:p w14:paraId="6132B0D5" w14:textId="3188E49C" w:rsidR="00AF07D0" w:rsidRDefault="00AF07D0" w:rsidP="00AF4CAA">
            <w:pPr>
              <w:pStyle w:val="NoSpacing"/>
            </w:pPr>
            <w:r w:rsidRPr="009717DF">
              <w:t>32</w:t>
            </w:r>
          </w:p>
        </w:tc>
        <w:tc>
          <w:tcPr>
            <w:tcW w:w="2235" w:type="dxa"/>
          </w:tcPr>
          <w:p w14:paraId="70B6BD4F" w14:textId="65535030" w:rsidR="00AF07D0" w:rsidRDefault="00AF07D0" w:rsidP="00AF4CAA">
            <w:pPr>
              <w:pStyle w:val="NoSpacing"/>
            </w:pPr>
            <w:r w:rsidRPr="009717DF">
              <w:t>8</w:t>
            </w:r>
          </w:p>
        </w:tc>
      </w:tr>
      <w:tr w:rsidR="00AF07D0" w14:paraId="6102FA22" w14:textId="77777777" w:rsidTr="00582EC4">
        <w:trPr>
          <w:trHeight w:val="272"/>
        </w:trPr>
        <w:tc>
          <w:tcPr>
            <w:tcW w:w="2554" w:type="dxa"/>
            <w:tcBorders>
              <w:right w:val="single" w:sz="4" w:space="0" w:color="auto"/>
            </w:tcBorders>
          </w:tcPr>
          <w:p w14:paraId="0B8FDA30" w14:textId="77777777" w:rsidR="00AF07D0" w:rsidRDefault="00AF07D0" w:rsidP="00AF4CAA">
            <w:pPr>
              <w:pStyle w:val="NoSpacing"/>
            </w:pPr>
            <w:r w:rsidRPr="00672853">
              <w:t>Penn</w:t>
            </w:r>
            <w:r>
              <w:t>sylvania</w:t>
            </w:r>
          </w:p>
        </w:tc>
        <w:tc>
          <w:tcPr>
            <w:tcW w:w="2226" w:type="dxa"/>
            <w:tcBorders>
              <w:left w:val="single" w:sz="4" w:space="0" w:color="auto"/>
              <w:right w:val="single" w:sz="4" w:space="0" w:color="auto"/>
            </w:tcBorders>
          </w:tcPr>
          <w:p w14:paraId="28B21B56" w14:textId="2D586F00" w:rsidR="00AF07D0" w:rsidRDefault="00AF07D0" w:rsidP="00AF4CAA">
            <w:pPr>
              <w:pStyle w:val="NoSpacing"/>
            </w:pPr>
            <w:r w:rsidRPr="009717DF">
              <w:t>29</w:t>
            </w:r>
          </w:p>
        </w:tc>
        <w:tc>
          <w:tcPr>
            <w:tcW w:w="2245" w:type="dxa"/>
            <w:tcBorders>
              <w:left w:val="single" w:sz="4" w:space="0" w:color="auto"/>
            </w:tcBorders>
          </w:tcPr>
          <w:p w14:paraId="53CF790C" w14:textId="07963DA6" w:rsidR="00AF07D0" w:rsidRDefault="00AF07D0" w:rsidP="00AF4CAA">
            <w:pPr>
              <w:pStyle w:val="NoSpacing"/>
            </w:pPr>
            <w:r w:rsidRPr="009717DF">
              <w:t>26</w:t>
            </w:r>
          </w:p>
        </w:tc>
        <w:tc>
          <w:tcPr>
            <w:tcW w:w="2235" w:type="dxa"/>
          </w:tcPr>
          <w:p w14:paraId="5963B426" w14:textId="70E6BC34" w:rsidR="00AF07D0" w:rsidRDefault="00AF07D0" w:rsidP="00AF4CAA">
            <w:pPr>
              <w:pStyle w:val="NoSpacing"/>
            </w:pPr>
            <w:r w:rsidRPr="009717DF">
              <w:t>3</w:t>
            </w:r>
          </w:p>
        </w:tc>
      </w:tr>
      <w:tr w:rsidR="00AF07D0" w14:paraId="342393A9" w14:textId="77777777" w:rsidTr="00582EC4">
        <w:trPr>
          <w:trHeight w:val="266"/>
        </w:trPr>
        <w:tc>
          <w:tcPr>
            <w:tcW w:w="2554" w:type="dxa"/>
            <w:tcBorders>
              <w:right w:val="single" w:sz="4" w:space="0" w:color="auto"/>
            </w:tcBorders>
          </w:tcPr>
          <w:p w14:paraId="4A42CC82" w14:textId="77777777" w:rsidR="00AF07D0" w:rsidRDefault="00AF07D0" w:rsidP="00AF4CAA">
            <w:pPr>
              <w:pStyle w:val="NoSpacing"/>
            </w:pPr>
            <w:r w:rsidRPr="00672853">
              <w:t>New Jersey</w:t>
            </w:r>
          </w:p>
        </w:tc>
        <w:tc>
          <w:tcPr>
            <w:tcW w:w="2226" w:type="dxa"/>
            <w:tcBorders>
              <w:left w:val="single" w:sz="4" w:space="0" w:color="auto"/>
              <w:right w:val="single" w:sz="4" w:space="0" w:color="auto"/>
            </w:tcBorders>
          </w:tcPr>
          <w:p w14:paraId="7FAC6F1D" w14:textId="459F748A" w:rsidR="00AF07D0" w:rsidRDefault="00AF07D0" w:rsidP="00AF4CAA">
            <w:pPr>
              <w:pStyle w:val="NoSpacing"/>
            </w:pPr>
            <w:r w:rsidRPr="009717DF">
              <w:t>11</w:t>
            </w:r>
          </w:p>
        </w:tc>
        <w:tc>
          <w:tcPr>
            <w:tcW w:w="2245" w:type="dxa"/>
            <w:tcBorders>
              <w:left w:val="single" w:sz="4" w:space="0" w:color="auto"/>
            </w:tcBorders>
          </w:tcPr>
          <w:p w14:paraId="152FAE37" w14:textId="60CFCF27" w:rsidR="00AF07D0" w:rsidRDefault="00AF07D0" w:rsidP="00AF4CAA">
            <w:pPr>
              <w:pStyle w:val="NoSpacing"/>
            </w:pPr>
            <w:r w:rsidRPr="009717DF">
              <w:t>10</w:t>
            </w:r>
          </w:p>
        </w:tc>
        <w:tc>
          <w:tcPr>
            <w:tcW w:w="2235" w:type="dxa"/>
          </w:tcPr>
          <w:p w14:paraId="613B1F10" w14:textId="1793ABA7" w:rsidR="00AF07D0" w:rsidRDefault="00AF07D0" w:rsidP="00AF4CAA">
            <w:pPr>
              <w:pStyle w:val="NoSpacing"/>
            </w:pPr>
            <w:r w:rsidRPr="009717DF">
              <w:t>1</w:t>
            </w:r>
          </w:p>
        </w:tc>
      </w:tr>
      <w:tr w:rsidR="00AF07D0" w14:paraId="1D5DF85E" w14:textId="77777777" w:rsidTr="00582EC4">
        <w:trPr>
          <w:trHeight w:val="272"/>
        </w:trPr>
        <w:tc>
          <w:tcPr>
            <w:tcW w:w="2554" w:type="dxa"/>
            <w:tcBorders>
              <w:right w:val="single" w:sz="4" w:space="0" w:color="auto"/>
            </w:tcBorders>
          </w:tcPr>
          <w:p w14:paraId="53E494FB" w14:textId="77777777" w:rsidR="00AF07D0" w:rsidRDefault="00AF07D0" w:rsidP="00AF4CAA">
            <w:pPr>
              <w:pStyle w:val="NoSpacing"/>
            </w:pPr>
            <w:r w:rsidRPr="00672853">
              <w:t>Delaware</w:t>
            </w:r>
          </w:p>
        </w:tc>
        <w:tc>
          <w:tcPr>
            <w:tcW w:w="2226" w:type="dxa"/>
            <w:tcBorders>
              <w:left w:val="single" w:sz="4" w:space="0" w:color="auto"/>
              <w:right w:val="single" w:sz="4" w:space="0" w:color="auto"/>
            </w:tcBorders>
          </w:tcPr>
          <w:p w14:paraId="0334522E" w14:textId="2DD85A85" w:rsidR="00AF07D0" w:rsidRDefault="00AF07D0" w:rsidP="00AF4CAA">
            <w:pPr>
              <w:pStyle w:val="NoSpacing"/>
            </w:pPr>
            <w:r w:rsidRPr="009717DF">
              <w:t>3</w:t>
            </w:r>
          </w:p>
        </w:tc>
        <w:tc>
          <w:tcPr>
            <w:tcW w:w="2245" w:type="dxa"/>
            <w:tcBorders>
              <w:left w:val="single" w:sz="4" w:space="0" w:color="auto"/>
            </w:tcBorders>
          </w:tcPr>
          <w:p w14:paraId="09415EE5" w14:textId="32D10425" w:rsidR="00AF07D0" w:rsidRDefault="00AF07D0" w:rsidP="00AF4CAA">
            <w:pPr>
              <w:pStyle w:val="NoSpacing"/>
            </w:pPr>
            <w:r w:rsidRPr="009717DF">
              <w:t>1</w:t>
            </w:r>
          </w:p>
        </w:tc>
        <w:tc>
          <w:tcPr>
            <w:tcW w:w="2235" w:type="dxa"/>
          </w:tcPr>
          <w:p w14:paraId="2BE222CE" w14:textId="5B872B57" w:rsidR="00AF07D0" w:rsidRDefault="00AF07D0" w:rsidP="00AF4CAA">
            <w:pPr>
              <w:pStyle w:val="NoSpacing"/>
            </w:pPr>
            <w:r w:rsidRPr="009717DF">
              <w:t>2</w:t>
            </w:r>
          </w:p>
        </w:tc>
      </w:tr>
      <w:tr w:rsidR="00AF07D0" w14:paraId="6C751681" w14:textId="77777777" w:rsidTr="00582EC4">
        <w:trPr>
          <w:trHeight w:val="272"/>
        </w:trPr>
        <w:tc>
          <w:tcPr>
            <w:tcW w:w="2554" w:type="dxa"/>
            <w:tcBorders>
              <w:right w:val="single" w:sz="4" w:space="0" w:color="auto"/>
            </w:tcBorders>
          </w:tcPr>
          <w:p w14:paraId="390DF9F0" w14:textId="77777777" w:rsidR="00AF07D0" w:rsidRDefault="00AF07D0" w:rsidP="00AF4CAA">
            <w:pPr>
              <w:pStyle w:val="NoSpacing"/>
            </w:pPr>
            <w:r w:rsidRPr="00672853">
              <w:t>Maryland</w:t>
            </w:r>
          </w:p>
        </w:tc>
        <w:tc>
          <w:tcPr>
            <w:tcW w:w="2226" w:type="dxa"/>
            <w:tcBorders>
              <w:left w:val="single" w:sz="4" w:space="0" w:color="auto"/>
              <w:right w:val="single" w:sz="4" w:space="0" w:color="auto"/>
            </w:tcBorders>
          </w:tcPr>
          <w:p w14:paraId="683A4ED4" w14:textId="08258071" w:rsidR="00AF07D0" w:rsidRDefault="00AF07D0" w:rsidP="00AF4CAA">
            <w:pPr>
              <w:pStyle w:val="NoSpacing"/>
            </w:pPr>
            <w:r w:rsidRPr="009717DF">
              <w:t>8</w:t>
            </w:r>
          </w:p>
        </w:tc>
        <w:tc>
          <w:tcPr>
            <w:tcW w:w="2245" w:type="dxa"/>
            <w:tcBorders>
              <w:left w:val="single" w:sz="4" w:space="0" w:color="auto"/>
            </w:tcBorders>
          </w:tcPr>
          <w:p w14:paraId="1FEF0D0F" w14:textId="727D48B5" w:rsidR="00AF07D0" w:rsidRDefault="00AF07D0" w:rsidP="00AF4CAA">
            <w:pPr>
              <w:pStyle w:val="NoSpacing"/>
            </w:pPr>
            <w:r w:rsidRPr="009717DF">
              <w:t>1</w:t>
            </w:r>
          </w:p>
        </w:tc>
        <w:tc>
          <w:tcPr>
            <w:tcW w:w="2235" w:type="dxa"/>
          </w:tcPr>
          <w:p w14:paraId="30D4BD76" w14:textId="08460F5B" w:rsidR="00AF07D0" w:rsidRDefault="00AF07D0" w:rsidP="00AF4CAA">
            <w:pPr>
              <w:pStyle w:val="NoSpacing"/>
            </w:pPr>
            <w:r w:rsidRPr="009717DF">
              <w:t>7</w:t>
            </w:r>
          </w:p>
        </w:tc>
      </w:tr>
      <w:tr w:rsidR="00AF07D0" w14:paraId="6EAD56BC" w14:textId="77777777" w:rsidTr="00582EC4">
        <w:trPr>
          <w:trHeight w:val="272"/>
        </w:trPr>
        <w:tc>
          <w:tcPr>
            <w:tcW w:w="2554" w:type="dxa"/>
            <w:tcBorders>
              <w:right w:val="single" w:sz="4" w:space="0" w:color="auto"/>
            </w:tcBorders>
          </w:tcPr>
          <w:p w14:paraId="62ED4D5F" w14:textId="77777777" w:rsidR="00AF07D0" w:rsidRDefault="00AF07D0" w:rsidP="00AF4CAA">
            <w:pPr>
              <w:pStyle w:val="NoSpacing"/>
            </w:pPr>
            <w:r w:rsidRPr="00672853">
              <w:t>Ohio</w:t>
            </w:r>
          </w:p>
        </w:tc>
        <w:tc>
          <w:tcPr>
            <w:tcW w:w="2226" w:type="dxa"/>
            <w:tcBorders>
              <w:left w:val="single" w:sz="4" w:space="0" w:color="auto"/>
              <w:right w:val="single" w:sz="4" w:space="0" w:color="auto"/>
            </w:tcBorders>
          </w:tcPr>
          <w:p w14:paraId="44BE0EC0" w14:textId="4A9878DD" w:rsidR="00AF07D0" w:rsidRDefault="00AF07D0" w:rsidP="00AF4CAA">
            <w:pPr>
              <w:pStyle w:val="NoSpacing"/>
            </w:pPr>
            <w:r w:rsidRPr="009717DF">
              <w:t>2</w:t>
            </w:r>
            <w:r w:rsidR="00A45FAD">
              <w:t>6</w:t>
            </w:r>
          </w:p>
        </w:tc>
        <w:tc>
          <w:tcPr>
            <w:tcW w:w="2245" w:type="dxa"/>
            <w:tcBorders>
              <w:left w:val="single" w:sz="4" w:space="0" w:color="auto"/>
            </w:tcBorders>
          </w:tcPr>
          <w:p w14:paraId="4A48C267" w14:textId="77BAAF1B" w:rsidR="00AF07D0" w:rsidRDefault="00AF07D0" w:rsidP="00AF4CAA">
            <w:pPr>
              <w:pStyle w:val="NoSpacing"/>
            </w:pPr>
            <w:r w:rsidRPr="009717DF">
              <w:t>1</w:t>
            </w:r>
            <w:r w:rsidR="00A45FAD">
              <w:t>6</w:t>
            </w:r>
          </w:p>
        </w:tc>
        <w:tc>
          <w:tcPr>
            <w:tcW w:w="2235" w:type="dxa"/>
          </w:tcPr>
          <w:p w14:paraId="6456BD69" w14:textId="1CBC638E" w:rsidR="00AF07D0" w:rsidRDefault="00AF07D0" w:rsidP="00AF4CAA">
            <w:pPr>
              <w:pStyle w:val="NoSpacing"/>
            </w:pPr>
            <w:r w:rsidRPr="009717DF">
              <w:t>10</w:t>
            </w:r>
          </w:p>
        </w:tc>
      </w:tr>
      <w:tr w:rsidR="00AF07D0" w14:paraId="03357DDA" w14:textId="77777777" w:rsidTr="00582EC4">
        <w:trPr>
          <w:trHeight w:val="272"/>
        </w:trPr>
        <w:tc>
          <w:tcPr>
            <w:tcW w:w="2554" w:type="dxa"/>
            <w:tcBorders>
              <w:right w:val="single" w:sz="4" w:space="0" w:color="auto"/>
            </w:tcBorders>
          </w:tcPr>
          <w:p w14:paraId="0AE5523A" w14:textId="77777777" w:rsidR="00AF07D0" w:rsidRDefault="00AF07D0" w:rsidP="00AF4CAA">
            <w:pPr>
              <w:pStyle w:val="NoSpacing"/>
            </w:pPr>
            <w:r w:rsidRPr="00672853">
              <w:t>New Ireland</w:t>
            </w:r>
          </w:p>
        </w:tc>
        <w:tc>
          <w:tcPr>
            <w:tcW w:w="2226" w:type="dxa"/>
            <w:tcBorders>
              <w:left w:val="single" w:sz="4" w:space="0" w:color="auto"/>
              <w:right w:val="single" w:sz="4" w:space="0" w:color="auto"/>
            </w:tcBorders>
          </w:tcPr>
          <w:p w14:paraId="1A902C27" w14:textId="115FD3E7" w:rsidR="00AF07D0" w:rsidRDefault="00382EDB" w:rsidP="00AF4CAA">
            <w:pPr>
              <w:pStyle w:val="NoSpacing"/>
            </w:pPr>
            <w:r>
              <w:t>7</w:t>
            </w:r>
          </w:p>
        </w:tc>
        <w:tc>
          <w:tcPr>
            <w:tcW w:w="2245" w:type="dxa"/>
            <w:tcBorders>
              <w:left w:val="single" w:sz="4" w:space="0" w:color="auto"/>
            </w:tcBorders>
          </w:tcPr>
          <w:p w14:paraId="27FA86AC" w14:textId="50DD51CB" w:rsidR="00AF07D0" w:rsidRDefault="00382EDB" w:rsidP="00AF4CAA">
            <w:pPr>
              <w:pStyle w:val="NoSpacing"/>
            </w:pPr>
            <w:r>
              <w:t>4</w:t>
            </w:r>
          </w:p>
        </w:tc>
        <w:tc>
          <w:tcPr>
            <w:tcW w:w="2235" w:type="dxa"/>
          </w:tcPr>
          <w:p w14:paraId="510D384B" w14:textId="41DEAE78" w:rsidR="00AF07D0" w:rsidRDefault="00AF07D0" w:rsidP="00AF4CAA">
            <w:pPr>
              <w:pStyle w:val="NoSpacing"/>
            </w:pPr>
            <w:r w:rsidRPr="009717DF">
              <w:t>3</w:t>
            </w:r>
          </w:p>
        </w:tc>
      </w:tr>
      <w:tr w:rsidR="00AF07D0" w14:paraId="1F7E6D60" w14:textId="77777777" w:rsidTr="00582EC4">
        <w:trPr>
          <w:trHeight w:val="266"/>
        </w:trPr>
        <w:tc>
          <w:tcPr>
            <w:tcW w:w="2554" w:type="dxa"/>
            <w:tcBorders>
              <w:right w:val="single" w:sz="4" w:space="0" w:color="auto"/>
            </w:tcBorders>
          </w:tcPr>
          <w:p w14:paraId="3629B730" w14:textId="77777777" w:rsidR="00AF07D0" w:rsidRPr="00F330C5" w:rsidRDefault="00AF07D0" w:rsidP="00AF4CAA">
            <w:pPr>
              <w:pStyle w:val="NoSpacing"/>
            </w:pPr>
            <w:r w:rsidRPr="00672853">
              <w:t>Huron</w:t>
            </w:r>
          </w:p>
        </w:tc>
        <w:tc>
          <w:tcPr>
            <w:tcW w:w="2226" w:type="dxa"/>
            <w:tcBorders>
              <w:left w:val="single" w:sz="4" w:space="0" w:color="auto"/>
              <w:right w:val="single" w:sz="4" w:space="0" w:color="auto"/>
            </w:tcBorders>
          </w:tcPr>
          <w:p w14:paraId="79657F9B" w14:textId="6FB6BF61" w:rsidR="00AF07D0" w:rsidRPr="00F330C5" w:rsidRDefault="00901B11" w:rsidP="00AF4CAA">
            <w:pPr>
              <w:pStyle w:val="NoSpacing"/>
            </w:pPr>
            <w:r>
              <w:t>5</w:t>
            </w:r>
          </w:p>
        </w:tc>
        <w:tc>
          <w:tcPr>
            <w:tcW w:w="2245" w:type="dxa"/>
            <w:tcBorders>
              <w:left w:val="single" w:sz="4" w:space="0" w:color="auto"/>
            </w:tcBorders>
          </w:tcPr>
          <w:p w14:paraId="45DD65FA" w14:textId="1208F680" w:rsidR="00AF07D0" w:rsidRPr="00F330C5" w:rsidRDefault="00901B11" w:rsidP="00AF4CAA">
            <w:pPr>
              <w:pStyle w:val="NoSpacing"/>
            </w:pPr>
            <w:r>
              <w:t>3</w:t>
            </w:r>
          </w:p>
        </w:tc>
        <w:tc>
          <w:tcPr>
            <w:tcW w:w="2235" w:type="dxa"/>
          </w:tcPr>
          <w:p w14:paraId="599E0DA6" w14:textId="3F1E5991" w:rsidR="00AF07D0" w:rsidRPr="00F330C5" w:rsidRDefault="00901B11" w:rsidP="00AF4CAA">
            <w:pPr>
              <w:pStyle w:val="NoSpacing"/>
            </w:pPr>
            <w:r>
              <w:t>2</w:t>
            </w:r>
          </w:p>
        </w:tc>
      </w:tr>
      <w:tr w:rsidR="00AF07D0" w14:paraId="435F9A76" w14:textId="77777777" w:rsidTr="00582EC4">
        <w:trPr>
          <w:trHeight w:val="272"/>
        </w:trPr>
        <w:tc>
          <w:tcPr>
            <w:tcW w:w="2554" w:type="dxa"/>
            <w:tcBorders>
              <w:right w:val="single" w:sz="4" w:space="0" w:color="auto"/>
            </w:tcBorders>
          </w:tcPr>
          <w:p w14:paraId="5036CE12" w14:textId="77777777" w:rsidR="00AF07D0" w:rsidRDefault="00AF07D0" w:rsidP="00AF4CAA">
            <w:pPr>
              <w:pStyle w:val="NoSpacing"/>
            </w:pPr>
            <w:r w:rsidRPr="00672853">
              <w:t>Indiana</w:t>
            </w:r>
          </w:p>
        </w:tc>
        <w:tc>
          <w:tcPr>
            <w:tcW w:w="2226" w:type="dxa"/>
            <w:tcBorders>
              <w:left w:val="single" w:sz="4" w:space="0" w:color="auto"/>
              <w:right w:val="single" w:sz="4" w:space="0" w:color="auto"/>
            </w:tcBorders>
          </w:tcPr>
          <w:p w14:paraId="618C6C58" w14:textId="56F4A16C" w:rsidR="00AF07D0" w:rsidRDefault="00AF07D0" w:rsidP="00AF4CAA">
            <w:pPr>
              <w:pStyle w:val="NoSpacing"/>
            </w:pPr>
            <w:r w:rsidRPr="009717DF">
              <w:t>13</w:t>
            </w:r>
          </w:p>
        </w:tc>
        <w:tc>
          <w:tcPr>
            <w:tcW w:w="2245" w:type="dxa"/>
            <w:tcBorders>
              <w:left w:val="single" w:sz="4" w:space="0" w:color="auto"/>
            </w:tcBorders>
          </w:tcPr>
          <w:p w14:paraId="632543B5" w14:textId="46AA3880" w:rsidR="00AF07D0" w:rsidRDefault="00AF07D0" w:rsidP="00AF4CAA">
            <w:pPr>
              <w:pStyle w:val="NoSpacing"/>
            </w:pPr>
            <w:r w:rsidRPr="009717DF">
              <w:t>4</w:t>
            </w:r>
          </w:p>
        </w:tc>
        <w:tc>
          <w:tcPr>
            <w:tcW w:w="2235" w:type="dxa"/>
          </w:tcPr>
          <w:p w14:paraId="27A36B7E" w14:textId="27EA7B43" w:rsidR="00AF07D0" w:rsidRDefault="00AF07D0" w:rsidP="00AF4CAA">
            <w:pPr>
              <w:pStyle w:val="NoSpacing"/>
            </w:pPr>
            <w:r w:rsidRPr="009717DF">
              <w:t>9</w:t>
            </w:r>
          </w:p>
        </w:tc>
      </w:tr>
      <w:tr w:rsidR="00AF07D0" w14:paraId="5552DE8A" w14:textId="77777777" w:rsidTr="00582EC4">
        <w:trPr>
          <w:trHeight w:val="272"/>
        </w:trPr>
        <w:tc>
          <w:tcPr>
            <w:tcW w:w="2554" w:type="dxa"/>
            <w:tcBorders>
              <w:right w:val="single" w:sz="4" w:space="0" w:color="auto"/>
            </w:tcBorders>
          </w:tcPr>
          <w:p w14:paraId="45B58AF7" w14:textId="77777777" w:rsidR="00AF07D0" w:rsidRDefault="00AF07D0" w:rsidP="00AF4CAA">
            <w:pPr>
              <w:pStyle w:val="NoSpacing"/>
            </w:pPr>
            <w:r w:rsidRPr="00672853">
              <w:t>Illinois</w:t>
            </w:r>
          </w:p>
        </w:tc>
        <w:tc>
          <w:tcPr>
            <w:tcW w:w="2226" w:type="dxa"/>
            <w:tcBorders>
              <w:left w:val="single" w:sz="4" w:space="0" w:color="auto"/>
              <w:right w:val="single" w:sz="4" w:space="0" w:color="auto"/>
            </w:tcBorders>
          </w:tcPr>
          <w:p w14:paraId="60A1075C" w14:textId="0F06D5D4" w:rsidR="00AF07D0" w:rsidRDefault="00AF07D0" w:rsidP="00AF4CAA">
            <w:pPr>
              <w:pStyle w:val="NoSpacing"/>
            </w:pPr>
            <w:r w:rsidRPr="009717DF">
              <w:t>8</w:t>
            </w:r>
          </w:p>
        </w:tc>
        <w:tc>
          <w:tcPr>
            <w:tcW w:w="2245" w:type="dxa"/>
            <w:tcBorders>
              <w:left w:val="single" w:sz="4" w:space="0" w:color="auto"/>
            </w:tcBorders>
          </w:tcPr>
          <w:p w14:paraId="1CA44843" w14:textId="5861D52D" w:rsidR="00AF07D0" w:rsidRDefault="00AF07D0" w:rsidP="00AF4CAA">
            <w:pPr>
              <w:pStyle w:val="NoSpacing"/>
            </w:pPr>
            <w:r w:rsidRPr="009717DF">
              <w:t>1</w:t>
            </w:r>
          </w:p>
        </w:tc>
        <w:tc>
          <w:tcPr>
            <w:tcW w:w="2235" w:type="dxa"/>
          </w:tcPr>
          <w:p w14:paraId="65750522" w14:textId="63B99945" w:rsidR="00AF07D0" w:rsidRDefault="00AF07D0" w:rsidP="00AF4CAA">
            <w:pPr>
              <w:pStyle w:val="NoSpacing"/>
            </w:pPr>
            <w:r w:rsidRPr="009717DF">
              <w:t>7</w:t>
            </w:r>
          </w:p>
        </w:tc>
      </w:tr>
      <w:tr w:rsidR="00AF07D0" w14:paraId="786E0A37" w14:textId="77777777" w:rsidTr="00582EC4">
        <w:trPr>
          <w:trHeight w:val="272"/>
        </w:trPr>
        <w:tc>
          <w:tcPr>
            <w:tcW w:w="2554" w:type="dxa"/>
            <w:tcBorders>
              <w:right w:val="single" w:sz="4" w:space="0" w:color="auto"/>
            </w:tcBorders>
          </w:tcPr>
          <w:p w14:paraId="67303144" w14:textId="77777777" w:rsidR="00AF07D0" w:rsidRDefault="00AF07D0" w:rsidP="00AF4CAA">
            <w:pPr>
              <w:pStyle w:val="NoSpacing"/>
            </w:pPr>
            <w:r w:rsidRPr="00672853">
              <w:t>Virginia</w:t>
            </w:r>
          </w:p>
        </w:tc>
        <w:tc>
          <w:tcPr>
            <w:tcW w:w="2226" w:type="dxa"/>
            <w:tcBorders>
              <w:left w:val="single" w:sz="4" w:space="0" w:color="auto"/>
              <w:right w:val="single" w:sz="4" w:space="0" w:color="auto"/>
            </w:tcBorders>
          </w:tcPr>
          <w:p w14:paraId="3EDEF570" w14:textId="62E7C7B6" w:rsidR="00AF07D0" w:rsidRDefault="00AF07D0" w:rsidP="00AF4CAA">
            <w:pPr>
              <w:pStyle w:val="NoSpacing"/>
            </w:pPr>
            <w:r w:rsidRPr="009717DF">
              <w:t>21</w:t>
            </w:r>
          </w:p>
        </w:tc>
        <w:tc>
          <w:tcPr>
            <w:tcW w:w="2245" w:type="dxa"/>
            <w:tcBorders>
              <w:left w:val="single" w:sz="4" w:space="0" w:color="auto"/>
            </w:tcBorders>
          </w:tcPr>
          <w:p w14:paraId="0A7AAD92" w14:textId="2EE88C49" w:rsidR="00AF07D0" w:rsidRDefault="00AF07D0" w:rsidP="00AF4CAA">
            <w:pPr>
              <w:pStyle w:val="NoSpacing"/>
            </w:pPr>
            <w:r w:rsidRPr="009717DF">
              <w:t>3</w:t>
            </w:r>
          </w:p>
        </w:tc>
        <w:tc>
          <w:tcPr>
            <w:tcW w:w="2235" w:type="dxa"/>
          </w:tcPr>
          <w:p w14:paraId="1F617263" w14:textId="713739E7" w:rsidR="00AF07D0" w:rsidRDefault="00AF07D0" w:rsidP="00AF4CAA">
            <w:pPr>
              <w:pStyle w:val="NoSpacing"/>
            </w:pPr>
            <w:r w:rsidRPr="009717DF">
              <w:t>18</w:t>
            </w:r>
          </w:p>
        </w:tc>
      </w:tr>
      <w:tr w:rsidR="00AF07D0" w14:paraId="41C364A8" w14:textId="77777777" w:rsidTr="00582EC4">
        <w:trPr>
          <w:trHeight w:val="266"/>
        </w:trPr>
        <w:tc>
          <w:tcPr>
            <w:tcW w:w="2554" w:type="dxa"/>
            <w:tcBorders>
              <w:right w:val="single" w:sz="4" w:space="0" w:color="auto"/>
            </w:tcBorders>
          </w:tcPr>
          <w:p w14:paraId="308AE069" w14:textId="77777777" w:rsidR="00AF07D0" w:rsidRDefault="00AF07D0" w:rsidP="00AF4CAA">
            <w:pPr>
              <w:pStyle w:val="NoSpacing"/>
            </w:pPr>
            <w:r w:rsidRPr="00672853">
              <w:t>Kentucky</w:t>
            </w:r>
          </w:p>
        </w:tc>
        <w:tc>
          <w:tcPr>
            <w:tcW w:w="2226" w:type="dxa"/>
            <w:tcBorders>
              <w:left w:val="single" w:sz="4" w:space="0" w:color="auto"/>
              <w:right w:val="single" w:sz="4" w:space="0" w:color="auto"/>
            </w:tcBorders>
          </w:tcPr>
          <w:p w14:paraId="5ACFDC82" w14:textId="3CFDA11D" w:rsidR="00AF07D0" w:rsidRDefault="00AF07D0" w:rsidP="00AF4CAA">
            <w:pPr>
              <w:pStyle w:val="NoSpacing"/>
            </w:pPr>
            <w:r w:rsidRPr="009717DF">
              <w:t>14</w:t>
            </w:r>
          </w:p>
        </w:tc>
        <w:tc>
          <w:tcPr>
            <w:tcW w:w="2245" w:type="dxa"/>
            <w:tcBorders>
              <w:left w:val="single" w:sz="4" w:space="0" w:color="auto"/>
            </w:tcBorders>
          </w:tcPr>
          <w:p w14:paraId="734B4230" w14:textId="3E56D81A" w:rsidR="00AF07D0" w:rsidRDefault="00AF07D0" w:rsidP="00AF4CAA">
            <w:pPr>
              <w:pStyle w:val="NoSpacing"/>
            </w:pPr>
            <w:r w:rsidRPr="009717DF">
              <w:t>12</w:t>
            </w:r>
          </w:p>
        </w:tc>
        <w:tc>
          <w:tcPr>
            <w:tcW w:w="2235" w:type="dxa"/>
          </w:tcPr>
          <w:p w14:paraId="293718E9" w14:textId="22AD8E86" w:rsidR="00AF07D0" w:rsidRDefault="00AF07D0" w:rsidP="00AF4CAA">
            <w:pPr>
              <w:pStyle w:val="NoSpacing"/>
            </w:pPr>
            <w:r w:rsidRPr="009717DF">
              <w:t>2</w:t>
            </w:r>
          </w:p>
        </w:tc>
      </w:tr>
      <w:tr w:rsidR="00AF07D0" w14:paraId="66489171" w14:textId="77777777" w:rsidTr="00582EC4">
        <w:trPr>
          <w:trHeight w:val="272"/>
        </w:trPr>
        <w:tc>
          <w:tcPr>
            <w:tcW w:w="2554" w:type="dxa"/>
            <w:tcBorders>
              <w:right w:val="single" w:sz="4" w:space="0" w:color="auto"/>
            </w:tcBorders>
          </w:tcPr>
          <w:p w14:paraId="7FF95BD7" w14:textId="77777777" w:rsidR="00AF07D0" w:rsidRPr="00F330C5" w:rsidRDefault="00AF07D0" w:rsidP="00AF4CAA">
            <w:pPr>
              <w:pStyle w:val="NoSpacing"/>
            </w:pPr>
            <w:r w:rsidRPr="00672853">
              <w:t>Tennessee</w:t>
            </w:r>
          </w:p>
        </w:tc>
        <w:tc>
          <w:tcPr>
            <w:tcW w:w="2226" w:type="dxa"/>
            <w:tcBorders>
              <w:left w:val="single" w:sz="4" w:space="0" w:color="auto"/>
              <w:right w:val="single" w:sz="4" w:space="0" w:color="auto"/>
            </w:tcBorders>
          </w:tcPr>
          <w:p w14:paraId="1C454D01" w14:textId="23F95CDB" w:rsidR="00AF07D0" w:rsidRPr="00F330C5" w:rsidRDefault="00AF07D0" w:rsidP="00AF4CAA">
            <w:pPr>
              <w:pStyle w:val="NoSpacing"/>
            </w:pPr>
            <w:r w:rsidRPr="009717DF">
              <w:t>13</w:t>
            </w:r>
          </w:p>
        </w:tc>
        <w:tc>
          <w:tcPr>
            <w:tcW w:w="2245" w:type="dxa"/>
            <w:tcBorders>
              <w:left w:val="single" w:sz="4" w:space="0" w:color="auto"/>
            </w:tcBorders>
          </w:tcPr>
          <w:p w14:paraId="29A7E99E" w14:textId="3D6E79DE" w:rsidR="00AF07D0" w:rsidRPr="00F330C5" w:rsidRDefault="00AF07D0" w:rsidP="00AF4CAA">
            <w:pPr>
              <w:pStyle w:val="NoSpacing"/>
            </w:pPr>
            <w:r w:rsidRPr="009717DF">
              <w:t>7</w:t>
            </w:r>
          </w:p>
        </w:tc>
        <w:tc>
          <w:tcPr>
            <w:tcW w:w="2235" w:type="dxa"/>
          </w:tcPr>
          <w:p w14:paraId="29BA2C77" w14:textId="62195A1A" w:rsidR="00AF07D0" w:rsidRPr="00F330C5" w:rsidRDefault="00AF07D0" w:rsidP="00AF4CAA">
            <w:pPr>
              <w:pStyle w:val="NoSpacing"/>
            </w:pPr>
            <w:r w:rsidRPr="009717DF">
              <w:t>6</w:t>
            </w:r>
          </w:p>
        </w:tc>
      </w:tr>
      <w:tr w:rsidR="00AF07D0" w14:paraId="0BE7EA69" w14:textId="77777777" w:rsidTr="00582EC4">
        <w:trPr>
          <w:trHeight w:val="272"/>
        </w:trPr>
        <w:tc>
          <w:tcPr>
            <w:tcW w:w="2554" w:type="dxa"/>
            <w:tcBorders>
              <w:right w:val="single" w:sz="4" w:space="0" w:color="auto"/>
            </w:tcBorders>
          </w:tcPr>
          <w:p w14:paraId="09008F72" w14:textId="77777777" w:rsidR="00AF07D0" w:rsidRPr="00F330C5" w:rsidRDefault="00AF07D0" w:rsidP="00AF4CAA">
            <w:pPr>
              <w:pStyle w:val="NoSpacing"/>
            </w:pPr>
            <w:r w:rsidRPr="00672853">
              <w:t>North Carolina</w:t>
            </w:r>
          </w:p>
        </w:tc>
        <w:tc>
          <w:tcPr>
            <w:tcW w:w="2226" w:type="dxa"/>
            <w:tcBorders>
              <w:left w:val="single" w:sz="4" w:space="0" w:color="auto"/>
              <w:right w:val="single" w:sz="4" w:space="0" w:color="auto"/>
            </w:tcBorders>
          </w:tcPr>
          <w:p w14:paraId="758BB166" w14:textId="5328296D" w:rsidR="00AF07D0" w:rsidRPr="00F330C5" w:rsidRDefault="00AF07D0" w:rsidP="00AF4CAA">
            <w:pPr>
              <w:pStyle w:val="NoSpacing"/>
            </w:pPr>
            <w:r w:rsidRPr="009717DF">
              <w:t>11</w:t>
            </w:r>
          </w:p>
        </w:tc>
        <w:tc>
          <w:tcPr>
            <w:tcW w:w="2245" w:type="dxa"/>
            <w:tcBorders>
              <w:left w:val="single" w:sz="4" w:space="0" w:color="auto"/>
            </w:tcBorders>
          </w:tcPr>
          <w:p w14:paraId="0B217D9C" w14:textId="551100B2" w:rsidR="00AF07D0" w:rsidRPr="00F330C5" w:rsidRDefault="00AF07D0" w:rsidP="00AF4CAA">
            <w:pPr>
              <w:pStyle w:val="NoSpacing"/>
            </w:pPr>
            <w:r w:rsidRPr="009717DF">
              <w:t>1</w:t>
            </w:r>
          </w:p>
        </w:tc>
        <w:tc>
          <w:tcPr>
            <w:tcW w:w="2235" w:type="dxa"/>
          </w:tcPr>
          <w:p w14:paraId="1EDC7E59" w14:textId="31480B8A" w:rsidR="00AF07D0" w:rsidRPr="00F330C5" w:rsidRDefault="00AF07D0" w:rsidP="00AF4CAA">
            <w:pPr>
              <w:pStyle w:val="NoSpacing"/>
            </w:pPr>
            <w:r w:rsidRPr="009717DF">
              <w:t>10</w:t>
            </w:r>
          </w:p>
        </w:tc>
      </w:tr>
      <w:tr w:rsidR="00AF07D0" w14:paraId="5314236D" w14:textId="77777777" w:rsidTr="00582EC4">
        <w:trPr>
          <w:trHeight w:val="272"/>
        </w:trPr>
        <w:tc>
          <w:tcPr>
            <w:tcW w:w="2554" w:type="dxa"/>
            <w:tcBorders>
              <w:right w:val="single" w:sz="4" w:space="0" w:color="auto"/>
            </w:tcBorders>
          </w:tcPr>
          <w:p w14:paraId="5B187BF6" w14:textId="77777777" w:rsidR="00AF07D0" w:rsidRPr="00F330C5" w:rsidRDefault="00AF07D0" w:rsidP="00AF4CAA">
            <w:pPr>
              <w:pStyle w:val="NoSpacing"/>
            </w:pPr>
            <w:r w:rsidRPr="00672853">
              <w:t>South Carolina</w:t>
            </w:r>
          </w:p>
        </w:tc>
        <w:tc>
          <w:tcPr>
            <w:tcW w:w="2226" w:type="dxa"/>
            <w:tcBorders>
              <w:left w:val="single" w:sz="4" w:space="0" w:color="auto"/>
              <w:right w:val="single" w:sz="4" w:space="0" w:color="auto"/>
            </w:tcBorders>
          </w:tcPr>
          <w:p w14:paraId="55586096" w14:textId="06BAF467" w:rsidR="00AF07D0" w:rsidRPr="00F330C5" w:rsidRDefault="00AF07D0" w:rsidP="00AF4CAA">
            <w:pPr>
              <w:pStyle w:val="NoSpacing"/>
            </w:pPr>
            <w:r w:rsidRPr="009717DF">
              <w:t>10</w:t>
            </w:r>
          </w:p>
        </w:tc>
        <w:tc>
          <w:tcPr>
            <w:tcW w:w="2245" w:type="dxa"/>
            <w:tcBorders>
              <w:left w:val="single" w:sz="4" w:space="0" w:color="auto"/>
            </w:tcBorders>
          </w:tcPr>
          <w:p w14:paraId="3A7E3AA0" w14:textId="79B20FC5" w:rsidR="00AF07D0" w:rsidRPr="00F330C5" w:rsidRDefault="00AF07D0" w:rsidP="00AF4CAA">
            <w:pPr>
              <w:pStyle w:val="NoSpacing"/>
            </w:pPr>
            <w:r w:rsidRPr="009717DF">
              <w:t>0</w:t>
            </w:r>
          </w:p>
        </w:tc>
        <w:tc>
          <w:tcPr>
            <w:tcW w:w="2235" w:type="dxa"/>
          </w:tcPr>
          <w:p w14:paraId="179BE7B1" w14:textId="7A4A25C2" w:rsidR="00AF07D0" w:rsidRPr="00F330C5" w:rsidRDefault="00AF07D0" w:rsidP="00AF4CAA">
            <w:pPr>
              <w:pStyle w:val="NoSpacing"/>
            </w:pPr>
            <w:r w:rsidRPr="009717DF">
              <w:t>10</w:t>
            </w:r>
          </w:p>
        </w:tc>
      </w:tr>
      <w:tr w:rsidR="00AF07D0" w14:paraId="011587ED" w14:textId="77777777" w:rsidTr="00582EC4">
        <w:trPr>
          <w:trHeight w:val="266"/>
        </w:trPr>
        <w:tc>
          <w:tcPr>
            <w:tcW w:w="2554" w:type="dxa"/>
            <w:tcBorders>
              <w:right w:val="single" w:sz="4" w:space="0" w:color="auto"/>
            </w:tcBorders>
          </w:tcPr>
          <w:p w14:paraId="469FFA4B" w14:textId="77777777" w:rsidR="00AF07D0" w:rsidRPr="00F330C5" w:rsidRDefault="00AF07D0" w:rsidP="00AF4CAA">
            <w:pPr>
              <w:pStyle w:val="NoSpacing"/>
            </w:pPr>
            <w:r w:rsidRPr="00672853">
              <w:t>Georgia</w:t>
            </w:r>
          </w:p>
        </w:tc>
        <w:tc>
          <w:tcPr>
            <w:tcW w:w="2226" w:type="dxa"/>
            <w:tcBorders>
              <w:left w:val="single" w:sz="4" w:space="0" w:color="auto"/>
              <w:right w:val="single" w:sz="4" w:space="0" w:color="auto"/>
            </w:tcBorders>
          </w:tcPr>
          <w:p w14:paraId="0251E618" w14:textId="1444A04E" w:rsidR="00AF07D0" w:rsidRPr="00F330C5" w:rsidRDefault="00AF07D0" w:rsidP="00AF4CAA">
            <w:pPr>
              <w:pStyle w:val="NoSpacing"/>
            </w:pPr>
            <w:r w:rsidRPr="009717DF">
              <w:t>10</w:t>
            </w:r>
          </w:p>
        </w:tc>
        <w:tc>
          <w:tcPr>
            <w:tcW w:w="2245" w:type="dxa"/>
            <w:tcBorders>
              <w:left w:val="single" w:sz="4" w:space="0" w:color="auto"/>
            </w:tcBorders>
          </w:tcPr>
          <w:p w14:paraId="1AF4C7D7" w14:textId="05233B18" w:rsidR="00AF07D0" w:rsidRPr="00F330C5" w:rsidRDefault="00AF07D0" w:rsidP="00AF4CAA">
            <w:pPr>
              <w:pStyle w:val="NoSpacing"/>
            </w:pPr>
            <w:r w:rsidRPr="009717DF">
              <w:t>0</w:t>
            </w:r>
          </w:p>
        </w:tc>
        <w:tc>
          <w:tcPr>
            <w:tcW w:w="2235" w:type="dxa"/>
          </w:tcPr>
          <w:p w14:paraId="3BA34186" w14:textId="69ABB3EA" w:rsidR="00AF07D0" w:rsidRPr="00F330C5" w:rsidRDefault="00AF07D0" w:rsidP="00AF4CAA">
            <w:pPr>
              <w:pStyle w:val="NoSpacing"/>
            </w:pPr>
            <w:r w:rsidRPr="009717DF">
              <w:t>10</w:t>
            </w:r>
          </w:p>
        </w:tc>
      </w:tr>
      <w:tr w:rsidR="00AF07D0" w14:paraId="5635BDE1" w14:textId="77777777" w:rsidTr="00582EC4">
        <w:trPr>
          <w:trHeight w:val="272"/>
        </w:trPr>
        <w:tc>
          <w:tcPr>
            <w:tcW w:w="2554" w:type="dxa"/>
            <w:tcBorders>
              <w:right w:val="single" w:sz="4" w:space="0" w:color="auto"/>
            </w:tcBorders>
          </w:tcPr>
          <w:p w14:paraId="320C4532" w14:textId="77777777" w:rsidR="00AF07D0" w:rsidRPr="00F330C5" w:rsidRDefault="00AF07D0" w:rsidP="00AF4CAA">
            <w:pPr>
              <w:pStyle w:val="NoSpacing"/>
            </w:pPr>
            <w:r w:rsidRPr="00672853">
              <w:t>Yazoo</w:t>
            </w:r>
          </w:p>
        </w:tc>
        <w:tc>
          <w:tcPr>
            <w:tcW w:w="2226" w:type="dxa"/>
            <w:tcBorders>
              <w:left w:val="single" w:sz="4" w:space="0" w:color="auto"/>
              <w:right w:val="single" w:sz="4" w:space="0" w:color="auto"/>
            </w:tcBorders>
          </w:tcPr>
          <w:p w14:paraId="1BC76E8D" w14:textId="6324E286" w:rsidR="00AF07D0" w:rsidRPr="00F330C5" w:rsidRDefault="00AF07D0" w:rsidP="00AF4CAA">
            <w:pPr>
              <w:pStyle w:val="NoSpacing"/>
            </w:pPr>
            <w:r w:rsidRPr="009717DF">
              <w:t>10</w:t>
            </w:r>
          </w:p>
        </w:tc>
        <w:tc>
          <w:tcPr>
            <w:tcW w:w="2245" w:type="dxa"/>
            <w:tcBorders>
              <w:left w:val="single" w:sz="4" w:space="0" w:color="auto"/>
            </w:tcBorders>
          </w:tcPr>
          <w:p w14:paraId="4CE8DEF7" w14:textId="0DAA406B" w:rsidR="00AF07D0" w:rsidRPr="00F330C5" w:rsidRDefault="00AF07D0" w:rsidP="00AF4CAA">
            <w:pPr>
              <w:pStyle w:val="NoSpacing"/>
            </w:pPr>
            <w:r w:rsidRPr="009717DF">
              <w:t>0</w:t>
            </w:r>
          </w:p>
        </w:tc>
        <w:tc>
          <w:tcPr>
            <w:tcW w:w="2235" w:type="dxa"/>
          </w:tcPr>
          <w:p w14:paraId="1CBE93B8" w14:textId="650B2C3E" w:rsidR="00AF07D0" w:rsidRPr="00F330C5" w:rsidRDefault="00AF07D0" w:rsidP="00AF4CAA">
            <w:pPr>
              <w:pStyle w:val="NoSpacing"/>
            </w:pPr>
            <w:r w:rsidRPr="009717DF">
              <w:t>10</w:t>
            </w:r>
          </w:p>
        </w:tc>
      </w:tr>
      <w:tr w:rsidR="00AF07D0" w14:paraId="3859643F" w14:textId="77777777" w:rsidTr="00582EC4">
        <w:trPr>
          <w:trHeight w:val="272"/>
        </w:trPr>
        <w:tc>
          <w:tcPr>
            <w:tcW w:w="2554" w:type="dxa"/>
            <w:tcBorders>
              <w:right w:val="single" w:sz="4" w:space="0" w:color="auto"/>
            </w:tcBorders>
          </w:tcPr>
          <w:p w14:paraId="66C237E1" w14:textId="77777777" w:rsidR="00AF07D0" w:rsidRPr="00F330C5" w:rsidRDefault="00AF07D0" w:rsidP="00AF4CAA">
            <w:pPr>
              <w:pStyle w:val="NoSpacing"/>
            </w:pPr>
            <w:r w:rsidRPr="00672853">
              <w:t>Mississippi</w:t>
            </w:r>
          </w:p>
        </w:tc>
        <w:tc>
          <w:tcPr>
            <w:tcW w:w="2226" w:type="dxa"/>
            <w:tcBorders>
              <w:left w:val="single" w:sz="4" w:space="0" w:color="auto"/>
              <w:right w:val="single" w:sz="4" w:space="0" w:color="auto"/>
            </w:tcBorders>
          </w:tcPr>
          <w:p w14:paraId="43E69618" w14:textId="27DE7D82" w:rsidR="00AF07D0" w:rsidRPr="00F330C5" w:rsidRDefault="00AF07D0" w:rsidP="00AF4CAA">
            <w:pPr>
              <w:pStyle w:val="NoSpacing"/>
            </w:pPr>
            <w:r w:rsidRPr="009717DF">
              <w:t>5</w:t>
            </w:r>
          </w:p>
        </w:tc>
        <w:tc>
          <w:tcPr>
            <w:tcW w:w="2245" w:type="dxa"/>
            <w:tcBorders>
              <w:left w:val="single" w:sz="4" w:space="0" w:color="auto"/>
            </w:tcBorders>
          </w:tcPr>
          <w:p w14:paraId="0018EB04" w14:textId="105D9DCA" w:rsidR="00AF07D0" w:rsidRPr="00F330C5" w:rsidRDefault="00AF07D0" w:rsidP="00AF4CAA">
            <w:pPr>
              <w:pStyle w:val="NoSpacing"/>
            </w:pPr>
            <w:r w:rsidRPr="009717DF">
              <w:t>0</w:t>
            </w:r>
          </w:p>
        </w:tc>
        <w:tc>
          <w:tcPr>
            <w:tcW w:w="2235" w:type="dxa"/>
          </w:tcPr>
          <w:p w14:paraId="56FCB931" w14:textId="74A9DF17" w:rsidR="00AF07D0" w:rsidRPr="00F330C5" w:rsidRDefault="00AF07D0" w:rsidP="00AF4CAA">
            <w:pPr>
              <w:pStyle w:val="NoSpacing"/>
            </w:pPr>
            <w:r w:rsidRPr="009717DF">
              <w:t>5</w:t>
            </w:r>
          </w:p>
        </w:tc>
      </w:tr>
      <w:tr w:rsidR="00AF07D0" w14:paraId="40892AFC" w14:textId="77777777" w:rsidTr="00582EC4">
        <w:trPr>
          <w:trHeight w:val="272"/>
        </w:trPr>
        <w:tc>
          <w:tcPr>
            <w:tcW w:w="2554" w:type="dxa"/>
            <w:tcBorders>
              <w:right w:val="single" w:sz="4" w:space="0" w:color="auto"/>
            </w:tcBorders>
          </w:tcPr>
          <w:p w14:paraId="58678506" w14:textId="77777777" w:rsidR="00AF07D0" w:rsidRPr="00672853" w:rsidRDefault="00AF07D0" w:rsidP="00AF4CAA">
            <w:pPr>
              <w:pStyle w:val="NoSpacing"/>
            </w:pPr>
            <w:r>
              <w:t>Missouri</w:t>
            </w:r>
          </w:p>
        </w:tc>
        <w:tc>
          <w:tcPr>
            <w:tcW w:w="2226" w:type="dxa"/>
            <w:tcBorders>
              <w:left w:val="single" w:sz="4" w:space="0" w:color="auto"/>
              <w:right w:val="single" w:sz="4" w:space="0" w:color="auto"/>
            </w:tcBorders>
          </w:tcPr>
          <w:p w14:paraId="1667239B" w14:textId="43A650BC" w:rsidR="00AF07D0" w:rsidRPr="005A3471" w:rsidRDefault="00AF07D0" w:rsidP="00AF4CAA">
            <w:pPr>
              <w:pStyle w:val="NoSpacing"/>
            </w:pPr>
            <w:r w:rsidRPr="009717DF">
              <w:t>6</w:t>
            </w:r>
          </w:p>
        </w:tc>
        <w:tc>
          <w:tcPr>
            <w:tcW w:w="2245" w:type="dxa"/>
            <w:tcBorders>
              <w:left w:val="single" w:sz="4" w:space="0" w:color="auto"/>
            </w:tcBorders>
          </w:tcPr>
          <w:p w14:paraId="0DCD9E6B" w14:textId="2393D025" w:rsidR="00AF07D0" w:rsidRPr="005A3471" w:rsidRDefault="00AF07D0" w:rsidP="00AF4CAA">
            <w:pPr>
              <w:pStyle w:val="NoSpacing"/>
            </w:pPr>
            <w:r w:rsidRPr="009717DF">
              <w:t>0</w:t>
            </w:r>
          </w:p>
        </w:tc>
        <w:tc>
          <w:tcPr>
            <w:tcW w:w="2235" w:type="dxa"/>
          </w:tcPr>
          <w:p w14:paraId="24432FB0" w14:textId="65C83D5C" w:rsidR="00AF07D0" w:rsidRPr="003F21FA" w:rsidRDefault="00AF07D0" w:rsidP="00AF4CAA">
            <w:pPr>
              <w:pStyle w:val="NoSpacing"/>
            </w:pPr>
            <w:r w:rsidRPr="009717DF">
              <w:t>6</w:t>
            </w:r>
          </w:p>
        </w:tc>
      </w:tr>
      <w:tr w:rsidR="00AF07D0" w14:paraId="1AF44E6F" w14:textId="77777777" w:rsidTr="00582EC4">
        <w:trPr>
          <w:trHeight w:val="266"/>
        </w:trPr>
        <w:tc>
          <w:tcPr>
            <w:tcW w:w="2554" w:type="dxa"/>
            <w:tcBorders>
              <w:bottom w:val="single" w:sz="4" w:space="0" w:color="auto"/>
              <w:right w:val="single" w:sz="4" w:space="0" w:color="auto"/>
            </w:tcBorders>
          </w:tcPr>
          <w:p w14:paraId="6942DA4A" w14:textId="77777777" w:rsidR="00AF07D0" w:rsidRDefault="00AF07D0" w:rsidP="00AF4CAA">
            <w:pPr>
              <w:pStyle w:val="NoSpacing"/>
            </w:pPr>
            <w:r w:rsidRPr="00672853">
              <w:t>Orleans</w:t>
            </w:r>
          </w:p>
        </w:tc>
        <w:tc>
          <w:tcPr>
            <w:tcW w:w="2226" w:type="dxa"/>
            <w:tcBorders>
              <w:left w:val="single" w:sz="4" w:space="0" w:color="auto"/>
              <w:bottom w:val="single" w:sz="4" w:space="0" w:color="auto"/>
              <w:right w:val="single" w:sz="4" w:space="0" w:color="auto"/>
            </w:tcBorders>
          </w:tcPr>
          <w:p w14:paraId="44BD336E" w14:textId="1C77B3C6" w:rsidR="00AF07D0" w:rsidRDefault="00610C0F" w:rsidP="00AF4CAA">
            <w:pPr>
              <w:pStyle w:val="NoSpacing"/>
            </w:pPr>
            <w:r>
              <w:t>7</w:t>
            </w:r>
          </w:p>
        </w:tc>
        <w:tc>
          <w:tcPr>
            <w:tcW w:w="2245" w:type="dxa"/>
            <w:tcBorders>
              <w:left w:val="single" w:sz="4" w:space="0" w:color="auto"/>
              <w:bottom w:val="single" w:sz="4" w:space="0" w:color="auto"/>
            </w:tcBorders>
          </w:tcPr>
          <w:p w14:paraId="296AE80A" w14:textId="151BCE8D" w:rsidR="00AF07D0" w:rsidRDefault="00AF07D0" w:rsidP="00AF4CAA">
            <w:pPr>
              <w:pStyle w:val="NoSpacing"/>
            </w:pPr>
            <w:r w:rsidRPr="009717DF">
              <w:t>1</w:t>
            </w:r>
          </w:p>
        </w:tc>
        <w:tc>
          <w:tcPr>
            <w:tcW w:w="2235" w:type="dxa"/>
            <w:tcBorders>
              <w:bottom w:val="single" w:sz="4" w:space="0" w:color="auto"/>
            </w:tcBorders>
          </w:tcPr>
          <w:p w14:paraId="0554A2C0" w14:textId="0A642DF5" w:rsidR="00AF07D0" w:rsidRDefault="00610C0F" w:rsidP="00AF4CAA">
            <w:pPr>
              <w:pStyle w:val="NoSpacing"/>
            </w:pPr>
            <w:r>
              <w:t>6</w:t>
            </w:r>
          </w:p>
        </w:tc>
      </w:tr>
      <w:tr w:rsidR="00AF07D0" w:rsidRPr="006E24CF" w14:paraId="7086DFAF" w14:textId="77777777" w:rsidTr="00582EC4">
        <w:trPr>
          <w:trHeight w:val="272"/>
        </w:trPr>
        <w:tc>
          <w:tcPr>
            <w:tcW w:w="2554" w:type="dxa"/>
            <w:tcBorders>
              <w:top w:val="single" w:sz="4" w:space="0" w:color="auto"/>
              <w:right w:val="single" w:sz="4" w:space="0" w:color="auto"/>
            </w:tcBorders>
          </w:tcPr>
          <w:p w14:paraId="2971B205" w14:textId="77777777" w:rsidR="00AF07D0" w:rsidRPr="006E24CF" w:rsidRDefault="00AF07D0" w:rsidP="00AF4CAA">
            <w:pPr>
              <w:pStyle w:val="NoSpacing"/>
              <w:rPr>
                <w:b/>
                <w:bCs/>
              </w:rPr>
            </w:pPr>
            <w:r w:rsidRPr="006E24CF">
              <w:rPr>
                <w:b/>
                <w:bCs/>
              </w:rPr>
              <w:t>Total</w:t>
            </w:r>
          </w:p>
        </w:tc>
        <w:tc>
          <w:tcPr>
            <w:tcW w:w="2226" w:type="dxa"/>
            <w:tcBorders>
              <w:top w:val="single" w:sz="4" w:space="0" w:color="auto"/>
              <w:left w:val="single" w:sz="4" w:space="0" w:color="auto"/>
              <w:right w:val="single" w:sz="4" w:space="0" w:color="auto"/>
            </w:tcBorders>
          </w:tcPr>
          <w:p w14:paraId="09C73E6A" w14:textId="014AA765" w:rsidR="00AF07D0" w:rsidRPr="006E24CF" w:rsidRDefault="00AF07D0" w:rsidP="00AF4CAA">
            <w:pPr>
              <w:pStyle w:val="NoSpacing"/>
              <w:rPr>
                <w:b/>
                <w:bCs/>
              </w:rPr>
            </w:pPr>
            <w:r w:rsidRPr="006E24CF">
              <w:rPr>
                <w:b/>
                <w:bCs/>
              </w:rPr>
              <w:t>30</w:t>
            </w:r>
            <w:r w:rsidR="00610C0F" w:rsidRPr="006E24CF">
              <w:rPr>
                <w:b/>
                <w:bCs/>
              </w:rPr>
              <w:t>5</w:t>
            </w:r>
          </w:p>
        </w:tc>
        <w:tc>
          <w:tcPr>
            <w:tcW w:w="2245" w:type="dxa"/>
            <w:tcBorders>
              <w:top w:val="single" w:sz="4" w:space="0" w:color="auto"/>
              <w:left w:val="single" w:sz="4" w:space="0" w:color="auto"/>
            </w:tcBorders>
          </w:tcPr>
          <w:p w14:paraId="3BB21EC2" w14:textId="0380783A" w:rsidR="00AF07D0" w:rsidRPr="006E24CF" w:rsidRDefault="00AF07D0" w:rsidP="00AF4CAA">
            <w:pPr>
              <w:pStyle w:val="NoSpacing"/>
              <w:rPr>
                <w:b/>
                <w:bCs/>
                <w:u w:val="single"/>
              </w:rPr>
            </w:pPr>
            <w:r w:rsidRPr="006E24CF">
              <w:rPr>
                <w:b/>
                <w:bCs/>
                <w:u w:val="single"/>
              </w:rPr>
              <w:t>16</w:t>
            </w:r>
            <w:r w:rsidR="00901B11" w:rsidRPr="006E24CF">
              <w:rPr>
                <w:b/>
                <w:bCs/>
                <w:u w:val="single"/>
              </w:rPr>
              <w:t>7</w:t>
            </w:r>
          </w:p>
        </w:tc>
        <w:tc>
          <w:tcPr>
            <w:tcW w:w="2235" w:type="dxa"/>
            <w:tcBorders>
              <w:top w:val="single" w:sz="4" w:space="0" w:color="auto"/>
            </w:tcBorders>
          </w:tcPr>
          <w:p w14:paraId="3B52BF6F" w14:textId="51A24BDC" w:rsidR="00AF07D0" w:rsidRPr="006E24CF" w:rsidRDefault="00AF07D0" w:rsidP="00AF4CAA">
            <w:pPr>
              <w:pStyle w:val="NoSpacing"/>
              <w:rPr>
                <w:b/>
                <w:bCs/>
                <w:u w:val="single"/>
              </w:rPr>
            </w:pPr>
            <w:r w:rsidRPr="006E24CF">
              <w:rPr>
                <w:b/>
                <w:bCs/>
              </w:rPr>
              <w:t>13</w:t>
            </w:r>
            <w:r w:rsidR="00610C0F" w:rsidRPr="006E24CF">
              <w:rPr>
                <w:b/>
                <w:bCs/>
              </w:rPr>
              <w:t>8</w:t>
            </w:r>
          </w:p>
        </w:tc>
      </w:tr>
    </w:tbl>
    <w:p w14:paraId="156AC25A" w14:textId="77777777" w:rsidR="005B4FE8" w:rsidRDefault="005B4FE8" w:rsidP="00E90C30"/>
    <w:p w14:paraId="381EFC02" w14:textId="680F1B45" w:rsidR="005B4FE8" w:rsidRDefault="004B09C5" w:rsidP="00E90C30">
      <w:r>
        <w:t xml:space="preserve">It was a narrow win, and Webster may have preferred a stronger one, but a win was still a win, and so he </w:t>
      </w:r>
      <w:r w:rsidR="009C25F2">
        <w:t>declared it joyfully</w:t>
      </w:r>
      <w:r w:rsidR="006F6036">
        <w:t xml:space="preserve"> so</w:t>
      </w:r>
      <w:r w:rsidR="002B3E5F">
        <w:rPr>
          <w:rStyle w:val="EndnoteReference"/>
        </w:rPr>
        <w:endnoteReference w:id="158"/>
      </w:r>
      <w:r w:rsidR="009C25F2">
        <w:t xml:space="preserve">. </w:t>
      </w:r>
      <w:r w:rsidR="00251449">
        <w:t xml:space="preserve">It was clear that </w:t>
      </w:r>
      <w:proofErr w:type="spellStart"/>
      <w:r w:rsidR="00251449">
        <w:t>Websterism</w:t>
      </w:r>
      <w:proofErr w:type="spellEnd"/>
      <w:r w:rsidR="00251449">
        <w:t xml:space="preserve"> had prevailed, and so economic buildup through the National Bank and the </w:t>
      </w:r>
      <w:r w:rsidR="004C2F3A">
        <w:t xml:space="preserve">rise of industry would continue unabated. </w:t>
      </w:r>
      <w:r w:rsidR="00D92A4F">
        <w:t xml:space="preserve">But the anger at the South which festered against Daniel Webster suddenly </w:t>
      </w:r>
      <w:r w:rsidR="005E191D">
        <w:t>explode</w:t>
      </w:r>
      <w:r w:rsidR="00545D80">
        <w:t>d. Calhoun had kept a tight lid on such sentiments</w:t>
      </w:r>
      <w:r w:rsidR="00DD4616">
        <w:t xml:space="preserve"> by promising that, if he was elected president, he would reduce the tariff and </w:t>
      </w:r>
      <w:r w:rsidR="00A950B7">
        <w:t>thus</w:t>
      </w:r>
      <w:r w:rsidR="00DD4616">
        <w:t xml:space="preserve"> </w:t>
      </w:r>
      <w:proofErr w:type="spellStart"/>
      <w:r w:rsidR="00DD4616">
        <w:t>Websterism</w:t>
      </w:r>
      <w:proofErr w:type="spellEnd"/>
      <w:r w:rsidR="00DD4616">
        <w:t xml:space="preserve"> </w:t>
      </w:r>
      <w:r w:rsidR="00A950B7">
        <w:t>would be</w:t>
      </w:r>
      <w:r w:rsidR="00DD4616">
        <w:t xml:space="preserve"> a mere interlude</w:t>
      </w:r>
      <w:r w:rsidR="00CF1796">
        <w:t xml:space="preserve">. When Calhoun was defeated, if narrowly, suddenly such sentiments exploded. The Bluffton movement of Robert Barnwell Smith made </w:t>
      </w:r>
      <w:r w:rsidR="00CF1796">
        <w:lastRenderedPageBreak/>
        <w:t xml:space="preserve">strong headway, and South Carolinians looked to how they defeated the tariff </w:t>
      </w:r>
      <w:r w:rsidR="001370C9">
        <w:t xml:space="preserve">in the </w:t>
      </w:r>
      <w:r w:rsidR="00CF1796">
        <w:t>time</w:t>
      </w:r>
      <w:r w:rsidR="001370C9">
        <w:t xml:space="preserve"> of Harrison</w:t>
      </w:r>
      <w:r w:rsidR="00CF1796">
        <w:t>. The Second Nullification Crisis was beginning</w:t>
      </w:r>
      <w:r w:rsidR="001370C9">
        <w:rPr>
          <w:rStyle w:val="EndnoteReference"/>
        </w:rPr>
        <w:endnoteReference w:id="159"/>
      </w:r>
      <w:r w:rsidR="00CF1796">
        <w:t xml:space="preserve">. </w:t>
      </w:r>
    </w:p>
    <w:p w14:paraId="0EA31E47" w14:textId="4588351F" w:rsidR="00E90C30" w:rsidRDefault="00E90C30" w:rsidP="00E90C30">
      <w:r>
        <w:br w:type="page"/>
      </w:r>
    </w:p>
    <w:p w14:paraId="245A38F5" w14:textId="77777777" w:rsidR="00BA299A" w:rsidRDefault="00BA299A" w:rsidP="00855AEA"/>
    <w:p w14:paraId="6B11CAC8" w14:textId="77777777" w:rsidR="00E90C30" w:rsidRDefault="00E90C30" w:rsidP="00855AEA">
      <w:pPr>
        <w:sectPr w:rsidR="00E90C30" w:rsidSect="00855AEA">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49D462E" w14:textId="77777777" w:rsidR="00855AEA" w:rsidRDefault="00855AEA" w:rsidP="00855AEA">
      <w:r>
        <w:br w:type="page"/>
      </w:r>
    </w:p>
    <w:p w14:paraId="038B28E5" w14:textId="4A23348C" w:rsidR="00E75731" w:rsidRDefault="00E75731" w:rsidP="00E75731">
      <w:pPr>
        <w:pStyle w:val="Heading1"/>
      </w:pPr>
      <w:bookmarkStart w:id="42" w:name="_Toc202006232"/>
      <w:r>
        <w:lastRenderedPageBreak/>
        <w:t>3</w:t>
      </w:r>
      <w:r w:rsidR="00C2388F">
        <w:t>3</w:t>
      </w:r>
      <w:r>
        <w:t>. The Rotten Oak</w:t>
      </w:r>
      <w:bookmarkEnd w:id="42"/>
    </w:p>
    <w:p w14:paraId="669A6FDB" w14:textId="0EEF8230" w:rsidR="00E75731" w:rsidRDefault="00A615C8" w:rsidP="00E75731">
      <w:proofErr w:type="spellStart"/>
      <w:r>
        <w:t>Websterism</w:t>
      </w:r>
      <w:proofErr w:type="spellEnd"/>
      <w:r>
        <w:t xml:space="preserve"> </w:t>
      </w:r>
      <w:r w:rsidR="0004681E">
        <w:t xml:space="preserve">had decidedly broke the terms of the compromise that ended the First Nullification Crisis. </w:t>
      </w:r>
      <w:r w:rsidR="0092777E">
        <w:t xml:space="preserve">As much as it was necessary to raise revenue, the Tariff of 1845 was an explicitly protectionist measure, and this represented the revival of </w:t>
      </w:r>
      <w:r w:rsidR="00D24A6A">
        <w:t xml:space="preserve">protection on the national stage. This saw immediate denunciations from </w:t>
      </w:r>
      <w:r w:rsidR="00065462">
        <w:t xml:space="preserve">much </w:t>
      </w:r>
      <w:r w:rsidR="00D24A6A">
        <w:t>the South</w:t>
      </w:r>
      <w:r w:rsidR="00DC0E3A">
        <w:t>, which still regarded protectionist tariffs as</w:t>
      </w:r>
      <w:r w:rsidR="00FF0FE1">
        <w:t>, at best, bad policy which undercut the plantation system, and at worst,</w:t>
      </w:r>
      <w:r w:rsidR="00DC0E3A">
        <w:t xml:space="preserve"> unconstitutional. It did not take long for </w:t>
      </w:r>
      <w:r w:rsidR="006D3570">
        <w:t>the legislatures of South Carolina, Georgia, and Virginia to declare it so, although at this point neither of them moved towards nullification</w:t>
      </w:r>
      <w:r w:rsidR="00C522EC">
        <w:t xml:space="preserve">; at this point </w:t>
      </w:r>
      <w:proofErr w:type="gramStart"/>
      <w:r w:rsidR="00C522EC">
        <w:t>even</w:t>
      </w:r>
      <w:proofErr w:type="gramEnd"/>
      <w:r w:rsidR="00C522EC">
        <w:t xml:space="preserve"> many Southerners thought a higher tariff necessary for economic prosperity</w:t>
      </w:r>
      <w:r w:rsidR="006D3570">
        <w:t xml:space="preserve">. </w:t>
      </w:r>
      <w:r w:rsidR="00C522EC">
        <w:t>But this remained an undercurrent</w:t>
      </w:r>
      <w:r w:rsidR="00D06CCC">
        <w:t>, and it would be as ever in South Carolina that the issue</w:t>
      </w:r>
      <w:r w:rsidR="009F13D4">
        <w:t xml:space="preserve"> erupted. </w:t>
      </w:r>
      <w:r w:rsidR="00430AE7">
        <w:t xml:space="preserve">The charismatic politician Robert Barnwell Smith, who held none of the patriotism of the great Calhoun but all of the ambition, </w:t>
      </w:r>
      <w:r w:rsidR="00180682">
        <w:t>immediately got to work</w:t>
      </w:r>
      <w:r w:rsidR="002003E6">
        <w:t xml:space="preserve">; in the town of Bluffton, he held a political rally where he declared that the Tariff ought to be nullified, and if the </w:t>
      </w:r>
      <w:r w:rsidR="00F065AC">
        <w:t>federal government</w:t>
      </w:r>
      <w:r w:rsidR="002003E6">
        <w:t xml:space="preserve"> continued to do nothing, the South should exit the union. </w:t>
      </w:r>
      <w:r w:rsidR="00032CD2">
        <w:t>The Bluffton Movement expanded in the state</w:t>
      </w:r>
      <w:r w:rsidR="00A41C0B">
        <w:t>, the oak under which Smith gave his speech became nicknamed the “Secession Oak”</w:t>
      </w:r>
      <w:r w:rsidR="00032CD2">
        <w:t xml:space="preserve">, and the so-called “Bluffton Boys” </w:t>
      </w:r>
      <w:r w:rsidR="000C7C9B">
        <w:t xml:space="preserve">slowly became a presence in </w:t>
      </w:r>
      <w:r w:rsidR="00F21519">
        <w:t>South Carolinian politics</w:t>
      </w:r>
      <w:r w:rsidR="00CB4A13">
        <w:rPr>
          <w:rStyle w:val="EndnoteReference"/>
        </w:rPr>
        <w:endnoteReference w:id="160"/>
      </w:r>
      <w:r w:rsidR="000C7C9B">
        <w:t xml:space="preserve">. </w:t>
      </w:r>
      <w:r w:rsidR="00770027">
        <w:t xml:space="preserve">There was little hope that </w:t>
      </w:r>
      <w:r w:rsidR="009070B1">
        <w:t xml:space="preserve">they could truly </w:t>
      </w:r>
      <w:r w:rsidR="00936859">
        <w:t xml:space="preserve">gain power in the state </w:t>
      </w:r>
      <w:r w:rsidR="008E049F">
        <w:t>–</w:t>
      </w:r>
      <w:r w:rsidR="00936859">
        <w:t xml:space="preserve"> South Carolina’s constitution resembled nothing less than the </w:t>
      </w:r>
      <w:r w:rsidR="008E049F">
        <w:t>pre-revolutionary British one, after all – but they did make headway. For the time being, though, it was only a power in the state</w:t>
      </w:r>
      <w:r w:rsidR="00503BC6">
        <w:t xml:space="preserve">; </w:t>
      </w:r>
      <w:r w:rsidR="00C87602">
        <w:t xml:space="preserve">Calhoun clamped down upon the </w:t>
      </w:r>
      <w:r w:rsidR="00503BC6">
        <w:t xml:space="preserve">movement to keep his presidential run from collapsing, and </w:t>
      </w:r>
      <w:r w:rsidR="00812714">
        <w:t xml:space="preserve">most South Carolinians had a wait-and-see mood towards the </w:t>
      </w:r>
      <w:r w:rsidR="007309E3">
        <w:t xml:space="preserve">tariff. </w:t>
      </w:r>
    </w:p>
    <w:p w14:paraId="497773F8" w14:textId="14DE1655" w:rsidR="00A425FC" w:rsidRDefault="00213057" w:rsidP="00E75731">
      <w:r>
        <w:t xml:space="preserve">But then the 1848 election came and passed. Calhoun had a strong run, but he ultimately lost. South Carolinians waited, and then they saw. </w:t>
      </w:r>
      <w:r w:rsidR="00DB0777">
        <w:t xml:space="preserve">Suddenly, Calhoun lost grasp of his state, and South Carolina swiftly radicalized. The legislature successfully passed through a resolution calling </w:t>
      </w:r>
      <w:r w:rsidR="00DB0777">
        <w:lastRenderedPageBreak/>
        <w:t xml:space="preserve">for a </w:t>
      </w:r>
      <w:r w:rsidR="00F308C0">
        <w:t>nullification convention</w:t>
      </w:r>
      <w:r w:rsidR="00DB16D2">
        <w:t>. Suddenly, the Second Nullification Crisis had begun</w:t>
      </w:r>
      <w:r w:rsidR="002C77E2">
        <w:rPr>
          <w:rStyle w:val="EndnoteReference"/>
        </w:rPr>
        <w:endnoteReference w:id="161"/>
      </w:r>
      <w:r w:rsidR="00DB16D2">
        <w:t xml:space="preserve">. Webster sent Vice President </w:t>
      </w:r>
      <w:proofErr w:type="spellStart"/>
      <w:r w:rsidR="00DB16D2">
        <w:t>Petrigru</w:t>
      </w:r>
      <w:proofErr w:type="spellEnd"/>
      <w:r w:rsidR="00DB16D2">
        <w:t xml:space="preserve"> to liaise with the unionist movement in the state, and otherwise to stump against nullification, but this</w:t>
      </w:r>
      <w:r w:rsidR="00F308C0">
        <w:t xml:space="preserve"> </w:t>
      </w:r>
      <w:r w:rsidR="00DB16D2">
        <w:t>was to no avail;</w:t>
      </w:r>
      <w:r w:rsidR="00F308C0">
        <w:t xml:space="preserve"> the ensuing elections saw nullificationists win a large majority</w:t>
      </w:r>
      <w:r w:rsidR="00DA5212">
        <w:t>, and everyone knew what they’d do when they’d meet</w:t>
      </w:r>
      <w:r w:rsidR="00F308C0">
        <w:t xml:space="preserve">. </w:t>
      </w:r>
      <w:r w:rsidR="00A425FC">
        <w:t xml:space="preserve">It was clear the crisis was due to </w:t>
      </w:r>
      <w:r w:rsidR="008A1532">
        <w:t>continue</w:t>
      </w:r>
      <w:r w:rsidR="00A425FC">
        <w:t xml:space="preserve">, and </w:t>
      </w:r>
      <w:r w:rsidR="00082E95">
        <w:t xml:space="preserve">with that the focus instead grew on </w:t>
      </w:r>
      <w:r w:rsidR="008A1532">
        <w:t>managing</w:t>
      </w:r>
      <w:r w:rsidR="00082E95">
        <w:t xml:space="preserve"> </w:t>
      </w:r>
      <w:r w:rsidR="008A1532">
        <w:t>it</w:t>
      </w:r>
      <w:r w:rsidR="00082E95">
        <w:t xml:space="preserve">. </w:t>
      </w:r>
    </w:p>
    <w:p w14:paraId="1DF894B3" w14:textId="37CC560A" w:rsidR="00213057" w:rsidRDefault="00A425FC" w:rsidP="00E75731">
      <w:r>
        <w:t>Against the rise of the neo-nullificationist movement, Webster immediately got to work. He organized</w:t>
      </w:r>
      <w:r w:rsidR="001F33F2">
        <w:t xml:space="preserve"> a commission to examine lowering the tariff, contingent on </w:t>
      </w:r>
      <w:r w:rsidR="00582B1D">
        <w:t>turning the</w:t>
      </w:r>
      <w:r w:rsidR="001F33F2">
        <w:t xml:space="preserve"> </w:t>
      </w:r>
      <w:r w:rsidR="00B25750">
        <w:t xml:space="preserve">public lands </w:t>
      </w:r>
      <w:r w:rsidR="00582B1D">
        <w:t xml:space="preserve">into a new source of revenue. </w:t>
      </w:r>
      <w:r w:rsidR="00031689">
        <w:t xml:space="preserve">Led by his close ally Edward Everett, </w:t>
      </w:r>
      <w:r w:rsidR="00C65974">
        <w:t xml:space="preserve">it sent representatives to several cities across the United States, from Portland to Charleston to New Orleans to </w:t>
      </w:r>
      <w:proofErr w:type="spellStart"/>
      <w:r w:rsidR="00C65974">
        <w:t>Millewackie</w:t>
      </w:r>
      <w:proofErr w:type="spellEnd"/>
      <w:r w:rsidR="00C65974">
        <w:t xml:space="preserve">, </w:t>
      </w:r>
      <w:r w:rsidR="008B752D">
        <w:t xml:space="preserve">to obtain their opinions on the subject. </w:t>
      </w:r>
      <w:r w:rsidR="00F50B30">
        <w:t xml:space="preserve">By making the tariff contingent on making public lands more expensive, Webster had successfully tied together the big western bugbear of making land cheap with protection, and thus won Western opposition to free trade; even in the South, the growing field of industry, as well as the sugar lobby, </w:t>
      </w:r>
      <w:r w:rsidR="00BD4086">
        <w:t xml:space="preserve">led to growing public opinion in favor of protectionism, and even supporters of free trade were now frankly unwilling to </w:t>
      </w:r>
      <w:r w:rsidR="00572AE7">
        <w:t xml:space="preserve">go so far as to support nullification. </w:t>
      </w:r>
      <w:r w:rsidR="007E3CC1">
        <w:t xml:space="preserve">The ensuing Everett Commission Report declared that free trade was a minority opinion, and that </w:t>
      </w:r>
      <w:proofErr w:type="gramStart"/>
      <w:r w:rsidR="007E3CC1">
        <w:t>the vast majority of</w:t>
      </w:r>
      <w:proofErr w:type="gramEnd"/>
      <w:r w:rsidR="007E3CC1">
        <w:t xml:space="preserve"> </w:t>
      </w:r>
      <w:r w:rsidR="003338CD">
        <w:t>Americans supported the tariff, if either out of protectionism or to keep public lands cheap</w:t>
      </w:r>
      <w:r w:rsidR="00AA4845">
        <w:rPr>
          <w:rStyle w:val="EndnoteReference"/>
        </w:rPr>
        <w:endnoteReference w:id="162"/>
      </w:r>
      <w:r w:rsidR="003338CD">
        <w:t xml:space="preserve">. </w:t>
      </w:r>
      <w:r w:rsidR="00896941">
        <w:t xml:space="preserve">With its completion, </w:t>
      </w:r>
      <w:r w:rsidR="00C30FBB">
        <w:t>though Senator Calhoun tried to prevent its passage and declared it would mean a violation of public trust, the Report was praised by a joint resolution of Congress</w:t>
      </w:r>
      <w:r w:rsidR="00896941">
        <w:t>.</w:t>
      </w:r>
      <w:r w:rsidR="00D437D7">
        <w:t xml:space="preserve"> </w:t>
      </w:r>
    </w:p>
    <w:p w14:paraId="3C574538" w14:textId="03943F0A" w:rsidR="00D437D7" w:rsidRDefault="00D437D7" w:rsidP="00E75731">
      <w:r>
        <w:t xml:space="preserve">With the specter of nullification being clearly insufficient, when the convention met, it </w:t>
      </w:r>
      <w:r w:rsidR="00916CE6">
        <w:t xml:space="preserve">formally declared the tariff null and void, and that it would prevent its collection within its borders in a matter of months. </w:t>
      </w:r>
      <w:r w:rsidR="00AF118F">
        <w:t>It also invited the other states of the South to join it</w:t>
      </w:r>
      <w:r w:rsidR="003B0390">
        <w:t xml:space="preserve">. However, </w:t>
      </w:r>
      <w:r w:rsidR="00FE1693">
        <w:t xml:space="preserve">in this it failed. Virginia refused, its growing industrial lobby fully supportive of protection and even many of its free </w:t>
      </w:r>
      <w:r w:rsidR="00FE1693">
        <w:lastRenderedPageBreak/>
        <w:t>traders considering it</w:t>
      </w:r>
      <w:r w:rsidR="00AD6A25">
        <w:t xml:space="preserve"> way too extreme; so too did Georgia</w:t>
      </w:r>
      <w:r w:rsidR="0063691E">
        <w:t xml:space="preserve">, whose </w:t>
      </w:r>
      <w:proofErr w:type="gramStart"/>
      <w:r w:rsidR="0063691E">
        <w:t>increasingly-prominent</w:t>
      </w:r>
      <w:proofErr w:type="gramEnd"/>
      <w:r w:rsidR="0063691E">
        <w:t xml:space="preserve"> sugar lobby united with its </w:t>
      </w:r>
      <w:r w:rsidR="000A32A9">
        <w:t>growing industrial lobby against it</w:t>
      </w:r>
      <w:r w:rsidR="00AD6A25">
        <w:t xml:space="preserve">. </w:t>
      </w:r>
      <w:r w:rsidR="00D70F9B">
        <w:t xml:space="preserve">The nation had changed, and South Carolina was acting like it hadn’t. </w:t>
      </w:r>
      <w:r w:rsidR="009C6067">
        <w:t>This time, it would be alone</w:t>
      </w:r>
      <w:r w:rsidR="002D4E17">
        <w:rPr>
          <w:rStyle w:val="EndnoteReference"/>
        </w:rPr>
        <w:endnoteReference w:id="163"/>
      </w:r>
      <w:r w:rsidR="009C6067">
        <w:t xml:space="preserve">. </w:t>
      </w:r>
    </w:p>
    <w:p w14:paraId="47206BF4" w14:textId="6C0E69B1" w:rsidR="00106D09" w:rsidRDefault="00106D09" w:rsidP="00E75731">
      <w:r>
        <w:t xml:space="preserve">With this in hand, President Webster decided he needed to dismantle and destroy the doctrines of nullification once and for all – and with it, secessionism. </w:t>
      </w:r>
      <w:r w:rsidR="001338EE">
        <w:t xml:space="preserve">He issued a proclamation which declared that both nullification and secession were manifestly illegal and unconstitutional, that they may be justified as extralegal revolutionary acts, but they were not </w:t>
      </w:r>
      <w:r w:rsidR="00936DBE">
        <w:t xml:space="preserve">at all legal – and he </w:t>
      </w:r>
      <w:r w:rsidR="00FE368D">
        <w:t>asked Congress</w:t>
      </w:r>
      <w:r w:rsidR="00936DBE">
        <w:t xml:space="preserve"> </w:t>
      </w:r>
      <w:r w:rsidR="00FE368D">
        <w:t>to pass for him an act authorizing him to send the army and navy into South Carolina to collect the tariff by force</w:t>
      </w:r>
      <w:r w:rsidR="003211A4">
        <w:t>, although he prayed that the state would come to its senses and that he would never have to use it</w:t>
      </w:r>
      <w:r w:rsidR="00E21C28">
        <w:rPr>
          <w:rStyle w:val="EndnoteReference"/>
        </w:rPr>
        <w:endnoteReference w:id="164"/>
      </w:r>
      <w:r w:rsidR="00FE368D">
        <w:t xml:space="preserve">. </w:t>
      </w:r>
      <w:r w:rsidR="00942A3C">
        <w:t xml:space="preserve">It was a grim realization to the nation at large that nullification beckoned the way towards civil war – but it also demonstrated that Webster would not bend to the whims of the minority. </w:t>
      </w:r>
      <w:r w:rsidR="00D56CDA">
        <w:t>Congress passed the Force Act, and it gave Webster his army and navy to use against South Carolina – although it prayed that this would be simply a bluff</w:t>
      </w:r>
      <w:r w:rsidR="003F6DCF">
        <w:rPr>
          <w:rStyle w:val="EndnoteReference"/>
        </w:rPr>
        <w:endnoteReference w:id="165"/>
      </w:r>
      <w:r w:rsidR="00D56CDA">
        <w:t xml:space="preserve">. </w:t>
      </w:r>
    </w:p>
    <w:p w14:paraId="1E9D1A51" w14:textId="4D1ACDD2" w:rsidR="006C70E1" w:rsidRDefault="00771613" w:rsidP="006C70E1">
      <w:r>
        <w:t xml:space="preserve">In the months that followed, the rest of the South </w:t>
      </w:r>
      <w:r w:rsidR="00BF7DBD">
        <w:t>dealt with Nullification and the Proclamation</w:t>
      </w:r>
      <w:r>
        <w:t>. One by one, their legislatures issued resolutions that</w:t>
      </w:r>
      <w:r w:rsidR="00220944">
        <w:t xml:space="preserve">, though they disagreed with South Carolina, they sympathized with their plight; </w:t>
      </w:r>
      <w:r w:rsidR="00C15F68">
        <w:t>the Southeastern states</w:t>
      </w:r>
      <w:r w:rsidR="00220944">
        <w:t xml:space="preserve"> also damned the Nullification Proclamation for its condemnation of secession, which they thought might be necessary </w:t>
      </w:r>
      <w:r w:rsidR="003C585D">
        <w:t xml:space="preserve">against </w:t>
      </w:r>
      <w:proofErr w:type="gramStart"/>
      <w:r w:rsidR="003C585D">
        <w:t>the numerical majority of</w:t>
      </w:r>
      <w:proofErr w:type="gramEnd"/>
      <w:r w:rsidR="003C585D">
        <w:t xml:space="preserve"> the North</w:t>
      </w:r>
      <w:r w:rsidR="00A3262C">
        <w:t>, if it ever deigned to take its slaves</w:t>
      </w:r>
      <w:r w:rsidR="003C585D">
        <w:t xml:space="preserve">. </w:t>
      </w:r>
      <w:r w:rsidR="00BF7DBD">
        <w:t xml:space="preserve">But they did not join </w:t>
      </w:r>
      <w:r w:rsidR="00CF717F">
        <w:t>South Carolina</w:t>
      </w:r>
      <w:r w:rsidR="00BF7DBD">
        <w:t xml:space="preserve"> in nullification</w:t>
      </w:r>
      <w:r w:rsidR="00CF717F">
        <w:t xml:space="preserve">; they did not </w:t>
      </w:r>
      <w:r w:rsidR="00943DDC">
        <w:t>rally behind it. It remained a party of one, and though several South Carolinians dreamed of their state as some sort of independent Caribbean-oriented republic</w:t>
      </w:r>
      <w:r w:rsidR="00ED6D85">
        <w:rPr>
          <w:rStyle w:val="EndnoteReference"/>
        </w:rPr>
        <w:endnoteReference w:id="166"/>
      </w:r>
      <w:r w:rsidR="00943DDC">
        <w:t xml:space="preserve">, the realists guffawed. </w:t>
      </w:r>
      <w:r w:rsidR="0093524C">
        <w:t xml:space="preserve">But the state stood firm. </w:t>
      </w:r>
    </w:p>
    <w:p w14:paraId="2376A7E2" w14:textId="24DF8126" w:rsidR="005232D4" w:rsidRDefault="007A4CDC" w:rsidP="00E75731">
      <w:r>
        <w:t>A</w:t>
      </w:r>
      <w:r w:rsidR="005232D4">
        <w:t xml:space="preserve">gainst this, in the Senate, </w:t>
      </w:r>
      <w:r w:rsidR="009573FD">
        <w:t xml:space="preserve">Henry </w:t>
      </w:r>
      <w:r w:rsidR="005232D4">
        <w:t xml:space="preserve">Clay saw </w:t>
      </w:r>
      <w:r>
        <w:t xml:space="preserve">that the unstoppable force of Webster’s nationalism would hit the immovable object of </w:t>
      </w:r>
      <w:r w:rsidR="00FA6105">
        <w:t xml:space="preserve">South Carolina’s </w:t>
      </w:r>
      <w:proofErr w:type="spellStart"/>
      <w:r w:rsidR="00FA6105">
        <w:t>nullificationism</w:t>
      </w:r>
      <w:proofErr w:type="spellEnd"/>
      <w:r w:rsidR="00FA6105">
        <w:t xml:space="preserve"> – and he</w:t>
      </w:r>
      <w:r w:rsidR="00EC391F">
        <w:t xml:space="preserve"> saw a </w:t>
      </w:r>
      <w:r w:rsidR="00EC391F">
        <w:lastRenderedPageBreak/>
        <w:t xml:space="preserve">civil war. </w:t>
      </w:r>
      <w:r w:rsidR="0055344F">
        <w:t>Just as he had once done in 183</w:t>
      </w:r>
      <w:r w:rsidR="00F43D55">
        <w:t>3</w:t>
      </w:r>
      <w:r w:rsidR="0055344F">
        <w:t xml:space="preserve">, he brought </w:t>
      </w:r>
      <w:r w:rsidR="00F43D55">
        <w:t xml:space="preserve">Calhoun to the table. The compromise the two hammered out was much like that of 1833, in that the tariff would be gradually lowered until it would reach a flat level come 1854 </w:t>
      </w:r>
      <w:r w:rsidR="002E4ECE">
        <w:t>–</w:t>
      </w:r>
      <w:r w:rsidR="00F43D55">
        <w:t xml:space="preserve"> </w:t>
      </w:r>
      <w:r w:rsidR="002E4ECE">
        <w:t>although it would be</w:t>
      </w:r>
      <w:r w:rsidR="00F43D55">
        <w:t xml:space="preserve"> a level higher than that of the Compromise Tariff</w:t>
      </w:r>
      <w:r w:rsidR="003B4677">
        <w:rPr>
          <w:rStyle w:val="EndnoteReference"/>
        </w:rPr>
        <w:endnoteReference w:id="167"/>
      </w:r>
      <w:r w:rsidR="00BC61C8">
        <w:t>. When Clay and Calhoun presented it to Congress, Webster grimaced</w:t>
      </w:r>
      <w:r w:rsidR="00D56CDA">
        <w:t>. He had no intention to compromise with secessionists who would light the union ablaze. Though he believed the measure constitutional and that therefore he could not veto it, he did use his powers of patronage to defeat it – and though it passed the Senate, it failed in the House. The Compromise</w:t>
      </w:r>
      <w:r w:rsidR="0019266C">
        <w:t xml:space="preserve"> Tariff of 1850 was dead. </w:t>
      </w:r>
    </w:p>
    <w:p w14:paraId="78873908" w14:textId="0F48D473" w:rsidR="00DF52BF" w:rsidRDefault="00DF52BF" w:rsidP="00E75731">
      <w:r>
        <w:t xml:space="preserve">But the other states of the South did not join South Carolina. The state remained wholly isolated, and it </w:t>
      </w:r>
      <w:r w:rsidR="003D66B0">
        <w:t xml:space="preserve">was forced to come to terms with the idea that Webster might simply flatten it. </w:t>
      </w:r>
      <w:r w:rsidR="000A762A">
        <w:t>To be sure, the statements of sympathy did show t</w:t>
      </w:r>
      <w:r w:rsidR="00183AA1">
        <w:t>he rest of the South might come to its aid – but it might not. And in the end, the state finally saw no alternative but to</w:t>
      </w:r>
      <w:r w:rsidR="00EF5418">
        <w:t xml:space="preserve"> drop the issue, or else it might be forced to</w:t>
      </w:r>
      <w:r w:rsidR="00183AA1">
        <w:t xml:space="preserve"> surrender </w:t>
      </w:r>
      <w:r w:rsidR="00EF5418">
        <w:t>at the end of a saber</w:t>
      </w:r>
      <w:r w:rsidR="0022242C">
        <w:t>;</w:t>
      </w:r>
      <w:r w:rsidR="009C01DD">
        <w:t xml:space="preserve"> at the same time</w:t>
      </w:r>
      <w:r w:rsidR="0022242C">
        <w:t>,</w:t>
      </w:r>
      <w:r w:rsidR="009C01DD">
        <w:t xml:space="preserve"> </w:t>
      </w:r>
      <w:r w:rsidR="0031635E">
        <w:t>to sweeten the deal</w:t>
      </w:r>
      <w:r w:rsidR="0022242C">
        <w:t>,</w:t>
      </w:r>
      <w:r w:rsidR="0031635E">
        <w:t xml:space="preserve"> </w:t>
      </w:r>
      <w:r w:rsidR="0022242C">
        <w:t>Webster</w:t>
      </w:r>
      <w:r w:rsidR="0031635E">
        <w:t xml:space="preserve"> told South Carolina’s government he’d pass a bill nationalizing its debt, so it would be the federal government who would pay it off</w:t>
      </w:r>
      <w:r w:rsidR="00274B7F">
        <w:rPr>
          <w:rStyle w:val="EndnoteReference"/>
        </w:rPr>
        <w:endnoteReference w:id="168"/>
      </w:r>
      <w:r w:rsidR="00183AA1">
        <w:t xml:space="preserve">. </w:t>
      </w:r>
      <w:r w:rsidR="000B4FE9">
        <w:t>The nullification convention passed a measure rescinding its declaration that the tariff was null and void</w:t>
      </w:r>
      <w:r w:rsidR="00EF5418">
        <w:t>, although it continued to assert that it was unconstitutional and would shred national confidence if still enacted</w:t>
      </w:r>
      <w:r w:rsidR="004B14F8">
        <w:t xml:space="preserve">. But before </w:t>
      </w:r>
      <w:r w:rsidR="00DF3C7D">
        <w:t>dissolving,</w:t>
      </w:r>
      <w:r w:rsidR="004B14F8">
        <w:t xml:space="preserve"> it did do one final act – it </w:t>
      </w:r>
      <w:r w:rsidR="00462A64">
        <w:t>nullified the Force Act. There was no way this could ever be tested</w:t>
      </w:r>
      <w:r w:rsidR="003A77A3">
        <w:t xml:space="preserve">, with the customs house collecting the tariff as normal – but it was one last insult to the federal government which had forced it to surrender. It kept state honor intact. </w:t>
      </w:r>
      <w:r w:rsidR="00F03045">
        <w:t>Despite this, the state saw serious recrimination, and in the decade that followed South Carolina would see state realignment that made it</w:t>
      </w:r>
      <w:r w:rsidR="00E32BC7">
        <w:t xml:space="preserve">, for lack of a better term, a normal </w:t>
      </w:r>
      <w:r w:rsidR="0050006B">
        <w:t xml:space="preserve">Southern state, one which would </w:t>
      </w:r>
      <w:r w:rsidR="00982F1F">
        <w:t>still defend</w:t>
      </w:r>
      <w:r w:rsidR="0050006B">
        <w:t xml:space="preserve"> slavery and the Southern way of life</w:t>
      </w:r>
      <w:r w:rsidR="00982F1F">
        <w:t xml:space="preserve"> – but only</w:t>
      </w:r>
      <w:r w:rsidR="0050006B">
        <w:t xml:space="preserve"> in concerted action. </w:t>
      </w:r>
    </w:p>
    <w:p w14:paraId="5BD8FFE8" w14:textId="5DB2F4D6" w:rsidR="003C54E6" w:rsidRPr="00E75731" w:rsidRDefault="003C54E6" w:rsidP="00E75731">
      <w:r>
        <w:lastRenderedPageBreak/>
        <w:t>With that, President Webster</w:t>
      </w:r>
      <w:r w:rsidR="006532A4">
        <w:t xml:space="preserve"> now took a deep breath,</w:t>
      </w:r>
      <w:r w:rsidR="005005E7">
        <w:t xml:space="preserve"> utterly </w:t>
      </w:r>
      <w:r w:rsidR="006E3499">
        <w:t>relieved</w:t>
      </w:r>
      <w:r w:rsidR="006532A4">
        <w:t xml:space="preserve"> that civil war had been avoided. He</w:t>
      </w:r>
      <w:r>
        <w:t xml:space="preserve"> joyously declared </w:t>
      </w:r>
      <w:r w:rsidR="008D7818">
        <w:t>the end of the Second Nullification Crisis</w:t>
      </w:r>
      <w:r>
        <w:t>,</w:t>
      </w:r>
      <w:r w:rsidR="008D7818">
        <w:t xml:space="preserve"> that the doctrine had been defeated</w:t>
      </w:r>
      <w:r>
        <w:t xml:space="preserve"> without having to fire even a single shot. </w:t>
      </w:r>
      <w:r w:rsidR="00A74DCD">
        <w:t>The national mood was jubilant, as not just Democrats but a large section of the Republican Party cheered on that Daniel Webster had stood resolutely against nullification and secession and won</w:t>
      </w:r>
      <w:r w:rsidR="000B0C70">
        <w:rPr>
          <w:rStyle w:val="EndnoteReference"/>
        </w:rPr>
        <w:endnoteReference w:id="169"/>
      </w:r>
      <w:r w:rsidR="00A74DCD">
        <w:t xml:space="preserve">. </w:t>
      </w:r>
      <w:r w:rsidR="006532A4">
        <w:t xml:space="preserve">Celebrations consumed the nation, from New Orleans to New York. For his part, </w:t>
      </w:r>
      <w:r w:rsidR="007956CF">
        <w:t>Webster chose not to rub the victory in. He instead planned a</w:t>
      </w:r>
      <w:r w:rsidR="005C696E">
        <w:t xml:space="preserve"> tour of the South, so he could prevent hard feelings</w:t>
      </w:r>
      <w:r w:rsidR="00924BAA">
        <w:t xml:space="preserve"> from rising and to make sure it would be wholly part of the joyous national mood. </w:t>
      </w:r>
      <w:r w:rsidR="00BB3347">
        <w:t xml:space="preserve">But even as he departed Washington for Richmond, along a long circuit of the South, the </w:t>
      </w:r>
      <w:r w:rsidR="00D03DA1">
        <w:t xml:space="preserve">scandal that would upend his administration </w:t>
      </w:r>
      <w:r w:rsidR="00593BC1">
        <w:t>began</w:t>
      </w:r>
      <w:r w:rsidR="00D03DA1">
        <w:t xml:space="preserve"> to erupt</w:t>
      </w:r>
      <w:r w:rsidR="00765972">
        <w:rPr>
          <w:rStyle w:val="EndnoteReference"/>
        </w:rPr>
        <w:endnoteReference w:id="170"/>
      </w:r>
      <w:r w:rsidR="00D03DA1">
        <w:t xml:space="preserve">. </w:t>
      </w:r>
    </w:p>
    <w:p w14:paraId="03654B15" w14:textId="77777777" w:rsidR="00DB0777" w:rsidRDefault="00DB0777" w:rsidP="00DB0777">
      <w:r>
        <w:br w:type="page"/>
      </w:r>
    </w:p>
    <w:p w14:paraId="4CEDC41C" w14:textId="77777777" w:rsidR="003D4435" w:rsidRDefault="003D4435" w:rsidP="003D4435"/>
    <w:p w14:paraId="58894FF8" w14:textId="77777777" w:rsidR="003D4435" w:rsidRDefault="003D4435" w:rsidP="003D4435">
      <w:pPr>
        <w:sectPr w:rsidR="003D4435" w:rsidSect="003D4435">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6CDC938" w14:textId="77777777" w:rsidR="003D4435" w:rsidRDefault="003D4435" w:rsidP="003D4435">
      <w:r>
        <w:br w:type="page"/>
      </w:r>
    </w:p>
    <w:p w14:paraId="66E3D1A0" w14:textId="7A422496" w:rsidR="003D4435" w:rsidRDefault="003D4435" w:rsidP="000036D8">
      <w:pPr>
        <w:pStyle w:val="Heading1"/>
      </w:pPr>
      <w:bookmarkStart w:id="43" w:name="_Toc202006233"/>
      <w:r>
        <w:lastRenderedPageBreak/>
        <w:t>3</w:t>
      </w:r>
      <w:r w:rsidR="00C2388F">
        <w:t>4</w:t>
      </w:r>
      <w:r>
        <w:t xml:space="preserve">. </w:t>
      </w:r>
      <w:r w:rsidR="0016791B">
        <w:t>The Full Scope of Imagination</w:t>
      </w:r>
      <w:bookmarkEnd w:id="43"/>
    </w:p>
    <w:p w14:paraId="2FCD1A8C" w14:textId="401C0449" w:rsidR="001F73AA" w:rsidRDefault="003857C1" w:rsidP="001F73AA">
      <w:r>
        <w:t xml:space="preserve">Washington was a city which grew almost from scratch. </w:t>
      </w:r>
      <w:r w:rsidR="0033659F">
        <w:t>After the constitution reserved some twenty-five square kilometers</w:t>
      </w:r>
      <w:r w:rsidR="00BD2F68">
        <w:t xml:space="preserve"> as a capital district</w:t>
      </w:r>
      <w:r w:rsidR="00047A9C">
        <w:t>, with only the towns of Georgetown and Alexandria circumscribed</w:t>
      </w:r>
      <w:r w:rsidR="00806087">
        <w:t xml:space="preserve"> inside</w:t>
      </w:r>
      <w:r w:rsidR="0033659F">
        <w:t>, within it the burgeoning federal government f</w:t>
      </w:r>
      <w:r w:rsidR="005E5192">
        <w:t>ounded</w:t>
      </w:r>
      <w:r w:rsidR="0033659F">
        <w:t xml:space="preserve"> the city</w:t>
      </w:r>
      <w:r w:rsidR="005E5192">
        <w:t xml:space="preserve"> in </w:t>
      </w:r>
      <w:r w:rsidR="0048362D">
        <w:t>1791</w:t>
      </w:r>
      <w:r w:rsidR="005E5192">
        <w:t xml:space="preserve"> to be America’s capital</w:t>
      </w:r>
      <w:r w:rsidR="00DE2C5F">
        <w:t>;</w:t>
      </w:r>
      <w:r w:rsidR="005E5192">
        <w:t xml:space="preserve"> its position between Virginia and Maryland </w:t>
      </w:r>
      <w:r w:rsidR="00C24476">
        <w:t>in</w:t>
      </w:r>
      <w:r w:rsidR="005E5192">
        <w:t xml:space="preserve"> the upper tier of the Upper South</w:t>
      </w:r>
      <w:r w:rsidR="00681F69">
        <w:t xml:space="preserve">, </w:t>
      </w:r>
      <w:r w:rsidR="00BA718D">
        <w:t>made it a perfect position between the great division of North and South</w:t>
      </w:r>
      <w:r w:rsidR="004D5AA0">
        <w:t xml:space="preserve">. Congress </w:t>
      </w:r>
      <w:r w:rsidR="008317ED">
        <w:t xml:space="preserve">and the American government </w:t>
      </w:r>
      <w:r w:rsidR="004D5AA0">
        <w:t xml:space="preserve">formally moved to the city in </w:t>
      </w:r>
      <w:r w:rsidR="008317ED">
        <w:t>1800</w:t>
      </w:r>
      <w:r w:rsidR="000D25A6">
        <w:t xml:space="preserve">; it would be here that the first peaceful transition of power in American history, between Adams and Jefferson, happened. </w:t>
      </w:r>
      <w:r w:rsidR="00DF0218">
        <w:t>In</w:t>
      </w:r>
      <w:r w:rsidR="009453F1">
        <w:t xml:space="preserve"> this beginning, Washington was </w:t>
      </w:r>
      <w:r w:rsidR="00DF0218">
        <w:t>less a city</w:t>
      </w:r>
      <w:r w:rsidR="006C3858">
        <w:t>, less a town</w:t>
      </w:r>
      <w:r w:rsidR="00DF0218">
        <w:t xml:space="preserve"> and more a </w:t>
      </w:r>
      <w:r w:rsidR="00AD12D5">
        <w:t xml:space="preserve">collection of villages connected by roads of </w:t>
      </w:r>
      <w:r w:rsidR="00875E45">
        <w:t>dirt –</w:t>
      </w:r>
      <w:r w:rsidR="008C7450">
        <w:t xml:space="preserve"> </w:t>
      </w:r>
      <w:r w:rsidR="00875E45">
        <w:t>with rain,</w:t>
      </w:r>
      <w:r w:rsidR="00D801AA">
        <w:t xml:space="preserve"> </w:t>
      </w:r>
      <w:r w:rsidR="008C7450">
        <w:t>these roads</w:t>
      </w:r>
      <w:r w:rsidR="00875E45">
        <w:t xml:space="preserve"> turn into mud</w:t>
      </w:r>
      <w:r w:rsidR="008C7450">
        <w:t xml:space="preserve"> in which carriages would regularly</w:t>
      </w:r>
      <w:r w:rsidR="00D61E76">
        <w:t xml:space="preserve"> turn over</w:t>
      </w:r>
      <w:r w:rsidR="00AD12D5">
        <w:t xml:space="preserve">. </w:t>
      </w:r>
      <w:r w:rsidR="001819EF">
        <w:t>European visitors were astonished that the capital of the nation could be so miserable</w:t>
      </w:r>
      <w:r w:rsidR="006C3858">
        <w:t xml:space="preserve">, </w:t>
      </w:r>
      <w:r w:rsidR="00A321DA">
        <w:t>entirely lacking any sophistication</w:t>
      </w:r>
      <w:r w:rsidR="00E77C01">
        <w:t>, and being utterly unlike London or Paris</w:t>
      </w:r>
      <w:r w:rsidR="00FF1012">
        <w:t xml:space="preserve"> – when </w:t>
      </w:r>
      <w:r w:rsidR="006D2194">
        <w:t xml:space="preserve">the British sociologist </w:t>
      </w:r>
      <w:r w:rsidR="00FF1012">
        <w:t>Harriet Martineau</w:t>
      </w:r>
      <w:r w:rsidR="006D2194">
        <w:t xml:space="preserve"> published h</w:t>
      </w:r>
      <w:r w:rsidR="00AD359D">
        <w:t>e</w:t>
      </w:r>
      <w:r w:rsidR="006D2194">
        <w:t>r</w:t>
      </w:r>
      <w:r w:rsidR="00AD359D">
        <w:t xml:space="preserve"> harshly critical travelogue </w:t>
      </w:r>
      <w:r w:rsidR="00AD359D" w:rsidRPr="00AD359D">
        <w:rPr>
          <w:i/>
          <w:iCs/>
        </w:rPr>
        <w:t>Society in America</w:t>
      </w:r>
      <w:r w:rsidR="00AD359D">
        <w:t xml:space="preserve"> (1837)</w:t>
      </w:r>
      <w:r w:rsidR="006E1CA9">
        <w:t>, this lackluster capital was one of the things</w:t>
      </w:r>
      <w:r w:rsidR="005F1298">
        <w:t xml:space="preserve"> at which</w:t>
      </w:r>
      <w:r w:rsidR="006E1CA9">
        <w:t xml:space="preserve"> she </w:t>
      </w:r>
      <w:r w:rsidR="005F1298">
        <w:t>pointed</w:t>
      </w:r>
      <w:r w:rsidR="00A321DA">
        <w:t xml:space="preserve">. </w:t>
      </w:r>
      <w:r w:rsidR="006E1CA9">
        <w:t xml:space="preserve">But by 1850, </w:t>
      </w:r>
      <w:r w:rsidR="000F06A1">
        <w:t xml:space="preserve">things had changed. </w:t>
      </w:r>
      <w:r w:rsidR="003B3B95">
        <w:t xml:space="preserve">In 1800, the whole </w:t>
      </w:r>
      <w:r w:rsidR="0040128C">
        <w:t xml:space="preserve">capital </w:t>
      </w:r>
      <w:r w:rsidR="003B3B95">
        <w:t>District of Columbia</w:t>
      </w:r>
      <w:r w:rsidR="00E4451E">
        <w:t xml:space="preserve"> contained a mere 8,144 people</w:t>
      </w:r>
      <w:r w:rsidR="009D633E">
        <w:t xml:space="preserve">, mostly within the </w:t>
      </w:r>
      <w:r w:rsidR="00B46921">
        <w:t>older</w:t>
      </w:r>
      <w:r w:rsidR="0046367A">
        <w:t xml:space="preserve"> outlying</w:t>
      </w:r>
      <w:r w:rsidR="00B46921">
        <w:t xml:space="preserve"> </w:t>
      </w:r>
      <w:r w:rsidR="00CA3F71">
        <w:t>town</w:t>
      </w:r>
      <w:r w:rsidR="0046367A">
        <w:t>s</w:t>
      </w:r>
      <w:r w:rsidR="00B46921">
        <w:t xml:space="preserve"> of Georgetown and Alexandria</w:t>
      </w:r>
      <w:r w:rsidR="0021468F">
        <w:t xml:space="preserve">; come 1850, </w:t>
      </w:r>
      <w:r w:rsidR="00532882">
        <w:t>it now had</w:t>
      </w:r>
      <w:r w:rsidR="00CA3F71">
        <w:t xml:space="preserve"> 117,687 people, mostly within </w:t>
      </w:r>
      <w:r w:rsidR="00341139">
        <w:t xml:space="preserve">Washington itself. </w:t>
      </w:r>
      <w:r w:rsidR="00627C2E">
        <w:t>Washington was now a true city</w:t>
      </w:r>
      <w:r w:rsidR="001B3410">
        <w:t xml:space="preserve">, </w:t>
      </w:r>
      <w:r w:rsidR="00327FED">
        <w:t xml:space="preserve">connected by modern roads </w:t>
      </w:r>
      <w:r w:rsidR="004E60C7">
        <w:t>with</w:t>
      </w:r>
      <w:r w:rsidR="00327FED">
        <w:t xml:space="preserve"> a mature</w:t>
      </w:r>
      <w:r w:rsidR="00916A28">
        <w:t xml:space="preserve"> network of </w:t>
      </w:r>
      <w:proofErr w:type="spellStart"/>
      <w:r w:rsidR="00916A28">
        <w:t>gaslines</w:t>
      </w:r>
      <w:proofErr w:type="spellEnd"/>
      <w:r w:rsidR="00916A28">
        <w:t xml:space="preserve"> and lamps</w:t>
      </w:r>
      <w:r w:rsidR="0042310C">
        <w:t xml:space="preserve">, and connected and fully integrated into </w:t>
      </w:r>
      <w:r w:rsidR="0077634D">
        <w:t>a hinterland spanning all over the Middle West</w:t>
      </w:r>
      <w:r w:rsidR="00A91316">
        <w:t>, which turned the city into, along with</w:t>
      </w:r>
      <w:r w:rsidR="00B3398E">
        <w:t xml:space="preserve"> New York City and Cincinnati, one of the three poles of the nation</w:t>
      </w:r>
      <w:r w:rsidR="00152A38">
        <w:rPr>
          <w:rStyle w:val="EndnoteReference"/>
        </w:rPr>
        <w:endnoteReference w:id="171"/>
      </w:r>
      <w:r w:rsidR="00916A28">
        <w:t xml:space="preserve">. </w:t>
      </w:r>
    </w:p>
    <w:p w14:paraId="61DC86E9" w14:textId="4215F5C4" w:rsidR="00CC7504" w:rsidRDefault="00CC7504">
      <w:pPr>
        <w:spacing w:before="0" w:line="259" w:lineRule="auto"/>
        <w:ind w:firstLine="0"/>
      </w:pPr>
      <w:r>
        <w:br w:type="page"/>
      </w:r>
    </w:p>
    <w:p w14:paraId="446C1D47" w14:textId="55CB1E0B" w:rsidR="00CC7504" w:rsidRDefault="00CC7504" w:rsidP="00CC7504">
      <w:pPr>
        <w:pStyle w:val="Caption"/>
      </w:pPr>
      <w:bookmarkStart w:id="44" w:name="_Toc202006267"/>
      <w:r>
        <w:lastRenderedPageBreak/>
        <w:t xml:space="preserve">Figure </w:t>
      </w:r>
      <w:fldSimple w:instr=" SEQ Figure \* ARABIC ">
        <w:r w:rsidR="00567D66">
          <w:rPr>
            <w:noProof/>
          </w:rPr>
          <w:t>11</w:t>
        </w:r>
      </w:fldSimple>
      <w:r>
        <w:t>: Population of the capital District of Columbia, 1800-1850</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C7504" w:rsidRPr="006E24CF" w14:paraId="35E0A8FF" w14:textId="77777777" w:rsidTr="00CC7504">
        <w:tc>
          <w:tcPr>
            <w:tcW w:w="4675" w:type="dxa"/>
            <w:tcBorders>
              <w:bottom w:val="single" w:sz="4" w:space="0" w:color="auto"/>
            </w:tcBorders>
          </w:tcPr>
          <w:p w14:paraId="4EF5C76D" w14:textId="5D8C026D" w:rsidR="00CC7504" w:rsidRPr="006E24CF" w:rsidRDefault="00137925" w:rsidP="00AF4CAA">
            <w:pPr>
              <w:pStyle w:val="NoSpacing"/>
              <w:rPr>
                <w:b/>
                <w:bCs/>
              </w:rPr>
            </w:pPr>
            <w:r w:rsidRPr="006E24CF">
              <w:rPr>
                <w:b/>
                <w:bCs/>
              </w:rPr>
              <w:t>Year</w:t>
            </w:r>
          </w:p>
        </w:tc>
        <w:tc>
          <w:tcPr>
            <w:tcW w:w="4675" w:type="dxa"/>
            <w:tcBorders>
              <w:bottom w:val="single" w:sz="4" w:space="0" w:color="auto"/>
            </w:tcBorders>
          </w:tcPr>
          <w:p w14:paraId="45F07C63" w14:textId="710FA9C0" w:rsidR="00CC7504" w:rsidRPr="006E24CF" w:rsidRDefault="00CC7504" w:rsidP="00AF4CAA">
            <w:pPr>
              <w:pStyle w:val="NoSpacing"/>
              <w:rPr>
                <w:b/>
                <w:bCs/>
              </w:rPr>
            </w:pPr>
            <w:r w:rsidRPr="006E24CF">
              <w:rPr>
                <w:b/>
                <w:bCs/>
              </w:rPr>
              <w:t>Pop</w:t>
            </w:r>
            <w:r w:rsidR="00137925" w:rsidRPr="006E24CF">
              <w:rPr>
                <w:b/>
                <w:bCs/>
              </w:rPr>
              <w:t>ulation</w:t>
            </w:r>
          </w:p>
        </w:tc>
      </w:tr>
      <w:tr w:rsidR="00CC7504" w14:paraId="2D4133BB" w14:textId="77777777" w:rsidTr="00CC7504">
        <w:tc>
          <w:tcPr>
            <w:tcW w:w="4675" w:type="dxa"/>
            <w:tcBorders>
              <w:top w:val="single" w:sz="4" w:space="0" w:color="auto"/>
            </w:tcBorders>
          </w:tcPr>
          <w:p w14:paraId="06C01FF9" w14:textId="02F28469" w:rsidR="00CC7504" w:rsidRDefault="00CC7504" w:rsidP="00AF4CAA">
            <w:pPr>
              <w:pStyle w:val="NoSpacing"/>
            </w:pPr>
            <w:r w:rsidRPr="00EA60E5">
              <w:t>1800</w:t>
            </w:r>
          </w:p>
        </w:tc>
        <w:tc>
          <w:tcPr>
            <w:tcW w:w="4675" w:type="dxa"/>
            <w:tcBorders>
              <w:top w:val="single" w:sz="4" w:space="0" w:color="auto"/>
            </w:tcBorders>
          </w:tcPr>
          <w:p w14:paraId="13974510" w14:textId="2CCE6F63" w:rsidR="00CC7504" w:rsidRDefault="00CC7504" w:rsidP="00AF4CAA">
            <w:pPr>
              <w:pStyle w:val="NoSpacing"/>
            </w:pPr>
            <w:r w:rsidRPr="00EA60E5">
              <w:t>8,144</w:t>
            </w:r>
          </w:p>
        </w:tc>
      </w:tr>
      <w:tr w:rsidR="00CC7504" w14:paraId="140A5899" w14:textId="77777777" w:rsidTr="00CC7504">
        <w:tc>
          <w:tcPr>
            <w:tcW w:w="4675" w:type="dxa"/>
          </w:tcPr>
          <w:p w14:paraId="396A5A43" w14:textId="0693E823" w:rsidR="00CC7504" w:rsidRDefault="00CC7504" w:rsidP="00AF4CAA">
            <w:pPr>
              <w:pStyle w:val="NoSpacing"/>
            </w:pPr>
            <w:r w:rsidRPr="00EA60E5">
              <w:t>1810</w:t>
            </w:r>
          </w:p>
        </w:tc>
        <w:tc>
          <w:tcPr>
            <w:tcW w:w="4675" w:type="dxa"/>
          </w:tcPr>
          <w:p w14:paraId="40158133" w14:textId="733D2F8C" w:rsidR="00CC7504" w:rsidRDefault="00CC7504" w:rsidP="00AF4CAA">
            <w:pPr>
              <w:pStyle w:val="NoSpacing"/>
            </w:pPr>
            <w:r w:rsidRPr="00EA60E5">
              <w:t>15,471</w:t>
            </w:r>
          </w:p>
        </w:tc>
      </w:tr>
      <w:tr w:rsidR="00CC7504" w14:paraId="0E34DCF0" w14:textId="77777777" w:rsidTr="00CC7504">
        <w:tc>
          <w:tcPr>
            <w:tcW w:w="4675" w:type="dxa"/>
          </w:tcPr>
          <w:p w14:paraId="6BF59B9A" w14:textId="0D560DD7" w:rsidR="00CC7504" w:rsidRDefault="00CC7504" w:rsidP="00AF4CAA">
            <w:pPr>
              <w:pStyle w:val="NoSpacing"/>
            </w:pPr>
            <w:r w:rsidRPr="00EA60E5">
              <w:t>1820</w:t>
            </w:r>
          </w:p>
        </w:tc>
        <w:tc>
          <w:tcPr>
            <w:tcW w:w="4675" w:type="dxa"/>
          </w:tcPr>
          <w:p w14:paraId="485F61B9" w14:textId="395DADE0" w:rsidR="00CC7504" w:rsidRDefault="00CC7504" w:rsidP="00AF4CAA">
            <w:pPr>
              <w:pStyle w:val="NoSpacing"/>
            </w:pPr>
            <w:r w:rsidRPr="00EA60E5">
              <w:t>27,336</w:t>
            </w:r>
          </w:p>
        </w:tc>
      </w:tr>
      <w:tr w:rsidR="00CC7504" w14:paraId="20E88EB6" w14:textId="77777777" w:rsidTr="00CC7504">
        <w:tc>
          <w:tcPr>
            <w:tcW w:w="4675" w:type="dxa"/>
          </w:tcPr>
          <w:p w14:paraId="1D0C97CA" w14:textId="59E429C3" w:rsidR="00CC7504" w:rsidRDefault="00CC7504" w:rsidP="00AF4CAA">
            <w:pPr>
              <w:pStyle w:val="NoSpacing"/>
            </w:pPr>
            <w:r w:rsidRPr="00EA60E5">
              <w:t>1830</w:t>
            </w:r>
          </w:p>
        </w:tc>
        <w:tc>
          <w:tcPr>
            <w:tcW w:w="4675" w:type="dxa"/>
          </w:tcPr>
          <w:p w14:paraId="0727E77E" w14:textId="2123114E" w:rsidR="00CC7504" w:rsidRDefault="00CC7504" w:rsidP="00AF4CAA">
            <w:pPr>
              <w:pStyle w:val="NoSpacing"/>
            </w:pPr>
            <w:r w:rsidRPr="00EA60E5">
              <w:t>37,261</w:t>
            </w:r>
          </w:p>
        </w:tc>
      </w:tr>
      <w:tr w:rsidR="00CC7504" w14:paraId="503233FC" w14:textId="77777777" w:rsidTr="00CC7504">
        <w:tc>
          <w:tcPr>
            <w:tcW w:w="4675" w:type="dxa"/>
          </w:tcPr>
          <w:p w14:paraId="14B7AFF7" w14:textId="595BB3A7" w:rsidR="00CC7504" w:rsidRDefault="00CC7504" w:rsidP="00AF4CAA">
            <w:pPr>
              <w:pStyle w:val="NoSpacing"/>
            </w:pPr>
            <w:r w:rsidRPr="00EA60E5">
              <w:t>1840</w:t>
            </w:r>
          </w:p>
        </w:tc>
        <w:tc>
          <w:tcPr>
            <w:tcW w:w="4675" w:type="dxa"/>
          </w:tcPr>
          <w:p w14:paraId="65E65405" w14:textId="2E07F119" w:rsidR="00CC7504" w:rsidRDefault="00CC7504" w:rsidP="00AF4CAA">
            <w:pPr>
              <w:pStyle w:val="NoSpacing"/>
            </w:pPr>
            <w:r w:rsidRPr="00EA60E5">
              <w:t>61,745</w:t>
            </w:r>
          </w:p>
        </w:tc>
      </w:tr>
      <w:tr w:rsidR="005762D4" w14:paraId="48E84587" w14:textId="77777777" w:rsidTr="00CC7504">
        <w:tc>
          <w:tcPr>
            <w:tcW w:w="4675" w:type="dxa"/>
          </w:tcPr>
          <w:p w14:paraId="671ED687" w14:textId="1C87B731" w:rsidR="005762D4" w:rsidRPr="00EA60E5" w:rsidRDefault="005762D4" w:rsidP="00AF4CAA">
            <w:pPr>
              <w:pStyle w:val="NoSpacing"/>
            </w:pPr>
            <w:r w:rsidRPr="006872CF">
              <w:t>1850</w:t>
            </w:r>
          </w:p>
        </w:tc>
        <w:tc>
          <w:tcPr>
            <w:tcW w:w="4675" w:type="dxa"/>
          </w:tcPr>
          <w:p w14:paraId="2518F128" w14:textId="1D8B8D2C" w:rsidR="005762D4" w:rsidRPr="00EA60E5" w:rsidRDefault="005762D4" w:rsidP="00AF4CAA">
            <w:pPr>
              <w:pStyle w:val="NoSpacing"/>
            </w:pPr>
            <w:r w:rsidRPr="006872CF">
              <w:t>117,687</w:t>
            </w:r>
          </w:p>
        </w:tc>
      </w:tr>
    </w:tbl>
    <w:p w14:paraId="53552B44" w14:textId="77777777" w:rsidR="00CC7504" w:rsidRDefault="00CC7504" w:rsidP="001F73AA"/>
    <w:p w14:paraId="782D9FE3" w14:textId="251B0261" w:rsidR="0015336C" w:rsidRDefault="0015336C" w:rsidP="001F73AA">
      <w:r>
        <w:t xml:space="preserve">This was the result of several trends. </w:t>
      </w:r>
      <w:r w:rsidR="00C92B0A">
        <w:t>Perhaps the greatest was th</w:t>
      </w:r>
      <w:r w:rsidR="00F43EB1">
        <w:t xml:space="preserve">e completion of the </w:t>
      </w:r>
      <w:r w:rsidR="00105F7A">
        <w:t>Union</w:t>
      </w:r>
      <w:r w:rsidR="00F43EB1">
        <w:t xml:space="preserve"> Canal. Begun in 1810, </w:t>
      </w:r>
      <w:r w:rsidR="00AF707E">
        <w:t xml:space="preserve">it connected Washington to </w:t>
      </w:r>
      <w:proofErr w:type="spellStart"/>
      <w:r w:rsidR="00B04892">
        <w:t>Pittsburg</w:t>
      </w:r>
      <w:proofErr w:type="spellEnd"/>
      <w:r w:rsidR="00882514">
        <w:t xml:space="preserve">; </w:t>
      </w:r>
      <w:proofErr w:type="spellStart"/>
      <w:r w:rsidR="00B04892">
        <w:t>Pittsburg</w:t>
      </w:r>
      <w:proofErr w:type="spellEnd"/>
      <w:r w:rsidR="00882514">
        <w:t xml:space="preserve"> itself being an inland port of the Ohio River, this connected it to the entire </w:t>
      </w:r>
      <w:r w:rsidR="00062571">
        <w:t>Middle West</w:t>
      </w:r>
      <w:r w:rsidR="00D1668C">
        <w:t xml:space="preserve">. Additionally, </w:t>
      </w:r>
      <w:r w:rsidR="00CF0067">
        <w:t xml:space="preserve">several smaller canals in Washington, Georgetown, and Alexandria </w:t>
      </w:r>
      <w:r w:rsidR="00724969">
        <w:t>allowed for seamless trade and transit</w:t>
      </w:r>
      <w:r w:rsidR="002C2145">
        <w:t xml:space="preserve">, and it helped to integrate Georgetown and Alexandria </w:t>
      </w:r>
      <w:r w:rsidR="006F41CB">
        <w:t xml:space="preserve">and turn </w:t>
      </w:r>
      <w:r w:rsidR="00640310">
        <w:t>them into</w:t>
      </w:r>
      <w:r w:rsidR="000C7266">
        <w:t xml:space="preserve"> its</w:t>
      </w:r>
      <w:r w:rsidR="00640310">
        <w:t xml:space="preserve"> </w:t>
      </w:r>
      <w:proofErr w:type="spellStart"/>
      <w:r w:rsidR="00640310">
        <w:t>banleagues</w:t>
      </w:r>
      <w:proofErr w:type="spellEnd"/>
      <w:r w:rsidR="007403F9">
        <w:t xml:space="preserve">. </w:t>
      </w:r>
      <w:r w:rsidR="00E33C70">
        <w:t xml:space="preserve">With its completion in 1825, </w:t>
      </w:r>
      <w:proofErr w:type="gramStart"/>
      <w:r w:rsidR="00E33C70">
        <w:t>through the use of</w:t>
      </w:r>
      <w:proofErr w:type="gramEnd"/>
      <w:r w:rsidR="00E33C70">
        <w:t xml:space="preserve"> Irish and German mechanics</w:t>
      </w:r>
      <w:r w:rsidR="00F62785">
        <w:t xml:space="preserve">, many of whom ended up settling in Washington itself, </w:t>
      </w:r>
      <w:r w:rsidR="00EF5DF9">
        <w:t>this turned</w:t>
      </w:r>
      <w:r w:rsidR="00A273E7">
        <w:t xml:space="preserve"> the town into an emporium for trade. </w:t>
      </w:r>
      <w:r w:rsidR="00BB022C">
        <w:t xml:space="preserve">This </w:t>
      </w:r>
      <w:r w:rsidR="000D034A">
        <w:t>led to a huge boom in the city, as new businesses popped up</w:t>
      </w:r>
      <w:r w:rsidR="00F77F10">
        <w:t xml:space="preserve"> to take advantage of the new trading opportunities. Additionally, </w:t>
      </w:r>
      <w:r w:rsidR="00543D3E">
        <w:t xml:space="preserve">this allowed the ample coal from </w:t>
      </w:r>
      <w:proofErr w:type="spellStart"/>
      <w:r w:rsidR="00B04892">
        <w:t>Pittsburg</w:t>
      </w:r>
      <w:proofErr w:type="spellEnd"/>
      <w:r w:rsidR="00543D3E">
        <w:t xml:space="preserve"> to easily come to Washington, and this invited </w:t>
      </w:r>
      <w:r w:rsidR="00F0020F">
        <w:t>an era of growing industry</w:t>
      </w:r>
      <w:r w:rsidR="000E6C9E">
        <w:t>. And to cater to this new mass of people came a whole new batch of businesse</w:t>
      </w:r>
      <w:r w:rsidR="00E663F4">
        <w:t>s. Farmer’s markets, eateries, grocery shops, and many other institutions developed</w:t>
      </w:r>
      <w:r w:rsidR="007C4EDC">
        <w:t xml:space="preserve"> to cater to this population</w:t>
      </w:r>
      <w:r w:rsidR="00365494">
        <w:rPr>
          <w:rStyle w:val="EndnoteReference"/>
        </w:rPr>
        <w:endnoteReference w:id="172"/>
      </w:r>
      <w:r w:rsidR="00F0020F">
        <w:t xml:space="preserve">. </w:t>
      </w:r>
      <w:r w:rsidR="00D875C3">
        <w:t>This alone turned Washington into a great city of the United States</w:t>
      </w:r>
      <w:r w:rsidR="00007C8C">
        <w:t>;</w:t>
      </w:r>
      <w:r w:rsidR="00EC7C85">
        <w:t xml:space="preserve"> unlike its older and better-established neighbors of Baltimore and Richmond, </w:t>
      </w:r>
      <w:r w:rsidR="00007C8C">
        <w:t>its access to the West m</w:t>
      </w:r>
      <w:r w:rsidR="004677F2">
        <w:t>ade it an obvious point for trade and transit</w:t>
      </w:r>
      <w:r w:rsidR="0065442C">
        <w:t>, and it soared above them in growth</w:t>
      </w:r>
      <w:r w:rsidR="00580AF2">
        <w:rPr>
          <w:rStyle w:val="EndnoteReference"/>
        </w:rPr>
        <w:endnoteReference w:id="173"/>
      </w:r>
      <w:r w:rsidR="004677F2">
        <w:t xml:space="preserve">. </w:t>
      </w:r>
    </w:p>
    <w:p w14:paraId="27EC70BC" w14:textId="52955098" w:rsidR="00DF6886" w:rsidRDefault="00E21299" w:rsidP="00A908C1">
      <w:r>
        <w:t xml:space="preserve">This only escalated with the </w:t>
      </w:r>
      <w:r w:rsidR="00F95D2A">
        <w:t xml:space="preserve">creation of the Fiscal Bank of Washington. Created in 1812 after Congress refused to allow the Burr administration to create </w:t>
      </w:r>
      <w:r w:rsidR="0034212B">
        <w:t xml:space="preserve">a renewed National </w:t>
      </w:r>
      <w:proofErr w:type="gramStart"/>
      <w:r w:rsidR="0034212B">
        <w:t>Bank</w:t>
      </w:r>
      <w:r w:rsidR="00D864BE">
        <w:t>, and</w:t>
      </w:r>
      <w:proofErr w:type="gramEnd"/>
      <w:r w:rsidR="00D864BE">
        <w:t xml:space="preserve"> intended to only </w:t>
      </w:r>
      <w:r w:rsidR="00F3451E">
        <w:t>do</w:t>
      </w:r>
      <w:r w:rsidR="00D864BE">
        <w:t xml:space="preserve"> business in the </w:t>
      </w:r>
      <w:r w:rsidR="00F3451E">
        <w:t>federal district</w:t>
      </w:r>
      <w:r w:rsidR="0034212B">
        <w:t xml:space="preserve">, the Fiscal Bank swiftly got to work investing in </w:t>
      </w:r>
      <w:r w:rsidR="0034212B">
        <w:lastRenderedPageBreak/>
        <w:t xml:space="preserve">the </w:t>
      </w:r>
      <w:r w:rsidR="00405116">
        <w:t>businesses in the city</w:t>
      </w:r>
      <w:r w:rsidR="00BF7223">
        <w:rPr>
          <w:rStyle w:val="EndnoteReference"/>
        </w:rPr>
        <w:endnoteReference w:id="174"/>
      </w:r>
      <w:r w:rsidR="00405116">
        <w:t xml:space="preserve">. </w:t>
      </w:r>
      <w:r w:rsidR="00735EFA">
        <w:t>A</w:t>
      </w:r>
      <w:r w:rsidR="00405116">
        <w:t>llow</w:t>
      </w:r>
      <w:r w:rsidR="00735EFA">
        <w:t>ing</w:t>
      </w:r>
      <w:r w:rsidR="00405116">
        <w:t xml:space="preserve"> for easy credit</w:t>
      </w:r>
      <w:r w:rsidR="00735EFA">
        <w:t xml:space="preserve">, this allowed for a boom </w:t>
      </w:r>
      <w:r w:rsidR="00E34C9A">
        <w:t>which, for the first time, turned</w:t>
      </w:r>
      <w:r w:rsidR="007A22B6">
        <w:t xml:space="preserve"> Washington from</w:t>
      </w:r>
      <w:r w:rsidR="00E34C9A">
        <w:t xml:space="preserve"> the </w:t>
      </w:r>
      <w:r w:rsidR="008D0753">
        <w:t xml:space="preserve">loose network of </w:t>
      </w:r>
      <w:r w:rsidR="007A22B6">
        <w:t>villages</w:t>
      </w:r>
      <w:r w:rsidR="00E07484">
        <w:t xml:space="preserve"> into </w:t>
      </w:r>
      <w:r w:rsidR="00EF2E6F">
        <w:t>a single cohesive town</w:t>
      </w:r>
      <w:r w:rsidR="005E0FFE">
        <w:t xml:space="preserve">; the banknotes flowed all along the Union Canal, which helped unify the whole </w:t>
      </w:r>
      <w:r w:rsidR="006D15A0">
        <w:t xml:space="preserve">region from </w:t>
      </w:r>
      <w:proofErr w:type="spellStart"/>
      <w:r w:rsidR="00B04892">
        <w:t>Pittsburg</w:t>
      </w:r>
      <w:proofErr w:type="spellEnd"/>
      <w:r w:rsidR="00CD0718">
        <w:t xml:space="preserve"> to Washington</w:t>
      </w:r>
      <w:r w:rsidR="006D15A0">
        <w:t xml:space="preserve"> into a single economic unit</w:t>
      </w:r>
      <w:r w:rsidR="005A0051">
        <w:rPr>
          <w:rStyle w:val="EndnoteReference"/>
        </w:rPr>
        <w:endnoteReference w:id="175"/>
      </w:r>
      <w:r w:rsidR="00E85F86">
        <w:t>.</w:t>
      </w:r>
      <w:r w:rsidR="00B507A0">
        <w:t xml:space="preserve"> </w:t>
      </w:r>
      <w:r w:rsidR="00FA6688">
        <w:t xml:space="preserve">Come the Panic of 1819, Washington </w:t>
      </w:r>
      <w:r w:rsidR="00275EEB">
        <w:t>was somewhat insulated</w:t>
      </w:r>
      <w:r w:rsidR="00444C0E">
        <w:t xml:space="preserve"> </w:t>
      </w:r>
      <w:r w:rsidR="00275EEB">
        <w:t xml:space="preserve">from the economic turmoil of the era; </w:t>
      </w:r>
      <w:r w:rsidR="002354B4">
        <w:t>that the Bank was somewhat more conservative than western institutions</w:t>
      </w:r>
      <w:r w:rsidR="001A365D">
        <w:t xml:space="preserve"> meant that it did </w:t>
      </w:r>
      <w:proofErr w:type="gramStart"/>
      <w:r w:rsidR="00B275B2">
        <w:t>survived</w:t>
      </w:r>
      <w:proofErr w:type="gramEnd"/>
      <w:r w:rsidR="00B275B2">
        <w:t xml:space="preserve">, and </w:t>
      </w:r>
      <w:r w:rsidR="002F39D9">
        <w:t xml:space="preserve">when </w:t>
      </w:r>
      <w:r w:rsidR="008C7933">
        <w:t>Washingtonian businesses did fall apart, the Bank was able to extend credit</w:t>
      </w:r>
      <w:r w:rsidR="001B3A5C">
        <w:t xml:space="preserve"> to keep them afloat</w:t>
      </w:r>
      <w:r w:rsidR="00902F2F">
        <w:t xml:space="preserve">. Additionally, Fiscal Bank notes allowed for useful credit in the entire </w:t>
      </w:r>
      <w:proofErr w:type="spellStart"/>
      <w:r w:rsidR="00B04892">
        <w:t>Pittsburg</w:t>
      </w:r>
      <w:proofErr w:type="spellEnd"/>
      <w:r w:rsidR="00902F2F">
        <w:t xml:space="preserve">-Washington area, and even beyond it in </w:t>
      </w:r>
      <w:r w:rsidR="00BA1F16">
        <w:t>Baltimore and Richmond</w:t>
      </w:r>
      <w:r w:rsidR="00E7600C">
        <w:t>;</w:t>
      </w:r>
      <w:r w:rsidR="00BA1F16">
        <w:t xml:space="preserve"> </w:t>
      </w:r>
      <w:r w:rsidR="00D64991">
        <w:t>with this being an era of low credit,</w:t>
      </w:r>
      <w:r w:rsidR="00710FA7">
        <w:t xml:space="preserve"> </w:t>
      </w:r>
      <w:r w:rsidR="00D64991">
        <w:t>th</w:t>
      </w:r>
      <w:r w:rsidR="004B16DD">
        <w:t>ese notes</w:t>
      </w:r>
      <w:r w:rsidR="00D64991">
        <w:t xml:space="preserve"> </w:t>
      </w:r>
      <w:r w:rsidR="004B16DD">
        <w:t xml:space="preserve">were virtually the only currency in the area. </w:t>
      </w:r>
      <w:r w:rsidR="002A49AD">
        <w:t xml:space="preserve">This served to </w:t>
      </w:r>
      <w:r w:rsidR="00E81217">
        <w:t xml:space="preserve">link the entire region, from </w:t>
      </w:r>
      <w:proofErr w:type="spellStart"/>
      <w:r w:rsidR="00B04892">
        <w:t>Pittsburg</w:t>
      </w:r>
      <w:proofErr w:type="spellEnd"/>
      <w:r w:rsidR="00E81217">
        <w:t xml:space="preserve"> to Richmond to Baltimore, to Washington itself, and it helped to establish the city’s domination</w:t>
      </w:r>
      <w:r w:rsidR="005D7348">
        <w:t xml:space="preserve"> over this area</w:t>
      </w:r>
      <w:r w:rsidR="00E81217">
        <w:t xml:space="preserve">. </w:t>
      </w:r>
      <w:r w:rsidR="00FA6976">
        <w:t xml:space="preserve">And that the city was not anywhere near as damaged from the Panic of 1819, it meant that by the time the economy boomed again in the 1820s, </w:t>
      </w:r>
      <w:r w:rsidR="00A27066">
        <w:t>it was well ahead of the curve</w:t>
      </w:r>
      <w:r w:rsidR="001B0E88">
        <w:t>,</w:t>
      </w:r>
      <w:r w:rsidR="00A27066">
        <w:t xml:space="preserve"> and </w:t>
      </w:r>
      <w:r w:rsidR="001B0E88">
        <w:t>the boom only led to the city booming further</w:t>
      </w:r>
      <w:r w:rsidR="00A27066">
        <w:t xml:space="preserve">. </w:t>
      </w:r>
    </w:p>
    <w:p w14:paraId="119C3DA5" w14:textId="5D122C6F" w:rsidR="002640CC" w:rsidRDefault="0071743A" w:rsidP="002640CC">
      <w:r>
        <w:t xml:space="preserve">When </w:t>
      </w:r>
      <w:r w:rsidRPr="0071743A">
        <w:rPr>
          <w:i/>
          <w:iCs/>
        </w:rPr>
        <w:t>Clark v. Illinois</w:t>
      </w:r>
      <w:r>
        <w:t xml:space="preserve"> (1830) </w:t>
      </w:r>
      <w:r w:rsidR="00A908C1">
        <w:t>barred state banks from printing banknotes, the Fiscal Bank ended up spared</w:t>
      </w:r>
      <w:r w:rsidR="00455E5A">
        <w:t xml:space="preserve"> because it was chartered under the federal government</w:t>
      </w:r>
      <w:r w:rsidR="002156A5">
        <w:rPr>
          <w:rStyle w:val="EndnoteReference"/>
        </w:rPr>
        <w:endnoteReference w:id="176"/>
      </w:r>
      <w:r w:rsidR="00455E5A">
        <w:t xml:space="preserve">. </w:t>
      </w:r>
      <w:r w:rsidR="00D376F7">
        <w:t xml:space="preserve">This </w:t>
      </w:r>
      <w:r w:rsidR="00BC2AB8">
        <w:t>meant</w:t>
      </w:r>
      <w:r w:rsidR="00D376F7">
        <w:t xml:space="preserve"> the city </w:t>
      </w:r>
      <w:r w:rsidR="00BC2AB8">
        <w:t xml:space="preserve">had </w:t>
      </w:r>
      <w:r w:rsidR="00DF42B9">
        <w:t xml:space="preserve">a </w:t>
      </w:r>
      <w:r w:rsidR="00BC2AB8">
        <w:t>special</w:t>
      </w:r>
      <w:r w:rsidR="00D376F7">
        <w:t xml:space="preserve"> </w:t>
      </w:r>
      <w:r w:rsidR="00BC2AB8">
        <w:t>eas</w:t>
      </w:r>
      <w:r w:rsidR="00DF42B9">
        <w:t>e</w:t>
      </w:r>
      <w:r w:rsidR="00BC2AB8">
        <w:t xml:space="preserve"> of credit</w:t>
      </w:r>
      <w:r w:rsidR="00693FF2">
        <w:t xml:space="preserve"> – even if Fiscal Bank notes were traded at a rate different to th</w:t>
      </w:r>
      <w:r w:rsidR="00696951">
        <w:t>ose of the National Bank –</w:t>
      </w:r>
      <w:r w:rsidR="00D376F7">
        <w:t xml:space="preserve"> which allowed for </w:t>
      </w:r>
      <w:r w:rsidR="00BC2AB8">
        <w:t>a special boom</w:t>
      </w:r>
      <w:r w:rsidR="00713835">
        <w:t xml:space="preserve">, and its notes travelled along a large Middle Atlantic zone from </w:t>
      </w:r>
      <w:r w:rsidR="002E4903">
        <w:t xml:space="preserve">Richmond to Washington to </w:t>
      </w:r>
      <w:proofErr w:type="spellStart"/>
      <w:r w:rsidR="00B04892">
        <w:t>Pittsburg</w:t>
      </w:r>
      <w:proofErr w:type="spellEnd"/>
      <w:r w:rsidR="00743070">
        <w:t xml:space="preserve">. At its head was </w:t>
      </w:r>
      <w:r w:rsidR="008305F9">
        <w:t xml:space="preserve">clearly Washington, </w:t>
      </w:r>
      <w:r w:rsidR="00611B9F">
        <w:t>as businesses operating all over that region preferred to be headquartered there</w:t>
      </w:r>
      <w:r w:rsidR="00EF28DE">
        <w:t xml:space="preserve"> – and it only fuelled imports through the Port of Washington</w:t>
      </w:r>
      <w:r w:rsidR="00923304">
        <w:t xml:space="preserve">. Indeed, this gave Washington a special advantage in its </w:t>
      </w:r>
      <w:r w:rsidR="00615C52">
        <w:t>rivalry with New York over their mutual hinterland of the Middle West</w:t>
      </w:r>
      <w:r w:rsidR="00BC2AB8">
        <w:t xml:space="preserve">. </w:t>
      </w:r>
      <w:r w:rsidR="0058254D">
        <w:t xml:space="preserve">Additionally, come the </w:t>
      </w:r>
      <w:r w:rsidR="00470D3A">
        <w:t xml:space="preserve">establishment of the Second Bank of the United States, </w:t>
      </w:r>
      <w:r w:rsidR="00CA11DA">
        <w:t xml:space="preserve">that it was headquartered in Washington meant that it became very strongly integrated with the Fiscal Bank. This only made credit in </w:t>
      </w:r>
      <w:r w:rsidR="00CA11DA">
        <w:lastRenderedPageBreak/>
        <w:t>Washington even easier to obtain</w:t>
      </w:r>
      <w:r w:rsidR="00B53D8D">
        <w:t xml:space="preserve"> while also making </w:t>
      </w:r>
      <w:r w:rsidR="00102E8B">
        <w:t>the city’s financial order even more stable</w:t>
      </w:r>
      <w:r w:rsidR="00CA11DA">
        <w:t xml:space="preserve">, and this helped enhance its boom. </w:t>
      </w:r>
    </w:p>
    <w:p w14:paraId="4D5B3C12" w14:textId="77777777" w:rsidR="009354BC" w:rsidRDefault="00DF42B9" w:rsidP="00A908C1">
      <w:r>
        <w:t xml:space="preserve">The Washington branch of the Second Bank, and the </w:t>
      </w:r>
      <w:r w:rsidR="00B27E94">
        <w:t xml:space="preserve">Fiscal Bank of Washington, together represented a cohesive financial establishment. </w:t>
      </w:r>
      <w:r w:rsidR="00AE22ED">
        <w:t xml:space="preserve">The financial center of the United States </w:t>
      </w:r>
      <w:r w:rsidR="002E04F1">
        <w:t>was</w:t>
      </w:r>
      <w:r w:rsidR="00AE22ED">
        <w:t xml:space="preserve"> previously </w:t>
      </w:r>
      <w:r w:rsidR="002E04F1">
        <w:t>Philadelphia; this had its origin</w:t>
      </w:r>
      <w:r w:rsidR="00BA313D">
        <w:t xml:space="preserve"> in the post-revolutionary environment, where it was both</w:t>
      </w:r>
      <w:r w:rsidR="002E04F1">
        <w:t xml:space="preserve"> the </w:t>
      </w:r>
      <w:r w:rsidR="00BA313D">
        <w:t>national</w:t>
      </w:r>
      <w:r w:rsidR="002E04F1">
        <w:t xml:space="preserve"> capital</w:t>
      </w:r>
      <w:r w:rsidR="00BA313D">
        <w:t xml:space="preserve"> and the </w:t>
      </w:r>
      <w:r w:rsidR="00D20020">
        <w:t xml:space="preserve">largest city in the nation; </w:t>
      </w:r>
      <w:proofErr w:type="gramStart"/>
      <w:r w:rsidR="00D20020">
        <w:t>thus</w:t>
      </w:r>
      <w:proofErr w:type="gramEnd"/>
      <w:r w:rsidR="00D20020">
        <w:t xml:space="preserve"> here was established the Bank of North America, and then the First Bank of the United States</w:t>
      </w:r>
      <w:r w:rsidR="007B5215">
        <w:t xml:space="preserve">. Chestnut Street became the main financial artery of the nation. Though New York began to </w:t>
      </w:r>
      <w:r w:rsidR="00976919">
        <w:t xml:space="preserve">rival it with the rise of its own </w:t>
      </w:r>
      <w:r w:rsidR="00C75885">
        <w:t>financial establishment, that the Bank of the United States had branches in every state meant that it was dominant</w:t>
      </w:r>
      <w:r w:rsidR="00A37C30">
        <w:t xml:space="preserve"> and couldn’t really be matched. </w:t>
      </w:r>
      <w:r w:rsidR="008B498A">
        <w:t xml:space="preserve">Come 1811, the failure to renew the National Bank </w:t>
      </w:r>
      <w:r w:rsidR="00930AF1">
        <w:t xml:space="preserve">meant the end of Philadelphia’s status; though Stephen Girard’s purchase of </w:t>
      </w:r>
      <w:r w:rsidR="00D95439">
        <w:t xml:space="preserve">the bank meant that it did not simply collapse, it was still eroded over the 1810s and 20s and New York grew in its place. </w:t>
      </w:r>
      <w:r w:rsidR="00B16F7C">
        <w:t>The Panic of 1819 meant</w:t>
      </w:r>
      <w:r w:rsidR="005109AE">
        <w:t xml:space="preserve"> the collapse of </w:t>
      </w:r>
      <w:r w:rsidR="008632F9">
        <w:t>the</w:t>
      </w:r>
      <w:r w:rsidR="005109AE">
        <w:t xml:space="preserve"> American </w:t>
      </w:r>
      <w:r w:rsidR="008632F9">
        <w:t>financial system</w:t>
      </w:r>
      <w:r w:rsidR="005109AE">
        <w:t xml:space="preserve">; banks either </w:t>
      </w:r>
      <w:proofErr w:type="gramStart"/>
      <w:r w:rsidR="005109AE">
        <w:t>collapsed, or</w:t>
      </w:r>
      <w:proofErr w:type="gramEnd"/>
      <w:r w:rsidR="005109AE">
        <w:t xml:space="preserve"> were forced into a period of retrenchment. </w:t>
      </w:r>
    </w:p>
    <w:p w14:paraId="549590E7" w14:textId="528BEB6C" w:rsidR="003F1569" w:rsidRDefault="00FF46C8" w:rsidP="00A908C1">
      <w:r>
        <w:t xml:space="preserve">When the third Burr administration </w:t>
      </w:r>
      <w:r w:rsidR="003C31ED">
        <w:t xml:space="preserve">established </w:t>
      </w:r>
      <w:r w:rsidR="00030FE9">
        <w:t>a Second Bank</w:t>
      </w:r>
      <w:r w:rsidR="00C45CA6">
        <w:t xml:space="preserve"> of the United States</w:t>
      </w:r>
      <w:r w:rsidR="00030FE9">
        <w:t xml:space="preserve">, </w:t>
      </w:r>
      <w:r w:rsidR="00341842">
        <w:t xml:space="preserve">it was to be headquartered in </w:t>
      </w:r>
      <w:r w:rsidR="009354BC">
        <w:t xml:space="preserve">Washington. </w:t>
      </w:r>
      <w:r w:rsidR="00741325">
        <w:t xml:space="preserve">As the financial system of Washington matured, so emerged </w:t>
      </w:r>
      <w:r w:rsidR="00FD7EC7">
        <w:t xml:space="preserve">a system of </w:t>
      </w:r>
      <w:r w:rsidR="003B65F6">
        <w:t>exchanging and selling financial securities, through a network of brokers</w:t>
      </w:r>
      <w:r w:rsidR="0042579C">
        <w:t xml:space="preserve">. In the booming environment of the </w:t>
      </w:r>
      <w:r w:rsidR="00250D9A">
        <w:t>Luisiana War, this only escalated as the several wartime securities became distributed through</w:t>
      </w:r>
      <w:r w:rsidR="00A2734D">
        <w:t xml:space="preserve"> these networks</w:t>
      </w:r>
      <w:r w:rsidR="003B65F6">
        <w:t xml:space="preserve">. </w:t>
      </w:r>
      <w:r w:rsidR="0042579C">
        <w:t xml:space="preserve">In 1831 this </w:t>
      </w:r>
      <w:r w:rsidR="001E4301">
        <w:t xml:space="preserve">arrangement became formalized with the establishment of the Washington Board of Brokers, which provided structured rules for the </w:t>
      </w:r>
      <w:r w:rsidR="00BB4E34">
        <w:t>exchange of securities</w:t>
      </w:r>
      <w:r w:rsidR="004473E8">
        <w:rPr>
          <w:rStyle w:val="EndnoteReference"/>
        </w:rPr>
        <w:endnoteReference w:id="177"/>
      </w:r>
      <w:r w:rsidR="00BB4E34">
        <w:t xml:space="preserve">. </w:t>
      </w:r>
      <w:r w:rsidR="00037F1F">
        <w:t xml:space="preserve">This swiftly </w:t>
      </w:r>
      <w:r w:rsidR="009920F4">
        <w:t xml:space="preserve">became the leading financial exchange in the United States – </w:t>
      </w:r>
      <w:r w:rsidR="00A977EB">
        <w:t xml:space="preserve">when the Marshall Court </w:t>
      </w:r>
      <w:r w:rsidR="00933B9D">
        <w:t>demonetized banknotes from</w:t>
      </w:r>
      <w:r w:rsidR="00A977EB">
        <w:t xml:space="preserve"> </w:t>
      </w:r>
      <w:r w:rsidR="009264D8">
        <w:t xml:space="preserve">state banks, that they were traded on the New York exchange meant </w:t>
      </w:r>
      <w:r w:rsidR="00342DBC">
        <w:t xml:space="preserve">that exchange weakened. </w:t>
      </w:r>
      <w:r w:rsidR="00FE6285">
        <w:t>Being in the capital</w:t>
      </w:r>
      <w:r w:rsidR="00D17955">
        <w:t xml:space="preserve"> </w:t>
      </w:r>
      <w:r w:rsidR="00FE6285">
        <w:t>and the</w:t>
      </w:r>
      <w:r w:rsidR="00D17955">
        <w:t xml:space="preserve"> headquarters </w:t>
      </w:r>
      <w:r w:rsidR="00FE6285">
        <w:t xml:space="preserve">of </w:t>
      </w:r>
      <w:r w:rsidR="00FE6285">
        <w:lastRenderedPageBreak/>
        <w:t>the National Bank, the Washington Board of Brokers became</w:t>
      </w:r>
      <w:r w:rsidR="00E2782A">
        <w:t xml:space="preserve"> the chief place </w:t>
      </w:r>
      <w:r w:rsidR="008A6B88">
        <w:t>to buy and sell securities</w:t>
      </w:r>
      <w:r w:rsidR="009D028D">
        <w:t xml:space="preserve">; not just those the government and National Bank put upon it, but also for </w:t>
      </w:r>
      <w:r w:rsidR="00F75078">
        <w:t>canal and railroad companies</w:t>
      </w:r>
      <w:r w:rsidR="008A6B88">
        <w:t xml:space="preserve">. </w:t>
      </w:r>
    </w:p>
    <w:p w14:paraId="65F4A26D" w14:textId="11B95AE8" w:rsidR="002640CC" w:rsidRDefault="002640CC" w:rsidP="00A908C1">
      <w:r>
        <w:t>With the maturation</w:t>
      </w:r>
      <w:r w:rsidR="00693FF2">
        <w:t xml:space="preserve"> of the city’s financial and commercial institutions, Washington saw a</w:t>
      </w:r>
      <w:r w:rsidR="00001BDD">
        <w:t xml:space="preserve"> push </w:t>
      </w:r>
      <w:r w:rsidR="00693FF2">
        <w:t xml:space="preserve">to monumentalize the achievements of the American Revolution, which had </w:t>
      </w:r>
      <w:r w:rsidR="00005FEB">
        <w:t>by this point turned into</w:t>
      </w:r>
      <w:r w:rsidR="000A753B">
        <w:t xml:space="preserve"> national myth. </w:t>
      </w:r>
      <w:r w:rsidR="00506554">
        <w:t xml:space="preserve">Perhaps the first element of this push was the </w:t>
      </w:r>
      <w:r w:rsidR="005D3955">
        <w:t>reconstruction of the presidential mansion</w:t>
      </w:r>
      <w:r w:rsidR="000D64A7">
        <w:t>, after it had so infamously burned down</w:t>
      </w:r>
      <w:r w:rsidR="00C76A31">
        <w:t xml:space="preserve"> in 1827</w:t>
      </w:r>
      <w:r w:rsidR="000D64A7">
        <w:t xml:space="preserve"> with</w:t>
      </w:r>
      <w:r w:rsidR="00C76A31">
        <w:t xml:space="preserve"> the incumbent</w:t>
      </w:r>
      <w:r w:rsidR="000D64A7">
        <w:t xml:space="preserve"> </w:t>
      </w:r>
      <w:r w:rsidR="00C76A31">
        <w:t>p</w:t>
      </w:r>
      <w:r w:rsidR="000D64A7">
        <w:t>resident</w:t>
      </w:r>
      <w:r w:rsidR="00C76A31">
        <w:t>,</w:t>
      </w:r>
      <w:r w:rsidR="000D64A7">
        <w:t xml:space="preserve"> Aaron Burr</w:t>
      </w:r>
      <w:r w:rsidR="00C76A31">
        <w:t>,</w:t>
      </w:r>
      <w:r w:rsidR="000D64A7">
        <w:t xml:space="preserve"> inside. </w:t>
      </w:r>
      <w:r w:rsidR="00C76A31">
        <w:t>In the interim</w:t>
      </w:r>
      <w:r w:rsidR="00DF2364">
        <w:t xml:space="preserve">, and with the bulk of American revenues being spent on the American war effort, President Harrison resided in </w:t>
      </w:r>
      <w:r w:rsidR="00F7271A">
        <w:t xml:space="preserve">his </w:t>
      </w:r>
      <w:proofErr w:type="gramStart"/>
      <w:r w:rsidR="00F7271A">
        <w:t>vice presidential</w:t>
      </w:r>
      <w:proofErr w:type="gramEnd"/>
      <w:r w:rsidR="003554EF">
        <w:t xml:space="preserve"> residence; but with the end of the war in 1828, reconstruction began almost immediately. </w:t>
      </w:r>
      <w:r w:rsidR="00687944">
        <w:t>Despite some talk of moving the residence elsewhere, that Burr had died there and, in the eyes of many, had been martyred, made it a sacred site</w:t>
      </w:r>
      <w:r w:rsidR="00AE24AB">
        <w:t>; to move it would be a sort of surrender</w:t>
      </w:r>
      <w:r w:rsidR="00687944">
        <w:t xml:space="preserve">. </w:t>
      </w:r>
      <w:r w:rsidR="003554EF">
        <w:t>The new presidential mansion</w:t>
      </w:r>
      <w:r w:rsidR="00163572">
        <w:t>, completed in 1833,</w:t>
      </w:r>
      <w:r w:rsidR="003554EF">
        <w:t xml:space="preserve"> </w:t>
      </w:r>
      <w:r w:rsidR="00894DD9">
        <w:t>included a new grandeur</w:t>
      </w:r>
      <w:r w:rsidR="003D16CE">
        <w:t xml:space="preserve">, with east and west wings </w:t>
      </w:r>
      <w:r w:rsidR="008375C2">
        <w:t>that more than doubled</w:t>
      </w:r>
      <w:r w:rsidR="009A35E0">
        <w:t xml:space="preserve"> </w:t>
      </w:r>
      <w:r w:rsidR="00EF7AFE">
        <w:t>its</w:t>
      </w:r>
      <w:r w:rsidR="009A35E0">
        <w:t xml:space="preserve"> size. Additionally, Harrison included several busts of not only Burr, but several other presidents and other great figures, in </w:t>
      </w:r>
      <w:r w:rsidR="00A12F2F">
        <w:t>a</w:t>
      </w:r>
      <w:r w:rsidR="00B33973">
        <w:t xml:space="preserve"> new monumental</w:t>
      </w:r>
      <w:r w:rsidR="00D622C8">
        <w:t xml:space="preserve"> reception hall</w:t>
      </w:r>
      <w:r w:rsidR="00A12F2F">
        <w:t xml:space="preserve">. </w:t>
      </w:r>
      <w:r w:rsidR="003154FF">
        <w:t>And though it would take decades for this name to be official, already Americans were calling th</w:t>
      </w:r>
      <w:r w:rsidR="00DF41FC">
        <w:t xml:space="preserve">is the “Burr House”. </w:t>
      </w:r>
    </w:p>
    <w:p w14:paraId="7965F4BD" w14:textId="2B9196B5" w:rsidR="00367B5D" w:rsidRDefault="00367B5D" w:rsidP="00A908C1">
      <w:r>
        <w:t>This would only be the beginning of an era</w:t>
      </w:r>
      <w:r w:rsidR="00FD5F88">
        <w:t>, to monumentalize the greats of the past</w:t>
      </w:r>
      <w:r w:rsidR="008A116A">
        <w:t xml:space="preserve">, as </w:t>
      </w:r>
      <w:r w:rsidR="00FD5F88">
        <w:t>the revolutionary generation passed and gave way for the age of Clay, Webster, and Calhou</w:t>
      </w:r>
      <w:r w:rsidR="008A116A">
        <w:t xml:space="preserve">n. </w:t>
      </w:r>
      <w:r w:rsidR="00B9134B">
        <w:t>Talk of a monument to George Washington led to the creation of a society in 1833</w:t>
      </w:r>
      <w:r w:rsidR="008B46EE">
        <w:t xml:space="preserve">; </w:t>
      </w:r>
      <w:r w:rsidR="00F7197C">
        <w:t>rais</w:t>
      </w:r>
      <w:r w:rsidR="00126920">
        <w:t>ing</w:t>
      </w:r>
      <w:r w:rsidR="008B46EE">
        <w:t xml:space="preserve"> a lot of</w:t>
      </w:r>
      <w:r w:rsidR="00F7197C">
        <w:t xml:space="preserve"> money through public subscription</w:t>
      </w:r>
      <w:r w:rsidR="00FD46AF">
        <w:t xml:space="preserve">, </w:t>
      </w:r>
      <w:r w:rsidR="00181B3F">
        <w:t xml:space="preserve">it </w:t>
      </w:r>
      <w:r w:rsidR="00126920">
        <w:t>inaugurated an architectural competition. Several designs would be</w:t>
      </w:r>
      <w:r w:rsidR="00B4294D">
        <w:t xml:space="preserve"> proposed, such as victory columns reminiscent of </w:t>
      </w:r>
      <w:r w:rsidR="009F2C0E">
        <w:t>Paris’s</w:t>
      </w:r>
      <w:r w:rsidR="00B4294D">
        <w:t xml:space="preserve"> Bastille Column, or a colossal</w:t>
      </w:r>
      <w:r w:rsidR="00201F35">
        <w:t xml:space="preserve"> obelisk </w:t>
      </w:r>
      <w:r w:rsidR="009F2C0E">
        <w:t>surrounded by a colonnade</w:t>
      </w:r>
      <w:r w:rsidR="00201F35">
        <w:t xml:space="preserve"> – but what ultimately</w:t>
      </w:r>
      <w:r w:rsidR="00192F70">
        <w:t xml:space="preserve"> won the day was a </w:t>
      </w:r>
      <w:r w:rsidR="006655A7">
        <w:t>massive</w:t>
      </w:r>
      <w:r w:rsidR="00AB349D">
        <w:t xml:space="preserve"> triumpha</w:t>
      </w:r>
      <w:r w:rsidR="006655A7">
        <w:t>l</w:t>
      </w:r>
      <w:r w:rsidR="00AB349D">
        <w:t xml:space="preserve"> arch</w:t>
      </w:r>
      <w:r w:rsidR="009076B0">
        <w:t xml:space="preserve"> with several bas-reliefs on its surfaces</w:t>
      </w:r>
      <w:r w:rsidR="006655A7">
        <w:t xml:space="preserve">, clearly reminiscent of </w:t>
      </w:r>
      <w:r w:rsidR="00793EC3">
        <w:t>Roman examples</w:t>
      </w:r>
      <w:r w:rsidR="00167A4B">
        <w:t xml:space="preserve"> but far larger, and at its </w:t>
      </w:r>
      <w:r w:rsidR="00167A4B">
        <w:lastRenderedPageBreak/>
        <w:t xml:space="preserve">very center it contained a huge equestrian statue of George Washington. </w:t>
      </w:r>
      <w:r w:rsidR="001075C0">
        <w:t>Placed</w:t>
      </w:r>
      <w:r w:rsidR="00580CE5">
        <w:t xml:space="preserve"> on the National Mall, along what would soon become</w:t>
      </w:r>
      <w:r w:rsidR="00154C11">
        <w:t xml:space="preserve"> an axis of monumentalism, its construction became a symbolic national act as virtually every part of the nation sought to sponsor a </w:t>
      </w:r>
      <w:r w:rsidR="00FE6AB2">
        <w:t>stone to be part of the whole</w:t>
      </w:r>
      <w:r w:rsidR="00154C11">
        <w:t xml:space="preserve">. </w:t>
      </w:r>
      <w:r w:rsidR="006A6CF0">
        <w:t xml:space="preserve">Its completion saw much tumult as the monument association had to be bailed out by National Bank, but by 1848 it would be completed. </w:t>
      </w:r>
    </w:p>
    <w:p w14:paraId="2B8AB37D" w14:textId="6990A2BB" w:rsidR="00C43331" w:rsidRDefault="00C43331" w:rsidP="00A908C1">
      <w:r>
        <w:t xml:space="preserve">In the decades </w:t>
      </w:r>
      <w:r w:rsidR="00C01C04">
        <w:t>before the Liberty and Union War</w:t>
      </w:r>
      <w:r w:rsidR="008F030F">
        <w:t xml:space="preserve">, </w:t>
      </w:r>
      <w:proofErr w:type="spellStart"/>
      <w:r w:rsidR="008F030F">
        <w:t>monumentalization</w:t>
      </w:r>
      <w:proofErr w:type="spellEnd"/>
      <w:r w:rsidR="008F030F">
        <w:t xml:space="preserve"> continued. </w:t>
      </w:r>
      <w:r w:rsidR="004A6B53">
        <w:t xml:space="preserve">With the endowing of the Smithsonian Institution, </w:t>
      </w:r>
      <w:r w:rsidR="002A5C0F">
        <w:t xml:space="preserve">architects and builders immediately got to work on building what became called “The Castle”, </w:t>
      </w:r>
      <w:r w:rsidR="00F65CD8">
        <w:t>a distinctly neo-Gothic building made of brick</w:t>
      </w:r>
      <w:r w:rsidR="00A51764">
        <w:t xml:space="preserve">, which </w:t>
      </w:r>
      <w:r w:rsidR="007263AA">
        <w:t xml:space="preserve">was also a tribute to </w:t>
      </w:r>
      <w:r w:rsidR="00CA2290">
        <w:t>James Smithson’s British and aristocratic</w:t>
      </w:r>
      <w:r w:rsidR="0039520F">
        <w:t xml:space="preserve"> roots</w:t>
      </w:r>
      <w:r w:rsidR="00625790">
        <w:t>. Surviving the destruction of the Liberty and Union War, despite the buildup of the Smithsonian since</w:t>
      </w:r>
      <w:r w:rsidR="000F3A5F">
        <w:t xml:space="preserve"> its design </w:t>
      </w:r>
      <w:r w:rsidR="00231085">
        <w:t>continues to make it</w:t>
      </w:r>
      <w:r w:rsidR="00E11EBA">
        <w:t xml:space="preserve"> a </w:t>
      </w:r>
      <w:r w:rsidR="00DD25AD">
        <w:t xml:space="preserve">distinct part of Washington’s landscape. </w:t>
      </w:r>
      <w:r w:rsidR="00783865">
        <w:t xml:space="preserve">Additionally, several statues popped up in this period, often with neoclassical </w:t>
      </w:r>
      <w:proofErr w:type="gramStart"/>
      <w:r w:rsidR="00783865">
        <w:t>plinths;</w:t>
      </w:r>
      <w:proofErr w:type="gramEnd"/>
      <w:r w:rsidR="00783865">
        <w:t xml:space="preserve"> these included </w:t>
      </w:r>
      <w:r w:rsidR="00AC07D9">
        <w:t>Benjamin Franklin, George Washington, Thomas Jefferson, Aaron Burr, and many other figures from the recent</w:t>
      </w:r>
      <w:r w:rsidR="00AC35F7">
        <w:t xml:space="preserve"> revolutionary generation. </w:t>
      </w:r>
      <w:r w:rsidR="005646B4">
        <w:t xml:space="preserve">This was nothing compared to the </w:t>
      </w:r>
      <w:proofErr w:type="spellStart"/>
      <w:r w:rsidR="005646B4">
        <w:t>monumentalization</w:t>
      </w:r>
      <w:proofErr w:type="spellEnd"/>
      <w:r w:rsidR="005646B4">
        <w:t xml:space="preserve"> of the city postwar, but it was clearly a predecessor to that great wave. And it made the city feel like the political capital that it formerly was only on paper. </w:t>
      </w:r>
    </w:p>
    <w:p w14:paraId="738A1587" w14:textId="32C2B205" w:rsidR="00ED3373" w:rsidRPr="00D17955" w:rsidRDefault="00ED3373" w:rsidP="00A908C1">
      <w:r>
        <w:t xml:space="preserve">Thus, </w:t>
      </w:r>
      <w:r w:rsidR="00077F1B">
        <w:t xml:space="preserve">Washington became the capital of the nation, not just of government but </w:t>
      </w:r>
      <w:r w:rsidR="00282B4E">
        <w:t>for</w:t>
      </w:r>
      <w:r w:rsidR="00077F1B">
        <w:t xml:space="preserve"> </w:t>
      </w:r>
      <w:r w:rsidR="00BE5DE2">
        <w:t xml:space="preserve">finances and </w:t>
      </w:r>
      <w:r w:rsidR="002640CC">
        <w:t>the</w:t>
      </w:r>
      <w:r w:rsidR="00F52C6B">
        <w:t xml:space="preserve"> exchange</w:t>
      </w:r>
      <w:r w:rsidR="002640CC">
        <w:t xml:space="preserve"> of securities</w:t>
      </w:r>
      <w:r w:rsidR="002C5E5C">
        <w:t xml:space="preserve">. </w:t>
      </w:r>
      <w:r w:rsidR="00F96644">
        <w:t xml:space="preserve">The city’s population boomed in quick succession, and then and now it dominates an economic region from Richmond to Baltimore, turning the latter into an effective </w:t>
      </w:r>
      <w:proofErr w:type="spellStart"/>
      <w:r w:rsidR="00F96644">
        <w:t>banleague</w:t>
      </w:r>
      <w:proofErr w:type="spellEnd"/>
      <w:r w:rsidR="00B64066">
        <w:t xml:space="preserve">. </w:t>
      </w:r>
      <w:r w:rsidR="00F315A8">
        <w:t>Swelling even beyond the limits of the city of Washing</w:t>
      </w:r>
      <w:r w:rsidR="00F42279">
        <w:t>ton, Congress in short succession expanded</w:t>
      </w:r>
      <w:r w:rsidR="00053FA1">
        <w:t xml:space="preserve"> it northwards</w:t>
      </w:r>
      <w:r w:rsidR="00D67151">
        <w:t xml:space="preserve">. Additionally, </w:t>
      </w:r>
      <w:r w:rsidR="007214CB">
        <w:t xml:space="preserve">the </w:t>
      </w:r>
      <w:r w:rsidR="00966839">
        <w:t>several settlements</w:t>
      </w:r>
      <w:r w:rsidR="00F3431D">
        <w:t xml:space="preserve"> rose east of</w:t>
      </w:r>
      <w:r w:rsidR="00966839">
        <w:t xml:space="preserve"> the</w:t>
      </w:r>
      <w:r w:rsidR="00F3431D">
        <w:t xml:space="preserve"> Anacostia River</w:t>
      </w:r>
      <w:r w:rsidR="007214CB">
        <w:t xml:space="preserve"> were formally constituted as the </w:t>
      </w:r>
      <w:r w:rsidR="00F3431D">
        <w:t xml:space="preserve">city of </w:t>
      </w:r>
      <w:proofErr w:type="spellStart"/>
      <w:r w:rsidR="00F3431D">
        <w:t>Websterville</w:t>
      </w:r>
      <w:proofErr w:type="spellEnd"/>
      <w:r w:rsidR="00F3431D">
        <w:t xml:space="preserve"> in 1847, with its own mayor</w:t>
      </w:r>
      <w:r w:rsidR="00F63B42">
        <w:rPr>
          <w:rStyle w:val="EndnoteReference"/>
        </w:rPr>
        <w:endnoteReference w:id="178"/>
      </w:r>
      <w:r w:rsidR="006C340C">
        <w:t>; this was representative of the boom years of the era</w:t>
      </w:r>
      <w:r w:rsidR="00DA197C">
        <w:t xml:space="preserve">. It would only be during and immediately after </w:t>
      </w:r>
      <w:r w:rsidR="00DA197C">
        <w:lastRenderedPageBreak/>
        <w:t>the Liberty and Union War</w:t>
      </w:r>
      <w:r w:rsidR="00E70821">
        <w:t xml:space="preserve"> that </w:t>
      </w:r>
      <w:r w:rsidR="000E0229">
        <w:t xml:space="preserve">urbanization swept the entire capital district, but development was clearly headed that way. </w:t>
      </w:r>
      <w:r w:rsidR="004B0261">
        <w:t>Washington would never be the largest city of the United States, but it would be</w:t>
      </w:r>
      <w:r w:rsidR="00344BBB">
        <w:t>come</w:t>
      </w:r>
      <w:r w:rsidR="004B0261">
        <w:t xml:space="preserve"> one of the largest. </w:t>
      </w:r>
    </w:p>
    <w:p w14:paraId="214CBE05" w14:textId="77777777" w:rsidR="00D875C3" w:rsidRDefault="00D875C3" w:rsidP="00D875C3">
      <w:r>
        <w:br w:type="page"/>
      </w:r>
    </w:p>
    <w:p w14:paraId="7E65DA79" w14:textId="77777777" w:rsidR="00DB0777" w:rsidRDefault="00DB0777" w:rsidP="00E75731"/>
    <w:p w14:paraId="0CAC83C1" w14:textId="77777777" w:rsidR="00D875C3" w:rsidRDefault="00D875C3" w:rsidP="00E75731">
      <w:pPr>
        <w:sectPr w:rsidR="00D875C3" w:rsidSect="00E75731">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1473D2F" w14:textId="77777777" w:rsidR="00E75731" w:rsidRDefault="00E75731" w:rsidP="00E75731">
      <w:r>
        <w:br w:type="page"/>
      </w:r>
    </w:p>
    <w:p w14:paraId="43DB7A6D" w14:textId="670592BA" w:rsidR="0004788C" w:rsidRDefault="002B176A" w:rsidP="002B176A">
      <w:pPr>
        <w:pStyle w:val="Heading1"/>
      </w:pPr>
      <w:bookmarkStart w:id="45" w:name="_Toc202006234"/>
      <w:r>
        <w:lastRenderedPageBreak/>
        <w:t>3</w:t>
      </w:r>
      <w:r w:rsidR="00C2388F">
        <w:t>5</w:t>
      </w:r>
      <w:r>
        <w:t>. The Advance of the Wire</w:t>
      </w:r>
      <w:bookmarkEnd w:id="45"/>
    </w:p>
    <w:p w14:paraId="0CD7081E" w14:textId="2AEAE777" w:rsidR="005B655C" w:rsidRDefault="00CC2957" w:rsidP="005B655C">
      <w:r>
        <w:t xml:space="preserve">The United States had already been transformed by two technologies by 1845, namely the </w:t>
      </w:r>
      <w:r w:rsidR="00856A18">
        <w:t xml:space="preserve">semaphoric </w:t>
      </w:r>
      <w:r w:rsidR="00B83B41">
        <w:t>telegraph</w:t>
      </w:r>
      <w:r w:rsidR="00D73386">
        <w:t xml:space="preserve"> and the </w:t>
      </w:r>
      <w:r w:rsidR="00E243F7">
        <w:t xml:space="preserve">canal. The </w:t>
      </w:r>
      <w:r w:rsidR="001B6A27">
        <w:t>semaphoric</w:t>
      </w:r>
      <w:r w:rsidR="001F429D">
        <w:t xml:space="preserve"> telegraph</w:t>
      </w:r>
      <w:r w:rsidR="00E243F7">
        <w:t xml:space="preserve"> allowed for communication from one part of the nation to the other</w:t>
      </w:r>
      <w:r w:rsidR="00EA0E5A">
        <w:t xml:space="preserve">, and under the authority of the post office they </w:t>
      </w:r>
      <w:r w:rsidR="00304B1E">
        <w:t xml:space="preserve">covered virtually every part of the nation which had some level of settlement. </w:t>
      </w:r>
      <w:r w:rsidR="00517495">
        <w:t xml:space="preserve">It was now possible to </w:t>
      </w:r>
      <w:r w:rsidR="0054449A">
        <w:t xml:space="preserve">transmit messages from Boston to New Orleans within two hours – although this was only the case in times of good weather, and of course it was very rare indeed that </w:t>
      </w:r>
      <w:r w:rsidR="00AA6209">
        <w:t xml:space="preserve">the United States had good weather </w:t>
      </w:r>
      <w:proofErr w:type="gramStart"/>
      <w:r w:rsidR="00AA6209">
        <w:t>all across</w:t>
      </w:r>
      <w:proofErr w:type="gramEnd"/>
      <w:r w:rsidR="00AA6209">
        <w:t xml:space="preserve"> the board. </w:t>
      </w:r>
      <w:r w:rsidR="0000138D">
        <w:t xml:space="preserve">Otherwise, semaphore towers would need to send runners to one another. But the results were immediate. Beyond the obvious military uses, the transmission of financial security values prevented exploitation of the boards of brokers, and </w:t>
      </w:r>
      <w:r w:rsidR="00F45B08">
        <w:t xml:space="preserve">the weekly transmission of news bulletins </w:t>
      </w:r>
      <w:r w:rsidR="00E05054">
        <w:t>allowed</w:t>
      </w:r>
      <w:r w:rsidR="00797667">
        <w:t xml:space="preserve"> every part of</w:t>
      </w:r>
      <w:r w:rsidR="00E05054">
        <w:t xml:space="preserve"> the nation to </w:t>
      </w:r>
      <w:r w:rsidR="00797667">
        <w:t>have a sense of the whole</w:t>
      </w:r>
      <w:r w:rsidR="00704EF3">
        <w:rPr>
          <w:rStyle w:val="EndnoteReference"/>
        </w:rPr>
        <w:endnoteReference w:id="179"/>
      </w:r>
      <w:r w:rsidR="009249FF">
        <w:t xml:space="preserve"> – although along the frontier and beyond, a lack of infrastructure meant instead the use of heliographs instead,</w:t>
      </w:r>
      <w:r w:rsidR="002D6649">
        <w:t xml:space="preserve"> after their invention by German mathematician Carl Friedrich Gauss</w:t>
      </w:r>
      <w:r w:rsidR="00E05054">
        <w:t xml:space="preserve">. </w:t>
      </w:r>
      <w:r w:rsidR="00FC7BAF">
        <w:t>Just as influential was the rise of the canal, which allowed for people and goods to travel from one part of the nation to the other. Once, the Alleghenies were</w:t>
      </w:r>
      <w:r w:rsidR="00110AC2">
        <w:t xml:space="preserve"> virtually as great of an obstacle as the Atlantic, but now all one needed was a boat and they could make the approach within a few days. This made western expansion easier than ever, and it </w:t>
      </w:r>
      <w:r w:rsidR="00A918D3">
        <w:t xml:space="preserve">helped combine the nation into a single unitary market. </w:t>
      </w:r>
      <w:r w:rsidR="00445669">
        <w:t xml:space="preserve">The rise of the steamboat – although this was the paddleboat, and the </w:t>
      </w:r>
      <w:proofErr w:type="spellStart"/>
      <w:r w:rsidR="00445669">
        <w:t>screwboat</w:t>
      </w:r>
      <w:proofErr w:type="spellEnd"/>
      <w:r w:rsidR="00445669">
        <w:t xml:space="preserve"> was still several decades away – only helped accelerate this, because now one didn’t need mules to take a boat along. </w:t>
      </w:r>
      <w:r w:rsidR="00332F20">
        <w:t xml:space="preserve">Little wonder the steamboat and the semaphore tower were the leading symbols of modernity in the era. </w:t>
      </w:r>
    </w:p>
    <w:p w14:paraId="2C7A9298" w14:textId="36CBD21C" w:rsidR="000F2018" w:rsidRDefault="009A2167" w:rsidP="005B655C">
      <w:r>
        <w:t>The Panic of 1842, and the collapse of the tariff in the same year put an end to</w:t>
      </w:r>
      <w:r w:rsidR="00AE3955">
        <w:t xml:space="preserve"> investment in these new technologies</w:t>
      </w:r>
      <w:r w:rsidR="001463C8">
        <w:t>.</w:t>
      </w:r>
      <w:r>
        <w:t xml:space="preserve"> </w:t>
      </w:r>
      <w:r w:rsidR="00AE6FF0">
        <w:t>Banks either died or restricted credit</w:t>
      </w:r>
      <w:r w:rsidR="007A7EDD">
        <w:t xml:space="preserve"> to prevent themselves from dying</w:t>
      </w:r>
      <w:r w:rsidR="00AE6FF0">
        <w:t xml:space="preserve">, and beyond this the government simply </w:t>
      </w:r>
      <w:r w:rsidR="00466019">
        <w:t xml:space="preserve">didn’t have the spare money which had previously fed the </w:t>
      </w:r>
      <w:r w:rsidR="00466019">
        <w:lastRenderedPageBreak/>
        <w:t>boom</w:t>
      </w:r>
      <w:r w:rsidR="00AE6FF0">
        <w:t xml:space="preserve">. </w:t>
      </w:r>
      <w:r w:rsidR="005157D4">
        <w:t xml:space="preserve">And by the time Webster came to the presidency, </w:t>
      </w:r>
      <w:r w:rsidR="00AC3CAB">
        <w:t xml:space="preserve">in truth a new era had come. </w:t>
      </w:r>
      <w:r w:rsidR="00A415E4">
        <w:t>The semaphor</w:t>
      </w:r>
      <w:r w:rsidR="00314BEC">
        <w:t>ic telegraph</w:t>
      </w:r>
      <w:r w:rsidR="00A415E4">
        <w:t xml:space="preserve"> had been replaced by the electro-telegraph – in time, it would simply be known as the telegraph – and t</w:t>
      </w:r>
      <w:r w:rsidR="00170DCB">
        <w:t>he canal and steamboat were replaced by the railroad and</w:t>
      </w:r>
      <w:r w:rsidR="00A415E4">
        <w:t xml:space="preserve"> locomotive. </w:t>
      </w:r>
      <w:r w:rsidR="000F2018">
        <w:t>They became enduring symbols of the nineteenth century, and of the ambitious progress of the era</w:t>
      </w:r>
      <w:r w:rsidR="003862A0">
        <w:t>, forever throwing the canal and semaphore</w:t>
      </w:r>
      <w:r w:rsidR="003A589C">
        <w:t xml:space="preserve"> tower</w:t>
      </w:r>
      <w:r w:rsidR="003862A0">
        <w:t xml:space="preserve"> into the dust of history</w:t>
      </w:r>
      <w:r w:rsidR="002D74CF">
        <w:rPr>
          <w:rStyle w:val="EndnoteReference"/>
        </w:rPr>
        <w:endnoteReference w:id="180"/>
      </w:r>
      <w:r w:rsidR="000F2018">
        <w:t xml:space="preserve">. </w:t>
      </w:r>
    </w:p>
    <w:p w14:paraId="627C6166" w14:textId="3AF0447E" w:rsidR="009A2167" w:rsidRDefault="00A47DBE" w:rsidP="005B655C">
      <w:r>
        <w:t xml:space="preserve">In truth, neither of these technologies were new. </w:t>
      </w:r>
      <w:r w:rsidR="00F63D73">
        <w:t xml:space="preserve">Human- and gravity-powered railroads were used for mines since medieval times, as had horse-powered rail. </w:t>
      </w:r>
      <w:r w:rsidR="00E61159">
        <w:t xml:space="preserve">And though these were initially made of wood, in the late eighteenth century iron rail began to emerge. </w:t>
      </w:r>
      <w:r w:rsidR="00660657">
        <w:t xml:space="preserve">With the rise of steam power, it only </w:t>
      </w:r>
      <w:r w:rsidR="00087C89">
        <w:t>took some time to put two and two together and</w:t>
      </w:r>
      <w:r w:rsidR="00223362">
        <w:t xml:space="preserve">, in 1804, the British inventor Richard Trevithick invented the railroad. </w:t>
      </w:r>
      <w:r w:rsidR="00466019">
        <w:t>The 1810s saw</w:t>
      </w:r>
      <w:r w:rsidR="000C521A">
        <w:t xml:space="preserve"> the rise of several </w:t>
      </w:r>
      <w:r w:rsidR="00324695">
        <w:t xml:space="preserve">railroads along with industry; </w:t>
      </w:r>
      <w:r w:rsidR="005D21FB">
        <w:t>though the</w:t>
      </w:r>
      <w:r w:rsidR="00324695">
        <w:t xml:space="preserve"> British Isles saw several minor railroads for small-scale transport, France’s need for </w:t>
      </w:r>
      <w:r w:rsidR="005D21FB">
        <w:t xml:space="preserve">rapid troop transport in its hostile neighborhoods saw a lot of investment in </w:t>
      </w:r>
      <w:r w:rsidR="00E92ABD">
        <w:t xml:space="preserve">rail connecting Paris to </w:t>
      </w:r>
      <w:r w:rsidR="00B60935">
        <w:t>the rest of the nation, with a special focus on its Rhenish frontier. And though the War</w:t>
      </w:r>
      <w:r w:rsidR="00A84BA7">
        <w:t xml:space="preserve"> of Roussin’s Fleet</w:t>
      </w:r>
      <w:r w:rsidR="00B60935">
        <w:t xml:space="preserve"> put an end to </w:t>
      </w:r>
      <w:r w:rsidR="0043367A">
        <w:t xml:space="preserve">French rail expansion, it nevertheless demonstrated </w:t>
      </w:r>
      <w:r w:rsidR="00031E30">
        <w:t>its</w:t>
      </w:r>
      <w:r w:rsidR="0043367A">
        <w:t xml:space="preserve"> potential</w:t>
      </w:r>
      <w:r w:rsidR="00031E30">
        <w:t xml:space="preserve"> to transform </w:t>
      </w:r>
      <w:r w:rsidR="00831590">
        <w:t>a</w:t>
      </w:r>
      <w:r w:rsidR="00031E30">
        <w:t xml:space="preserve"> nation;</w:t>
      </w:r>
      <w:r w:rsidR="003B3A5F">
        <w:t xml:space="preserve"> they could be built in places and areas where canals were impractical and thus establish</w:t>
      </w:r>
      <w:r w:rsidR="00272427">
        <w:t xml:space="preserve"> </w:t>
      </w:r>
      <w:r w:rsidR="001F6939">
        <w:t xml:space="preserve">unprecedented </w:t>
      </w:r>
      <w:r w:rsidR="00272427">
        <w:t xml:space="preserve">interconnectedness. </w:t>
      </w:r>
      <w:r w:rsidR="00FB16F2">
        <w:t xml:space="preserve">The 1830s saw the French pull well ahead from the British, whose financial collapse and revolutionary instability made its own investments tough; France successfully established a railroad network from Gand to Le Havre to </w:t>
      </w:r>
      <w:r w:rsidR="00413A3E">
        <w:t>Bordeaux to Nice, and even beyond to its sister republics</w:t>
      </w:r>
      <w:r w:rsidR="003E601F">
        <w:t xml:space="preserve">. At the same time, the German </w:t>
      </w:r>
      <w:proofErr w:type="gramStart"/>
      <w:r w:rsidR="003E601F">
        <w:t>states built</w:t>
      </w:r>
      <w:proofErr w:type="gramEnd"/>
      <w:r w:rsidR="003E601F">
        <w:t xml:space="preserve"> railroads to rival their French enemies, and though the British still </w:t>
      </w:r>
      <w:proofErr w:type="gramStart"/>
      <w:r w:rsidR="003E601F">
        <w:t>lagged behind</w:t>
      </w:r>
      <w:proofErr w:type="gramEnd"/>
      <w:r w:rsidR="003E601F">
        <w:t>, they were on their way</w:t>
      </w:r>
      <w:r w:rsidR="00413A3E">
        <w:t xml:space="preserve">. </w:t>
      </w:r>
      <w:r w:rsidR="000273C5">
        <w:t>The Age of Rail had begun</w:t>
      </w:r>
      <w:r w:rsidR="00EA1D61">
        <w:rPr>
          <w:rStyle w:val="EndnoteReference"/>
        </w:rPr>
        <w:endnoteReference w:id="181"/>
      </w:r>
      <w:r w:rsidR="000273C5">
        <w:t xml:space="preserve">. </w:t>
      </w:r>
    </w:p>
    <w:p w14:paraId="601CCF00" w14:textId="1E0EBB0D" w:rsidR="00B72530" w:rsidRDefault="00B72530" w:rsidP="005B655C">
      <w:r>
        <w:t xml:space="preserve">The United States had invested in some rail over the 1830s, but lacking both the </w:t>
      </w:r>
      <w:r w:rsidR="00773551">
        <w:t xml:space="preserve">military need and the strong state, they were not </w:t>
      </w:r>
      <w:r w:rsidR="00CA05CC">
        <w:t>overly substantial</w:t>
      </w:r>
      <w:r w:rsidR="00773551">
        <w:t xml:space="preserve">. </w:t>
      </w:r>
      <w:r w:rsidR="00091BE6">
        <w:t xml:space="preserve">One was the Camden and Amboy Railroad, </w:t>
      </w:r>
      <w:r w:rsidR="00091BE6">
        <w:lastRenderedPageBreak/>
        <w:t xml:space="preserve">to connect New York to Philadelphia; this project had begun in </w:t>
      </w:r>
      <w:r w:rsidR="006178C9">
        <w:t>1815 wit</w:t>
      </w:r>
      <w:r w:rsidR="004A28E8">
        <w:t>h a horse-driven railroad, but by 1831 this had since been substituted</w:t>
      </w:r>
      <w:r w:rsidR="00286901">
        <w:t xml:space="preserve"> by steam locomotives imported by the British Isles. </w:t>
      </w:r>
      <w:r w:rsidR="00B30A86">
        <w:t xml:space="preserve">This came in tandem with a canal also being constructed to achieve the same goal; the Railroad was slightly </w:t>
      </w:r>
      <w:r w:rsidR="00497845">
        <w:t>ahead of the canal in completion, and it was a proof of concept</w:t>
      </w:r>
      <w:r w:rsidR="00675274">
        <w:t xml:space="preserve"> which inspired the beginnings of railroad speculation. </w:t>
      </w:r>
      <w:r w:rsidR="00D00F2D">
        <w:t>Equally</w:t>
      </w:r>
      <w:r w:rsidR="00675274">
        <w:t xml:space="preserve"> influential was its use of an electric telegraph, as signalling between stops was a necessity for traffic control.</w:t>
      </w:r>
      <w:r w:rsidR="009249FF">
        <w:t xml:space="preserve"> This telegraph </w:t>
      </w:r>
      <w:r w:rsidR="00E259BD">
        <w:t>did</w:t>
      </w:r>
      <w:r w:rsidR="009249FF">
        <w:t xml:space="preserve"> not</w:t>
      </w:r>
      <w:r w:rsidR="00E259BD">
        <w:t xml:space="preserve"> consist of</w:t>
      </w:r>
      <w:r w:rsidR="009249FF">
        <w:t xml:space="preserve"> the iconic</w:t>
      </w:r>
      <w:r w:rsidR="00FA317B">
        <w:t xml:space="preserve"> Gauss code </w:t>
      </w:r>
      <w:r w:rsidR="00E259BD">
        <w:t>machines</w:t>
      </w:r>
      <w:r w:rsidR="00EB42D1">
        <w:t xml:space="preserve"> </w:t>
      </w:r>
      <w:r w:rsidR="00A52CB7">
        <w:t>remembered</w:t>
      </w:r>
      <w:r w:rsidR="00EB42D1">
        <w:t xml:space="preserve"> today, but rather </w:t>
      </w:r>
      <w:r w:rsidR="00D246D2">
        <w:t>it</w:t>
      </w:r>
      <w:r w:rsidR="00EB42D1">
        <w:t xml:space="preserve"> used electromagnetism to adjust </w:t>
      </w:r>
      <w:r w:rsidR="00063FF7">
        <w:t>a series of needles to create images which would correspond to semaphore tower arrangements</w:t>
      </w:r>
      <w:r w:rsidR="00FC5AE0">
        <w:t xml:space="preserve">, to </w:t>
      </w:r>
      <w:r w:rsidR="00C27E33">
        <w:t>ease the technological</w:t>
      </w:r>
      <w:r w:rsidR="009E1865">
        <w:t xml:space="preserve"> shift</w:t>
      </w:r>
      <w:r w:rsidR="00063FF7">
        <w:t xml:space="preserve">. </w:t>
      </w:r>
      <w:r w:rsidR="00167D75">
        <w:t xml:space="preserve">This limited use attracted some attention – in particular, </w:t>
      </w:r>
      <w:r w:rsidR="00D21D57">
        <w:t>Joseph Henry looked at this application of his own</w:t>
      </w:r>
      <w:r w:rsidR="00D00F2D">
        <w:t xml:space="preserve"> discovery of electromagnetic induction</w:t>
      </w:r>
      <w:r w:rsidR="00EB3C28">
        <w:t xml:space="preserve"> and he began to think – but these early electric telegraphs were clearly insufficient and far less practical than the semaphor</w:t>
      </w:r>
      <w:r w:rsidR="00A07A2A">
        <w:t>ic telegraph</w:t>
      </w:r>
      <w:r w:rsidR="00EB3C28">
        <w:t xml:space="preserve"> in transmitting across large distances. </w:t>
      </w:r>
    </w:p>
    <w:p w14:paraId="6C755834" w14:textId="0BE27777" w:rsidR="00BB4F78" w:rsidRDefault="00BB4F78" w:rsidP="005B655C">
      <w:r>
        <w:t xml:space="preserve">Another </w:t>
      </w:r>
      <w:r w:rsidR="00F30FFE">
        <w:t xml:space="preserve">early railroad project was the </w:t>
      </w:r>
      <w:r w:rsidR="00754EA7">
        <w:t xml:space="preserve">Louisville, Cincinnati, and Charleston Railroad. Begun as a project soon after the end of the Luisiana War, it represented Charleston and its attempt to regain </w:t>
      </w:r>
      <w:r w:rsidR="001C2F70">
        <w:t xml:space="preserve">its </w:t>
      </w:r>
      <w:r w:rsidR="00754EA7">
        <w:t>prosperity; even before the Sack, it had fallen behind thanks to lacking a water connection to the West, and this was a bold attempt to rebuild bigger and better than before</w:t>
      </w:r>
      <w:r w:rsidR="00A91437">
        <w:t xml:space="preserve">. This was a project spearheaded by Calhoun’s lieutenant Robert Y. Hayne, and </w:t>
      </w:r>
      <w:r w:rsidR="001C2F70">
        <w:t>Harrison and Clay being eager to tie South Carolina to the rest</w:t>
      </w:r>
      <w:r w:rsidR="00266A86">
        <w:t xml:space="preserve"> of the Union</w:t>
      </w:r>
      <w:r w:rsidR="008F332A">
        <w:t xml:space="preserve"> amid the Nullification Crisis</w:t>
      </w:r>
      <w:r w:rsidR="00266A86">
        <w:t>, th</w:t>
      </w:r>
      <w:r w:rsidR="004C0DFF">
        <w:t xml:space="preserve">ey got Kentucky and North Carolina to agree, although both required several branches to </w:t>
      </w:r>
      <w:proofErr w:type="gramStart"/>
      <w:r w:rsidR="00D572BC">
        <w:t>choice</w:t>
      </w:r>
      <w:proofErr w:type="gramEnd"/>
      <w:r w:rsidR="00D572BC">
        <w:t xml:space="preserve"> </w:t>
      </w:r>
      <w:r w:rsidR="004C0DFF">
        <w:t xml:space="preserve">cities of their own; it is from there it got </w:t>
      </w:r>
      <w:r w:rsidR="00EC59B1">
        <w:t xml:space="preserve">the Louisville part. </w:t>
      </w:r>
      <w:r w:rsidR="003D7278">
        <w:t>With federal revenue</w:t>
      </w:r>
      <w:r w:rsidR="00AD7841">
        <w:t xml:space="preserve"> being pumped into the railroad company, and</w:t>
      </w:r>
      <w:r w:rsidR="009A238B">
        <w:t xml:space="preserve"> with</w:t>
      </w:r>
      <w:r w:rsidR="00AD7841">
        <w:t xml:space="preserve"> its ample bonds trading on the </w:t>
      </w:r>
      <w:r w:rsidR="0062616C">
        <w:t xml:space="preserve">various </w:t>
      </w:r>
      <w:r w:rsidR="00EC7597">
        <w:t xml:space="preserve">broker </w:t>
      </w:r>
      <w:r w:rsidR="00AD7841">
        <w:t xml:space="preserve">boards, the </w:t>
      </w:r>
      <w:r w:rsidR="00A10EE4">
        <w:t xml:space="preserve">company made good progress. </w:t>
      </w:r>
      <w:r w:rsidR="00AD71B2">
        <w:t xml:space="preserve">Completed </w:t>
      </w:r>
      <w:r w:rsidR="001F2D56">
        <w:t>from South Carolina’s capital of Columbia to Cincinnati</w:t>
      </w:r>
      <w:r w:rsidR="00B23544">
        <w:t>, and a line from Charleston to Branchville</w:t>
      </w:r>
      <w:r w:rsidR="001F2D56">
        <w:t xml:space="preserve"> by 1837, </w:t>
      </w:r>
      <w:r w:rsidR="00B23544">
        <w:t>these two sections were</w:t>
      </w:r>
      <w:r w:rsidR="001F2D56">
        <w:t xml:space="preserve"> </w:t>
      </w:r>
      <w:r w:rsidR="00B23544">
        <w:t>then completed from Columbia to Charleston by</w:t>
      </w:r>
      <w:r w:rsidR="002E07CC">
        <w:t xml:space="preserve"> 1841. This proved a great success, and Charleston boomed as a port to the West. </w:t>
      </w:r>
      <w:r w:rsidR="00D373BB">
        <w:lastRenderedPageBreak/>
        <w:t xml:space="preserve">Even before this project ended, several states began working on railroad </w:t>
      </w:r>
      <w:proofErr w:type="gramStart"/>
      <w:r w:rsidR="00D373BB">
        <w:t>projects</w:t>
      </w:r>
      <w:r w:rsidR="0001188A">
        <w:t>;</w:t>
      </w:r>
      <w:proofErr w:type="gramEnd"/>
      <w:r w:rsidR="0001188A">
        <w:t xml:space="preserve"> as part of its Mammoth Internal Improvements Act, Indiana </w:t>
      </w:r>
      <w:r w:rsidR="00173486">
        <w:t xml:space="preserve">additionally allotted money for this purpose. </w:t>
      </w:r>
      <w:r w:rsidR="00FE3B50">
        <w:t>But 1842 put an end to</w:t>
      </w:r>
      <w:r w:rsidR="0000491C">
        <w:t xml:space="preserve"> all investment in internal improvements. Still, the great railroad from Cincinnati to Charleston was a formative moment in American history, and it showed the future. </w:t>
      </w:r>
    </w:p>
    <w:p w14:paraId="6C52049B" w14:textId="364127F1" w:rsidR="00A928C7" w:rsidRDefault="00A928C7" w:rsidP="005B655C">
      <w:r>
        <w:t xml:space="preserve">Come the election of Daniel Webster, the states slowly came out of their debt defaults, which made money available for internal improvements. Additionally came the renewal of the National Bank and the doubling of its capitalization, and </w:t>
      </w:r>
      <w:r w:rsidR="004E0C91">
        <w:t xml:space="preserve">the Bank now had to invest this money – or else risk the collapse of its stock. </w:t>
      </w:r>
      <w:r w:rsidR="00C47E5E">
        <w:t>This money would be used in several ways</w:t>
      </w:r>
      <w:r w:rsidR="00E24D2E">
        <w:t xml:space="preserve">, but the most relevant one here is </w:t>
      </w:r>
      <w:r w:rsidR="00BE5FC6">
        <w:t>in transport companies</w:t>
      </w:r>
      <w:r w:rsidR="003D7BD5">
        <w:t xml:space="preserve">, and it generally preferred to do this in the form of </w:t>
      </w:r>
      <w:r w:rsidR="00945FAA">
        <w:t>owning stock</w:t>
      </w:r>
      <w:r w:rsidR="00BE5FC6">
        <w:t xml:space="preserve">. Though it still invested in several canal companies, it did begin to invest in rail. </w:t>
      </w:r>
      <w:r w:rsidR="003D7BD5">
        <w:t xml:space="preserve">The bulk of these railroads were in the </w:t>
      </w:r>
      <w:proofErr w:type="gramStart"/>
      <w:r w:rsidR="003D7BD5">
        <w:t>East,</w:t>
      </w:r>
      <w:proofErr w:type="gramEnd"/>
      <w:r w:rsidR="003D7BD5">
        <w:t xml:space="preserve"> this being considered a more stable </w:t>
      </w:r>
      <w:r w:rsidR="005F307B">
        <w:t>region to invest within</w:t>
      </w:r>
      <w:r w:rsidR="003D7BD5">
        <w:t xml:space="preserve"> in this era; </w:t>
      </w:r>
      <w:r w:rsidR="00D824E0">
        <w:t>it did not take long for there to be an arc of rail from Portland to Charleston. The Bank being a singular and quasi-public institution</w:t>
      </w:r>
      <w:r w:rsidR="001007D0">
        <w:t>, this also allowed for an early standardization</w:t>
      </w:r>
      <w:r w:rsidR="007A6596">
        <w:t xml:space="preserve"> of the railroad system</w:t>
      </w:r>
      <w:r w:rsidR="001007D0">
        <w:t xml:space="preserve">. </w:t>
      </w:r>
      <w:r w:rsidR="00601666">
        <w:t>C</w:t>
      </w:r>
      <w:r w:rsidR="001007D0">
        <w:t xml:space="preserve">ountries like the British Isles which saw private buildup of rail, </w:t>
      </w:r>
      <w:r w:rsidR="00601666">
        <w:t xml:space="preserve">saw conflicting gauges and other matters between different rail companies which required several decades to make common, and until then this severely hampered the rise of </w:t>
      </w:r>
      <w:r w:rsidR="00BC6592">
        <w:t>a single integrated railroad system. In the meantime,</w:t>
      </w:r>
      <w:r w:rsidR="00601666">
        <w:t xml:space="preserve"> the United States saw almost immediately common standards, as </w:t>
      </w:r>
      <w:r w:rsidR="00A12C1C">
        <w:t>with its shares in the various railroad companies</w:t>
      </w:r>
      <w:r w:rsidR="006D52B2">
        <w:t>, and with its representatives in the various company boards,</w:t>
      </w:r>
      <w:r w:rsidR="00A12C1C">
        <w:t xml:space="preserve"> the Bank was able to </w:t>
      </w:r>
      <w:r w:rsidR="009F549A">
        <w:t xml:space="preserve">secure </w:t>
      </w:r>
      <w:r w:rsidR="006D52B2">
        <w:t>their recognition</w:t>
      </w:r>
      <w:r w:rsidR="00601666">
        <w:t>. A gauge of five and a half feet was immediately imposed on the various projects it supported</w:t>
      </w:r>
      <w:r w:rsidR="00BC6592">
        <w:t xml:space="preserve">, and this allowed for the establishment of common stations and systems for interchange. It became possible to ride a railroad from Portland to Charleston. </w:t>
      </w:r>
      <w:r w:rsidR="00C40FFC">
        <w:t>And even non-Bank projects followed these standards, because they had become common</w:t>
      </w:r>
      <w:r w:rsidR="003A332C">
        <w:rPr>
          <w:rStyle w:val="EndnoteReference"/>
        </w:rPr>
        <w:endnoteReference w:id="182"/>
      </w:r>
      <w:r w:rsidR="00C40FFC">
        <w:t xml:space="preserve">. </w:t>
      </w:r>
    </w:p>
    <w:p w14:paraId="7C9093AF" w14:textId="5BD24F45" w:rsidR="00A76445" w:rsidRDefault="00A67B7A" w:rsidP="005B655C">
      <w:r>
        <w:lastRenderedPageBreak/>
        <w:t xml:space="preserve">From this arc slowly emerged a network connecting from it. </w:t>
      </w:r>
      <w:r w:rsidR="0070595A">
        <w:t xml:space="preserve">It is here that the hub-and-spoke nature of American rail emerged. For it was most common for the Bank </w:t>
      </w:r>
      <w:r w:rsidR="00281B26">
        <w:t xml:space="preserve">to invest in a railroad project if it was adjacent to </w:t>
      </w:r>
      <w:r w:rsidR="00EB6B09">
        <w:t>an existing or planned stop, and in contrast to the extreme centralism of the French system, American federalism meant that it couldn’t entirely be centralized in Washington</w:t>
      </w:r>
      <w:r w:rsidR="00DA7857">
        <w:t xml:space="preserve">; instead, in the East, the existing large cities became </w:t>
      </w:r>
      <w:r w:rsidR="007F39EC">
        <w:t>rail centers and therefore saw their positions fortified</w:t>
      </w:r>
      <w:r w:rsidR="00EB6B09">
        <w:t xml:space="preserve">. </w:t>
      </w:r>
      <w:r w:rsidR="00DA7857">
        <w:t>But what did emerge was a b</w:t>
      </w:r>
      <w:r w:rsidR="007F39EC">
        <w:t xml:space="preserve">idding war along the way; every small settlement wanted to divert the railroad to their way. They wanted a terminus, and they wanted to be able to attract and sell goods to people moving all along the way. </w:t>
      </w:r>
      <w:r w:rsidR="000557E5">
        <w:t xml:space="preserve">Thus, towns paid bribes to surveyors, if that didn’t </w:t>
      </w:r>
      <w:proofErr w:type="gramStart"/>
      <w:r w:rsidR="000557E5">
        <w:t>work</w:t>
      </w:r>
      <w:proofErr w:type="gramEnd"/>
      <w:r w:rsidR="000557E5">
        <w:t xml:space="preserve"> they’d pay bribes to the railroad company, and if that didn't </w:t>
      </w:r>
      <w:proofErr w:type="gramStart"/>
      <w:r w:rsidR="000557E5">
        <w:t>work</w:t>
      </w:r>
      <w:proofErr w:type="gramEnd"/>
      <w:r w:rsidR="000557E5">
        <w:t xml:space="preserve"> they’d pay bribes to the National Bank. Corruption thus became a quite common affair, and that unlike the canal the railroad </w:t>
      </w:r>
      <w:r w:rsidR="00D613BF">
        <w:t>was not as restricted in where it could be built, and that it wasn’t dependent on nearby water</w:t>
      </w:r>
      <w:r w:rsidR="000557E5">
        <w:t>, meant that the bidding war was a</w:t>
      </w:r>
      <w:r w:rsidR="00C42BFD">
        <w:t xml:space="preserve"> new phenomenon</w:t>
      </w:r>
      <w:r w:rsidR="00F23338">
        <w:t xml:space="preserve">. </w:t>
      </w:r>
      <w:r w:rsidR="00B10534">
        <w:t xml:space="preserve">And as the railroads spread westwards, and as western states began to get to work on building rail on their own benefit, it led to </w:t>
      </w:r>
      <w:r w:rsidR="00506A96">
        <w:t xml:space="preserve">an even more intense bidding </w:t>
      </w:r>
      <w:r w:rsidR="00933696">
        <w:t>war,</w:t>
      </w:r>
      <w:r w:rsidR="00506A96">
        <w:t xml:space="preserve"> and it promoted corruption in the halls of politics.</w:t>
      </w:r>
      <w:r w:rsidR="000D214C">
        <w:t xml:space="preserve"> And at the same time, railroad </w:t>
      </w:r>
      <w:r w:rsidR="00741A62">
        <w:t xml:space="preserve">freight </w:t>
      </w:r>
      <w:r w:rsidR="000D214C">
        <w:t xml:space="preserve">rates, both things much easier to control than equivalents for canals, were </w:t>
      </w:r>
      <w:r w:rsidR="00741A62">
        <w:t>other arenas for corruption, as it became too easy for railroad conductors to rig them for either their benefit, or the benefits of their friends – and functionally</w:t>
      </w:r>
      <w:r w:rsidR="001B629E">
        <w:t>, rates became a new measure of distance</w:t>
      </w:r>
      <w:r w:rsidR="00923293">
        <w:rPr>
          <w:rStyle w:val="EndnoteReference"/>
        </w:rPr>
        <w:endnoteReference w:id="183"/>
      </w:r>
      <w:r w:rsidR="001B629E">
        <w:t>.</w:t>
      </w:r>
      <w:r w:rsidR="00506A96">
        <w:t xml:space="preserve"> </w:t>
      </w:r>
      <w:r w:rsidR="00A76445">
        <w:t>For the time being</w:t>
      </w:r>
      <w:r w:rsidR="00C42BFD">
        <w:t xml:space="preserve"> though</w:t>
      </w:r>
      <w:r w:rsidR="00A76445">
        <w:t xml:space="preserve">, </w:t>
      </w:r>
      <w:r w:rsidR="002C0B7A">
        <w:t>construction of the</w:t>
      </w:r>
      <w:r w:rsidR="00A76445">
        <w:t xml:space="preserve"> railroad </w:t>
      </w:r>
      <w:r w:rsidR="00C42BFD">
        <w:t>was steady but slow</w:t>
      </w:r>
      <w:r w:rsidR="00A76445">
        <w:t>. This was because the existing canals were, at this point, quicker in transporting goods and people</w:t>
      </w:r>
      <w:r w:rsidR="005C2A75">
        <w:t xml:space="preserve">, and the degree of buildup during Canal Mania meant </w:t>
      </w:r>
      <w:r w:rsidR="00E46E47">
        <w:t>this wasn’t just some theoretical thing either</w:t>
      </w:r>
      <w:r w:rsidR="00A76445">
        <w:t xml:space="preserve">. </w:t>
      </w:r>
      <w:r w:rsidR="00E02324">
        <w:t xml:space="preserve">But the groundwork had been laid for a railroad boom, and all could see it. </w:t>
      </w:r>
    </w:p>
    <w:p w14:paraId="66A7D5C2" w14:textId="549FD399" w:rsidR="00B15E47" w:rsidRDefault="00B15E47" w:rsidP="005B655C">
      <w:r>
        <w:t xml:space="preserve">More immediate was the rise of the electric telegraph. </w:t>
      </w:r>
      <w:r w:rsidR="00D10B44">
        <w:t xml:space="preserve">Though </w:t>
      </w:r>
      <w:r w:rsidR="00E14144">
        <w:t xml:space="preserve">such schemes were hardly new – the British inventor Francis Ronalds had presented </w:t>
      </w:r>
      <w:r w:rsidR="00F74086">
        <w:t xml:space="preserve">an electric telegraph to the British </w:t>
      </w:r>
      <w:r w:rsidR="00F74086">
        <w:lastRenderedPageBreak/>
        <w:t xml:space="preserve">government in 1816 before having it rejected – Joseph Henry’s discovery of electromagnetic induction, which allowed for a steady stream of </w:t>
      </w:r>
      <w:r w:rsidR="008374E8">
        <w:t>electricity, made it much more viable</w:t>
      </w:r>
      <w:r w:rsidR="001902F4">
        <w:t xml:space="preserve">; additionally, </w:t>
      </w:r>
      <w:r w:rsidR="00F86D58">
        <w:t xml:space="preserve">as people began experimenting, the overly-complicated telegraph schemes of old, which often featured a wire per letter, slowly simplified as </w:t>
      </w:r>
      <w:r w:rsidR="006556AD">
        <w:t>inventors</w:t>
      </w:r>
      <w:r w:rsidR="00F86D58">
        <w:t xml:space="preserve"> worked on it</w:t>
      </w:r>
      <w:r w:rsidR="00A57023">
        <w:t>,</w:t>
      </w:r>
      <w:r w:rsidR="00682DE6">
        <w:t xml:space="preserve"> </w:t>
      </w:r>
      <w:r w:rsidR="00A57023">
        <w:t>which only served to make it more viable</w:t>
      </w:r>
      <w:r w:rsidR="008374E8">
        <w:t xml:space="preserve">. Over the 1830s, the electric telegraph was tightly associated with the emerging railroad; the need for quick communications between the stations, to signal about </w:t>
      </w:r>
      <w:r w:rsidR="005C038E">
        <w:t xml:space="preserve">issues, meant something quicker than </w:t>
      </w:r>
      <w:r w:rsidR="00C92BE5">
        <w:t xml:space="preserve">the </w:t>
      </w:r>
      <w:r w:rsidR="0083157A">
        <w:t>semaphoric</w:t>
      </w:r>
      <w:r w:rsidR="00C92BE5">
        <w:t xml:space="preserve"> telegraph</w:t>
      </w:r>
      <w:r w:rsidR="005C038E">
        <w:t xml:space="preserve"> was necessary. Here came the electric telegraph. Thus, over the 1830s emerged in the United States a series of </w:t>
      </w:r>
      <w:r w:rsidR="00DE25CB">
        <w:t>electric telegraph lines</w:t>
      </w:r>
      <w:r w:rsidR="007D7215">
        <w:t>. These were</w:t>
      </w:r>
      <w:r w:rsidR="00243E09">
        <w:t xml:space="preserve"> of very short range – early electric telegraphs needed </w:t>
      </w:r>
      <w:r w:rsidR="00C35B8D">
        <w:t>human</w:t>
      </w:r>
      <w:r w:rsidR="002C024B">
        <w:t xml:space="preserve"> beings to examine weak signals in short stops, and then they needed</w:t>
      </w:r>
      <w:r w:rsidR="00C35B8D">
        <w:t xml:space="preserve"> to replicate</w:t>
      </w:r>
      <w:r w:rsidR="001E074C">
        <w:t xml:space="preserve"> what they looked like – and they were needle telegraphs, which used electromagnetism to move needles into arrangement which corresponded to semaphore arm arrangements. </w:t>
      </w:r>
      <w:r w:rsidR="00C96B76">
        <w:t>They used not the dots and dashes of Gauss code, but rather the shapes of Chappe code</w:t>
      </w:r>
      <w:r w:rsidR="003F5EEA">
        <w:rPr>
          <w:rStyle w:val="EndnoteReference"/>
        </w:rPr>
        <w:endnoteReference w:id="184"/>
      </w:r>
      <w:r w:rsidR="00C96B76">
        <w:t xml:space="preserve">. </w:t>
      </w:r>
      <w:r w:rsidR="008B6B18">
        <w:t>It was a primitive system</w:t>
      </w:r>
      <w:r w:rsidR="002800E3">
        <w:t>, clearly not scalable</w:t>
      </w:r>
      <w:r w:rsidR="008B6B18">
        <w:t xml:space="preserve">, which competed with alternative solutions such as the </w:t>
      </w:r>
      <w:r w:rsidR="00DE363A">
        <w:t xml:space="preserve">pneumatic telegraph. </w:t>
      </w:r>
    </w:p>
    <w:p w14:paraId="18561BE5" w14:textId="0E013408" w:rsidR="00952CDF" w:rsidRDefault="00952CDF" w:rsidP="005B655C">
      <w:r>
        <w:t>Despite talk of supplanting the semaphor</w:t>
      </w:r>
      <w:r w:rsidR="00257198">
        <w:t>ic</w:t>
      </w:r>
      <w:r>
        <w:t xml:space="preserve"> system with </w:t>
      </w:r>
      <w:r w:rsidR="006C3750">
        <w:t>electric telegraphy, for the time being it was unviable</w:t>
      </w:r>
      <w:r w:rsidR="00196195">
        <w:t>. Indeed, to many observers, electric telegraphy seemed like less a</w:t>
      </w:r>
      <w:r w:rsidR="00121580">
        <w:t xml:space="preserve"> new, modern mode of messaging and more in line with mesmerism, perpetual motion machines, and other fraudulent schemes associated with </w:t>
      </w:r>
      <w:r w:rsidR="00510D0D">
        <w:t>the rise of</w:t>
      </w:r>
      <w:r w:rsidR="00121580">
        <w:t xml:space="preserve"> electricity</w:t>
      </w:r>
      <w:r w:rsidR="00C34428">
        <w:t xml:space="preserve">. And to many who saw its potential, they could not see how </w:t>
      </w:r>
      <w:r w:rsidR="005E50F4">
        <w:t>it</w:t>
      </w:r>
      <w:r w:rsidR="003E1917">
        <w:t xml:space="preserve"> could be </w:t>
      </w:r>
      <w:r w:rsidR="00BD4D62">
        <w:t>turned into a national network</w:t>
      </w:r>
      <w:r w:rsidR="006C3750">
        <w:t xml:space="preserve">. </w:t>
      </w:r>
      <w:r w:rsidR="00E85D0E">
        <w:t>What began to change this was the great Joseph Henry. Having</w:t>
      </w:r>
      <w:r w:rsidR="000C2566">
        <w:t xml:space="preserve"> been selected as President of the Smithsonian</w:t>
      </w:r>
      <w:r w:rsidR="000C7A36">
        <w:t xml:space="preserve"> Institution</w:t>
      </w:r>
      <w:r w:rsidR="000C2566">
        <w:t>, he</w:t>
      </w:r>
      <w:r w:rsidR="00E85D0E">
        <w:t xml:space="preserve"> </w:t>
      </w:r>
      <w:r w:rsidR="002F0B64">
        <w:t>became</w:t>
      </w:r>
      <w:r w:rsidR="00E85D0E">
        <w:t xml:space="preserve"> the leader of American science</w:t>
      </w:r>
      <w:r w:rsidR="000C2566">
        <w:t>; here, he</w:t>
      </w:r>
      <w:r w:rsidR="002F0B64">
        <w:t xml:space="preserve"> had a team to help him continue to push forward </w:t>
      </w:r>
      <w:r w:rsidR="00C40CF2">
        <w:t>his work on electricity</w:t>
      </w:r>
      <w:r w:rsidR="002F0B64">
        <w:t xml:space="preserve">. </w:t>
      </w:r>
      <w:r w:rsidR="00EC1C39">
        <w:t xml:space="preserve">Working on making electric telegraphy more viable, </w:t>
      </w:r>
      <w:r w:rsidR="00F07FCB">
        <w:t>in 1841 he invented the electromagnetic relay. This is a switch which, when receiving a weak signal, would</w:t>
      </w:r>
      <w:r w:rsidR="00A66A7A">
        <w:t xml:space="preserve"> automatically</w:t>
      </w:r>
      <w:r w:rsidR="00F07FCB">
        <w:t xml:space="preserve"> repeat </w:t>
      </w:r>
      <w:r w:rsidR="00497F50">
        <w:t>and therefore intensify it</w:t>
      </w:r>
      <w:r w:rsidR="00037DD9">
        <w:t xml:space="preserve"> forwards</w:t>
      </w:r>
      <w:r w:rsidR="00A20F60">
        <w:t xml:space="preserve">; this allowed for telegraph messages to be transmitted </w:t>
      </w:r>
      <w:r w:rsidR="00A20F60">
        <w:lastRenderedPageBreak/>
        <w:t>along far longer</w:t>
      </w:r>
      <w:r w:rsidR="00663458">
        <w:t xml:space="preserve"> distances</w:t>
      </w:r>
      <w:r w:rsidR="00F07FCB">
        <w:t xml:space="preserve">. </w:t>
      </w:r>
      <w:r w:rsidR="00633A3F">
        <w:t xml:space="preserve">With this, Henry built a proof-of-concept electric telegraph line </w:t>
      </w:r>
      <w:r w:rsidR="00F868AB">
        <w:t>within Washington’s city limits</w:t>
      </w:r>
      <w:r w:rsidR="00633A3F">
        <w:t xml:space="preserve">; while not a seismic distance, it revealed that </w:t>
      </w:r>
      <w:r w:rsidR="000C4765">
        <w:t xml:space="preserve">the nation very well could be connected by the electric telegraph, something necessarily with a much higher capacity than </w:t>
      </w:r>
      <w:r w:rsidR="00FA1715">
        <w:t xml:space="preserve">the </w:t>
      </w:r>
      <w:r w:rsidR="00907C73">
        <w:t>semaphoric</w:t>
      </w:r>
      <w:r w:rsidR="00056E8E">
        <w:t xml:space="preserve"> telegraph</w:t>
      </w:r>
      <w:r w:rsidR="00B17BE7">
        <w:t xml:space="preserve">. In a display of republican patriotism, and as he </w:t>
      </w:r>
      <w:r w:rsidR="00237785">
        <w:t>worked on it at a public institution, Henry formally donated this to the nation</w:t>
      </w:r>
      <w:r w:rsidR="00197321">
        <w:rPr>
          <w:rStyle w:val="EndnoteReference"/>
        </w:rPr>
        <w:endnoteReference w:id="185"/>
      </w:r>
      <w:r w:rsidR="00B5468A">
        <w:t>. Little wonder, then that, for its initial history, the electric telegraph was often known as the Henry-telegraph, or even the Henry-graph</w:t>
      </w:r>
      <w:r w:rsidR="00FA1715">
        <w:t xml:space="preserve">. Come the election of Daniel Webster, </w:t>
      </w:r>
      <w:r w:rsidR="00600818">
        <w:t xml:space="preserve">the nation now had the money </w:t>
      </w:r>
      <w:r w:rsidR="0087322E">
        <w:t xml:space="preserve">to </w:t>
      </w:r>
      <w:r w:rsidR="00A646D3">
        <w:t>fund new federal projects</w:t>
      </w:r>
      <w:r w:rsidR="0087322E">
        <w:t>, and</w:t>
      </w:r>
      <w:r w:rsidR="00A646D3">
        <w:t xml:space="preserve"> with his position, Henry could now advocate</w:t>
      </w:r>
      <w:r w:rsidR="006B60DB">
        <w:t xml:space="preserve"> </w:t>
      </w:r>
      <w:r w:rsidR="00303AD2">
        <w:t>for some money to be sent his way.</w:t>
      </w:r>
      <w:r w:rsidR="006B60DB">
        <w:t xml:space="preserve"> </w:t>
      </w:r>
      <w:r w:rsidR="00303AD2">
        <w:t>To this end, in 1847, he</w:t>
      </w:r>
      <w:r w:rsidR="006B60DB">
        <w:t xml:space="preserve"> constructed a successful Baltimore-Washington</w:t>
      </w:r>
      <w:r w:rsidR="004845F5">
        <w:t xml:space="preserve"> electric</w:t>
      </w:r>
      <w:r w:rsidR="006B60DB">
        <w:t xml:space="preserve"> telegraph lin</w:t>
      </w:r>
      <w:r w:rsidR="00913A61">
        <w:t>e which beat the existing</w:t>
      </w:r>
      <w:r w:rsidR="00397067">
        <w:t xml:space="preserve"> semaphoric line</w:t>
      </w:r>
      <w:r w:rsidR="006B60DB">
        <w:t>,</w:t>
      </w:r>
      <w:r w:rsidR="0026755B">
        <w:t xml:space="preserve"> and this clearly demonstrated that</w:t>
      </w:r>
      <w:r w:rsidR="0087322E">
        <w:t xml:space="preserve"> the Post Office </w:t>
      </w:r>
      <w:r w:rsidR="0026755B">
        <w:t>could</w:t>
      </w:r>
      <w:r w:rsidR="0087322E">
        <w:t xml:space="preserve"> revamp the American communications system. </w:t>
      </w:r>
      <w:r w:rsidR="009B2586">
        <w:t>S</w:t>
      </w:r>
      <w:r w:rsidR="00C933C1">
        <w:t>emaphore towers</w:t>
      </w:r>
      <w:r w:rsidR="009B2586">
        <w:t xml:space="preserve"> saw their arms come down and replaced by metal pylons over which wires could be attached</w:t>
      </w:r>
      <w:r w:rsidR="003B0FB7">
        <w:t xml:space="preserve">, and the offices </w:t>
      </w:r>
      <w:r w:rsidR="00A027C9">
        <w:t>within them</w:t>
      </w:r>
      <w:r w:rsidR="00F25309">
        <w:t xml:space="preserve"> now hosted </w:t>
      </w:r>
      <w:r w:rsidR="00EC7CCE">
        <w:t xml:space="preserve">not the </w:t>
      </w:r>
      <w:r w:rsidR="00A027C9">
        <w:t xml:space="preserve">complicated </w:t>
      </w:r>
      <w:r w:rsidR="00EC7CCE">
        <w:t>pulley arrangement to control a tower, but instead</w:t>
      </w:r>
      <w:r w:rsidR="008160CD">
        <w:t xml:space="preserve"> </w:t>
      </w:r>
      <w:r w:rsidR="00A027C9">
        <w:t xml:space="preserve">simpler </w:t>
      </w:r>
      <w:r w:rsidR="008160CD">
        <w:t xml:space="preserve">desks to </w:t>
      </w:r>
      <w:r w:rsidR="00A027C9">
        <w:t>transmit and receive</w:t>
      </w:r>
      <w:r w:rsidR="005A7C09">
        <w:t xml:space="preserve"> messages</w:t>
      </w:r>
      <w:r w:rsidR="008160CD">
        <w:t xml:space="preserve">. </w:t>
      </w:r>
      <w:r w:rsidR="00CA39A5">
        <w:t xml:space="preserve">This being when submarine cables were </w:t>
      </w:r>
      <w:r w:rsidR="00FD60B6">
        <w:t>entirely infeasible</w:t>
      </w:r>
      <w:r w:rsidR="008B13D1">
        <w:t xml:space="preserve">, wires needed to be laid across </w:t>
      </w:r>
      <w:r w:rsidR="001452F1">
        <w:t xml:space="preserve">river </w:t>
      </w:r>
      <w:r w:rsidR="008B13D1">
        <w:t>bridges</w:t>
      </w:r>
      <w:r w:rsidR="003925D3">
        <w:t xml:space="preserve">. </w:t>
      </w:r>
      <w:r w:rsidR="00F868AB">
        <w:t>But in the end,</w:t>
      </w:r>
      <w:r w:rsidR="00654AC6">
        <w:t xml:space="preserve"> the</w:t>
      </w:r>
      <w:r w:rsidR="00F868AB">
        <w:t xml:space="preserve"> Webster</w:t>
      </w:r>
      <w:r w:rsidR="00F61613">
        <w:t xml:space="preserve"> administration</w:t>
      </w:r>
      <w:r w:rsidR="00F868AB">
        <w:t xml:space="preserve"> did successfully replace the semaphore</w:t>
      </w:r>
      <w:r w:rsidR="00365462">
        <w:t xml:space="preserve"> tower</w:t>
      </w:r>
      <w:r w:rsidR="00F868AB">
        <w:t xml:space="preserve"> with </w:t>
      </w:r>
      <w:r w:rsidR="00BE7C33">
        <w:t xml:space="preserve">the </w:t>
      </w:r>
      <w:r w:rsidR="00F868AB">
        <w:t>electric telegraph</w:t>
      </w:r>
      <w:r w:rsidR="00D156BF">
        <w:t>, at least between major cities and defensive positions where quick communication was crucial</w:t>
      </w:r>
      <w:r w:rsidR="00F868AB">
        <w:t>, and this only expanded the communication revolution</w:t>
      </w:r>
      <w:r w:rsidR="008E32D3">
        <w:t xml:space="preserve">; </w:t>
      </w:r>
      <w:r w:rsidR="00D62728">
        <w:t xml:space="preserve">by 1860, </w:t>
      </w:r>
      <w:r w:rsidR="002B6F37">
        <w:t>the only extant use of the semaphore was to signal ships approaching harbor</w:t>
      </w:r>
      <w:r w:rsidR="00114B1C">
        <w:t>s</w:t>
      </w:r>
      <w:r w:rsidR="00F868AB">
        <w:t xml:space="preserve">. </w:t>
      </w:r>
    </w:p>
    <w:p w14:paraId="4B6A41A7" w14:textId="59937A47" w:rsidR="00567D66" w:rsidRDefault="00567D66">
      <w:pPr>
        <w:spacing w:before="0" w:line="259" w:lineRule="auto"/>
        <w:ind w:firstLine="0"/>
      </w:pPr>
      <w:r>
        <w:br w:type="page"/>
      </w:r>
    </w:p>
    <w:p w14:paraId="709D706A" w14:textId="4C520BE8" w:rsidR="00567D66" w:rsidRDefault="00567D66" w:rsidP="00567D66">
      <w:pPr>
        <w:pStyle w:val="Caption"/>
      </w:pPr>
      <w:bookmarkStart w:id="46" w:name="_Toc202006268"/>
      <w:r>
        <w:lastRenderedPageBreak/>
        <w:t xml:space="preserve">Figure </w:t>
      </w:r>
      <w:fldSimple w:instr=" SEQ Figure \* ARABIC ">
        <w:r>
          <w:rPr>
            <w:noProof/>
          </w:rPr>
          <w:t>12</w:t>
        </w:r>
      </w:fldSimple>
      <w:r>
        <w:t>: Telegraph wire length, 1847-1868</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236"/>
      </w:tblGrid>
      <w:tr w:rsidR="00567D66" w:rsidRPr="007279AA" w14:paraId="2FD7B519" w14:textId="77777777" w:rsidTr="00567D66">
        <w:tc>
          <w:tcPr>
            <w:tcW w:w="3116" w:type="dxa"/>
            <w:tcBorders>
              <w:bottom w:val="single" w:sz="4" w:space="0" w:color="auto"/>
              <w:right w:val="single" w:sz="4" w:space="0" w:color="auto"/>
            </w:tcBorders>
          </w:tcPr>
          <w:p w14:paraId="2CAD6528" w14:textId="77777777" w:rsidR="00567D66" w:rsidRPr="007279AA" w:rsidRDefault="00567D66" w:rsidP="00315DFE">
            <w:pPr>
              <w:pStyle w:val="NoSpacing"/>
              <w:rPr>
                <w:b/>
                <w:bCs/>
              </w:rPr>
            </w:pPr>
            <w:r w:rsidRPr="007279AA">
              <w:rPr>
                <w:b/>
                <w:bCs/>
              </w:rPr>
              <w:t>Year</w:t>
            </w:r>
          </w:p>
        </w:tc>
        <w:tc>
          <w:tcPr>
            <w:tcW w:w="6236" w:type="dxa"/>
            <w:tcBorders>
              <w:left w:val="single" w:sz="4" w:space="0" w:color="auto"/>
              <w:bottom w:val="single" w:sz="4" w:space="0" w:color="auto"/>
            </w:tcBorders>
          </w:tcPr>
          <w:p w14:paraId="130E6A34" w14:textId="2E9CD8DD" w:rsidR="00567D66" w:rsidRPr="007279AA" w:rsidRDefault="00567D66" w:rsidP="00315DFE">
            <w:pPr>
              <w:pStyle w:val="NoSpacing"/>
              <w:rPr>
                <w:b/>
                <w:bCs/>
              </w:rPr>
            </w:pPr>
            <w:r>
              <w:rPr>
                <w:b/>
                <w:bCs/>
              </w:rPr>
              <w:t>Wire length (km)</w:t>
            </w:r>
          </w:p>
        </w:tc>
      </w:tr>
      <w:tr w:rsidR="00567D66" w14:paraId="51CF8BE8" w14:textId="77777777" w:rsidTr="00567D66">
        <w:tc>
          <w:tcPr>
            <w:tcW w:w="3116" w:type="dxa"/>
            <w:tcBorders>
              <w:top w:val="single" w:sz="4" w:space="0" w:color="auto"/>
              <w:right w:val="single" w:sz="4" w:space="0" w:color="auto"/>
            </w:tcBorders>
          </w:tcPr>
          <w:p w14:paraId="014B4C53" w14:textId="421E2A83" w:rsidR="00567D66" w:rsidRPr="00081D51" w:rsidRDefault="00567D66" w:rsidP="00315DFE">
            <w:pPr>
              <w:pStyle w:val="NoSpacing"/>
            </w:pPr>
            <w:r w:rsidRPr="00081D51">
              <w:t>18</w:t>
            </w:r>
            <w:r>
              <w:t>47</w:t>
            </w:r>
          </w:p>
        </w:tc>
        <w:tc>
          <w:tcPr>
            <w:tcW w:w="6236" w:type="dxa"/>
            <w:tcBorders>
              <w:top w:val="single" w:sz="4" w:space="0" w:color="auto"/>
              <w:left w:val="single" w:sz="4" w:space="0" w:color="auto"/>
            </w:tcBorders>
          </w:tcPr>
          <w:p w14:paraId="40BBCBE1" w14:textId="747D98C3" w:rsidR="00567D66" w:rsidRDefault="00567D66" w:rsidP="00315DFE">
            <w:pPr>
              <w:pStyle w:val="NoSpacing"/>
            </w:pPr>
            <w:r>
              <w:t>64</w:t>
            </w:r>
          </w:p>
        </w:tc>
      </w:tr>
      <w:tr w:rsidR="00567D66" w14:paraId="004B0BC6" w14:textId="77777777" w:rsidTr="00567D66">
        <w:tc>
          <w:tcPr>
            <w:tcW w:w="3116" w:type="dxa"/>
            <w:tcBorders>
              <w:right w:val="single" w:sz="4" w:space="0" w:color="auto"/>
            </w:tcBorders>
          </w:tcPr>
          <w:p w14:paraId="22373733" w14:textId="0D657D21" w:rsidR="00567D66" w:rsidRPr="00081D51" w:rsidRDefault="00567D66" w:rsidP="00315DFE">
            <w:pPr>
              <w:pStyle w:val="NoSpacing"/>
            </w:pPr>
            <w:r w:rsidRPr="00081D51">
              <w:t>18</w:t>
            </w:r>
            <w:r>
              <w:t>50</w:t>
            </w:r>
          </w:p>
        </w:tc>
        <w:tc>
          <w:tcPr>
            <w:tcW w:w="6236" w:type="dxa"/>
            <w:tcBorders>
              <w:left w:val="single" w:sz="4" w:space="0" w:color="auto"/>
            </w:tcBorders>
          </w:tcPr>
          <w:p w14:paraId="3B4D52EE" w14:textId="02ACB618" w:rsidR="00567D66" w:rsidRDefault="00567D66" w:rsidP="00315DFE">
            <w:pPr>
              <w:pStyle w:val="NoSpacing"/>
            </w:pPr>
            <w:r>
              <w:t>4</w:t>
            </w:r>
            <w:r>
              <w:t>,</w:t>
            </w:r>
            <w:r>
              <w:t>223</w:t>
            </w:r>
          </w:p>
        </w:tc>
      </w:tr>
      <w:tr w:rsidR="00567D66" w14:paraId="3C691A5C" w14:textId="77777777" w:rsidTr="00567D66">
        <w:tc>
          <w:tcPr>
            <w:tcW w:w="3116" w:type="dxa"/>
            <w:tcBorders>
              <w:right w:val="single" w:sz="4" w:space="0" w:color="auto"/>
            </w:tcBorders>
          </w:tcPr>
          <w:p w14:paraId="5A0F526A" w14:textId="1067A545" w:rsidR="00567D66" w:rsidRPr="00081D51" w:rsidRDefault="00567D66" w:rsidP="00315DFE">
            <w:pPr>
              <w:pStyle w:val="NoSpacing"/>
            </w:pPr>
            <w:r w:rsidRPr="00081D51">
              <w:t>18</w:t>
            </w:r>
            <w:r>
              <w:t>52</w:t>
            </w:r>
          </w:p>
        </w:tc>
        <w:tc>
          <w:tcPr>
            <w:tcW w:w="6236" w:type="dxa"/>
            <w:tcBorders>
              <w:left w:val="single" w:sz="4" w:space="0" w:color="auto"/>
            </w:tcBorders>
          </w:tcPr>
          <w:p w14:paraId="18D9A226" w14:textId="27F66E97" w:rsidR="00567D66" w:rsidRDefault="00FE5DA8" w:rsidP="00315DFE">
            <w:pPr>
              <w:pStyle w:val="NoSpacing"/>
            </w:pPr>
            <w:r>
              <w:t>14</w:t>
            </w:r>
            <w:r w:rsidR="00567D66">
              <w:t>,</w:t>
            </w:r>
            <w:r w:rsidR="00567D66">
              <w:t>537</w:t>
            </w:r>
          </w:p>
        </w:tc>
      </w:tr>
      <w:tr w:rsidR="00567D66" w14:paraId="3A3B1E47" w14:textId="77777777" w:rsidTr="00567D66">
        <w:tc>
          <w:tcPr>
            <w:tcW w:w="3116" w:type="dxa"/>
            <w:tcBorders>
              <w:right w:val="single" w:sz="4" w:space="0" w:color="auto"/>
            </w:tcBorders>
          </w:tcPr>
          <w:p w14:paraId="27250993" w14:textId="21929F43" w:rsidR="00567D66" w:rsidRPr="00081D51" w:rsidRDefault="00567D66" w:rsidP="00315DFE">
            <w:pPr>
              <w:pStyle w:val="NoSpacing"/>
            </w:pPr>
            <w:r w:rsidRPr="00081D51">
              <w:t>18</w:t>
            </w:r>
            <w:r>
              <w:t>54</w:t>
            </w:r>
          </w:p>
        </w:tc>
        <w:tc>
          <w:tcPr>
            <w:tcW w:w="6236" w:type="dxa"/>
            <w:tcBorders>
              <w:left w:val="single" w:sz="4" w:space="0" w:color="auto"/>
            </w:tcBorders>
          </w:tcPr>
          <w:p w14:paraId="52ED1130" w14:textId="531673AF" w:rsidR="00567D66" w:rsidRDefault="00FE5DA8" w:rsidP="00315DFE">
            <w:pPr>
              <w:pStyle w:val="NoSpacing"/>
            </w:pPr>
            <w:r>
              <w:t>22</w:t>
            </w:r>
            <w:r w:rsidR="00567D66">
              <w:t>,</w:t>
            </w:r>
            <w:r w:rsidR="00567D66">
              <w:t>349</w:t>
            </w:r>
          </w:p>
        </w:tc>
      </w:tr>
      <w:tr w:rsidR="00567D66" w14:paraId="207D38E6" w14:textId="77777777" w:rsidTr="00567D66">
        <w:tc>
          <w:tcPr>
            <w:tcW w:w="3116" w:type="dxa"/>
            <w:tcBorders>
              <w:right w:val="single" w:sz="4" w:space="0" w:color="auto"/>
            </w:tcBorders>
          </w:tcPr>
          <w:p w14:paraId="090561D6" w14:textId="5EF018A1" w:rsidR="00567D66" w:rsidRPr="00081D51" w:rsidRDefault="00567D66" w:rsidP="00315DFE">
            <w:pPr>
              <w:pStyle w:val="NoSpacing"/>
            </w:pPr>
            <w:r w:rsidRPr="00081D51">
              <w:t>18</w:t>
            </w:r>
            <w:r>
              <w:t>56</w:t>
            </w:r>
          </w:p>
        </w:tc>
        <w:tc>
          <w:tcPr>
            <w:tcW w:w="6236" w:type="dxa"/>
            <w:tcBorders>
              <w:left w:val="single" w:sz="4" w:space="0" w:color="auto"/>
            </w:tcBorders>
          </w:tcPr>
          <w:p w14:paraId="2E8712A1" w14:textId="6F66CC76" w:rsidR="00567D66" w:rsidRDefault="00FE5DA8" w:rsidP="00315DFE">
            <w:pPr>
              <w:pStyle w:val="NoSpacing"/>
            </w:pPr>
            <w:r>
              <w:t>31,538</w:t>
            </w:r>
          </w:p>
        </w:tc>
      </w:tr>
      <w:tr w:rsidR="00567D66" w14:paraId="7AADE147" w14:textId="77777777" w:rsidTr="00567D66">
        <w:tc>
          <w:tcPr>
            <w:tcW w:w="3116" w:type="dxa"/>
            <w:tcBorders>
              <w:right w:val="single" w:sz="4" w:space="0" w:color="auto"/>
            </w:tcBorders>
          </w:tcPr>
          <w:p w14:paraId="7EFCA319" w14:textId="230B6F8A" w:rsidR="00567D66" w:rsidRPr="00081D51" w:rsidRDefault="00567D66" w:rsidP="00315DFE">
            <w:pPr>
              <w:pStyle w:val="NoSpacing"/>
            </w:pPr>
            <w:r w:rsidRPr="00081D51">
              <w:t>18</w:t>
            </w:r>
            <w:r>
              <w:t>58</w:t>
            </w:r>
          </w:p>
        </w:tc>
        <w:tc>
          <w:tcPr>
            <w:tcW w:w="6236" w:type="dxa"/>
            <w:tcBorders>
              <w:left w:val="single" w:sz="4" w:space="0" w:color="auto"/>
            </w:tcBorders>
          </w:tcPr>
          <w:p w14:paraId="3D09E43A" w14:textId="11311DEE" w:rsidR="00567D66" w:rsidRDefault="00FE5DA8" w:rsidP="00315DFE">
            <w:pPr>
              <w:pStyle w:val="NoSpacing"/>
            </w:pPr>
            <w:r>
              <w:t>4</w:t>
            </w:r>
            <w:r w:rsidR="00567D66">
              <w:t>3,295</w:t>
            </w:r>
          </w:p>
        </w:tc>
      </w:tr>
      <w:tr w:rsidR="00567D66" w14:paraId="3A68AF16" w14:textId="77777777" w:rsidTr="00567D66">
        <w:tc>
          <w:tcPr>
            <w:tcW w:w="3116" w:type="dxa"/>
            <w:tcBorders>
              <w:right w:val="single" w:sz="4" w:space="0" w:color="auto"/>
            </w:tcBorders>
          </w:tcPr>
          <w:p w14:paraId="777D2C94" w14:textId="67AB6350" w:rsidR="00567D66" w:rsidRPr="00081D51" w:rsidRDefault="00567D66" w:rsidP="00315DFE">
            <w:pPr>
              <w:pStyle w:val="NoSpacing"/>
            </w:pPr>
            <w:r>
              <w:t>1860</w:t>
            </w:r>
          </w:p>
        </w:tc>
        <w:tc>
          <w:tcPr>
            <w:tcW w:w="6236" w:type="dxa"/>
            <w:tcBorders>
              <w:left w:val="single" w:sz="4" w:space="0" w:color="auto"/>
            </w:tcBorders>
          </w:tcPr>
          <w:p w14:paraId="18240F39" w14:textId="2DEB5896" w:rsidR="00567D66" w:rsidRDefault="00FE5DA8" w:rsidP="00315DFE">
            <w:pPr>
              <w:pStyle w:val="NoSpacing"/>
            </w:pPr>
            <w:r>
              <w:t>56,531</w:t>
            </w:r>
          </w:p>
        </w:tc>
      </w:tr>
      <w:tr w:rsidR="00567D66" w14:paraId="44293023" w14:textId="77777777" w:rsidTr="00567D66">
        <w:tc>
          <w:tcPr>
            <w:tcW w:w="3116" w:type="dxa"/>
            <w:tcBorders>
              <w:right w:val="single" w:sz="4" w:space="0" w:color="auto"/>
            </w:tcBorders>
          </w:tcPr>
          <w:p w14:paraId="2609A3D8" w14:textId="0C28A75E" w:rsidR="00567D66" w:rsidRPr="00081D51" w:rsidRDefault="00567D66" w:rsidP="00315DFE">
            <w:pPr>
              <w:pStyle w:val="NoSpacing"/>
            </w:pPr>
            <w:r>
              <w:t>1862</w:t>
            </w:r>
          </w:p>
        </w:tc>
        <w:tc>
          <w:tcPr>
            <w:tcW w:w="6236" w:type="dxa"/>
            <w:tcBorders>
              <w:left w:val="single" w:sz="4" w:space="0" w:color="auto"/>
            </w:tcBorders>
          </w:tcPr>
          <w:p w14:paraId="5ADF50BC" w14:textId="42B8FDE1" w:rsidR="00567D66" w:rsidRDefault="00FE5DA8" w:rsidP="00315DFE">
            <w:pPr>
              <w:pStyle w:val="NoSpacing"/>
            </w:pPr>
            <w:r>
              <w:t>69,285</w:t>
            </w:r>
          </w:p>
        </w:tc>
      </w:tr>
      <w:tr w:rsidR="00567D66" w14:paraId="7CA3CD23" w14:textId="77777777" w:rsidTr="00567D66">
        <w:tc>
          <w:tcPr>
            <w:tcW w:w="3116" w:type="dxa"/>
            <w:tcBorders>
              <w:right w:val="single" w:sz="4" w:space="0" w:color="auto"/>
            </w:tcBorders>
          </w:tcPr>
          <w:p w14:paraId="0F6256ED" w14:textId="2EB39325" w:rsidR="00567D66" w:rsidRDefault="00567D66" w:rsidP="00315DFE">
            <w:pPr>
              <w:pStyle w:val="NoSpacing"/>
            </w:pPr>
            <w:r>
              <w:t>1864</w:t>
            </w:r>
          </w:p>
        </w:tc>
        <w:tc>
          <w:tcPr>
            <w:tcW w:w="6236" w:type="dxa"/>
            <w:tcBorders>
              <w:left w:val="single" w:sz="4" w:space="0" w:color="auto"/>
            </w:tcBorders>
          </w:tcPr>
          <w:p w14:paraId="4AAD7D11" w14:textId="183BC0C7" w:rsidR="00567D66" w:rsidRDefault="00567D66" w:rsidP="00315DFE">
            <w:pPr>
              <w:pStyle w:val="NoSpacing"/>
            </w:pPr>
            <w:r>
              <w:t>86,862</w:t>
            </w:r>
          </w:p>
        </w:tc>
      </w:tr>
      <w:tr w:rsidR="00567D66" w14:paraId="0995667A" w14:textId="77777777" w:rsidTr="00567D66">
        <w:tc>
          <w:tcPr>
            <w:tcW w:w="3116" w:type="dxa"/>
            <w:tcBorders>
              <w:right w:val="single" w:sz="4" w:space="0" w:color="auto"/>
            </w:tcBorders>
          </w:tcPr>
          <w:p w14:paraId="23C97EAB" w14:textId="18AF889B" w:rsidR="00567D66" w:rsidRDefault="00567D66" w:rsidP="00315DFE">
            <w:pPr>
              <w:pStyle w:val="NoSpacing"/>
            </w:pPr>
            <w:r>
              <w:t>1866</w:t>
            </w:r>
          </w:p>
        </w:tc>
        <w:tc>
          <w:tcPr>
            <w:tcW w:w="6236" w:type="dxa"/>
            <w:tcBorders>
              <w:left w:val="single" w:sz="4" w:space="0" w:color="auto"/>
            </w:tcBorders>
          </w:tcPr>
          <w:p w14:paraId="040D3420" w14:textId="3B3C8E8B" w:rsidR="00567D66" w:rsidRDefault="00FE5DA8" w:rsidP="00315DFE">
            <w:pPr>
              <w:pStyle w:val="NoSpacing"/>
            </w:pPr>
            <w:r>
              <w:t>119,356</w:t>
            </w:r>
          </w:p>
        </w:tc>
      </w:tr>
      <w:tr w:rsidR="00567D66" w14:paraId="048E5CAD" w14:textId="77777777" w:rsidTr="00567D66">
        <w:tc>
          <w:tcPr>
            <w:tcW w:w="3116" w:type="dxa"/>
            <w:tcBorders>
              <w:right w:val="single" w:sz="4" w:space="0" w:color="auto"/>
            </w:tcBorders>
          </w:tcPr>
          <w:p w14:paraId="28D40A48" w14:textId="21723A83" w:rsidR="00567D66" w:rsidRDefault="00567D66" w:rsidP="00315DFE">
            <w:pPr>
              <w:pStyle w:val="NoSpacing"/>
            </w:pPr>
            <w:r>
              <w:t>1868</w:t>
            </w:r>
          </w:p>
        </w:tc>
        <w:tc>
          <w:tcPr>
            <w:tcW w:w="6236" w:type="dxa"/>
            <w:tcBorders>
              <w:left w:val="single" w:sz="4" w:space="0" w:color="auto"/>
            </w:tcBorders>
          </w:tcPr>
          <w:p w14:paraId="699B440C" w14:textId="5D8BE89F" w:rsidR="00567D66" w:rsidRDefault="00567D66" w:rsidP="00315DFE">
            <w:pPr>
              <w:pStyle w:val="NoSpacing"/>
            </w:pPr>
            <w:r>
              <w:t>146,419</w:t>
            </w:r>
          </w:p>
        </w:tc>
      </w:tr>
    </w:tbl>
    <w:p w14:paraId="791E0A25" w14:textId="77777777" w:rsidR="00567D66" w:rsidRDefault="00567D66" w:rsidP="005B655C"/>
    <w:p w14:paraId="2754ED9C" w14:textId="69BB502A" w:rsidR="00F868AB" w:rsidRDefault="00FE6C8C" w:rsidP="005B655C">
      <w:r>
        <w:t>The electric telegraph could do all that a semaphor</w:t>
      </w:r>
      <w:r w:rsidR="00290CE0">
        <w:t>ic line</w:t>
      </w:r>
      <w:r>
        <w:t xml:space="preserve"> could, and more. </w:t>
      </w:r>
      <w:r w:rsidR="00BE7C33">
        <w:t xml:space="preserve">It had much higher capacity, and </w:t>
      </w:r>
      <w:r w:rsidR="00A552C6">
        <w:t xml:space="preserve">bad weather, always a concern in the United States, did not interfere with its use. </w:t>
      </w:r>
      <w:r w:rsidR="00F776C1">
        <w:t xml:space="preserve">Thus, instead of transmitting weekly bulletins, the government could now transmit daily news, complete with small snippets of articles. </w:t>
      </w:r>
      <w:r w:rsidR="00C50A22">
        <w:t>Combined with the near-instantaneous transmission</w:t>
      </w:r>
      <w:r w:rsidR="002B7B86">
        <w:t>, it was now easier than ever for the federal government to conduct business</w:t>
      </w:r>
      <w:r w:rsidR="00C50A22">
        <w:t>. Additionally, the private message boom expanded dramatically – the semaphor</w:t>
      </w:r>
      <w:r w:rsidR="00E55E42">
        <w:t>ic telegraph</w:t>
      </w:r>
      <w:r w:rsidR="00C50A22">
        <w:t xml:space="preserve"> had allowed for some private messages, but it was quite expensive, and unless one was sending messages on the “Color Lines” of the built-up East, </w:t>
      </w:r>
      <w:r w:rsidR="00790EE1">
        <w:t xml:space="preserve">low capacity meant considerable delays and a high price – and the Wire Service of the Post Office was, though still expensive, now within the range of affordability. It would take several decades for the price of </w:t>
      </w:r>
      <w:r w:rsidR="00046FF3">
        <w:t xml:space="preserve">a telegraph message to even be remotely </w:t>
      </w:r>
      <w:r w:rsidR="008A565E">
        <w:t>comparable</w:t>
      </w:r>
      <w:r w:rsidR="00046FF3">
        <w:t xml:space="preserve"> to a regular mail message – but it was clear than the era was coming</w:t>
      </w:r>
      <w:r w:rsidR="00DE6CD9">
        <w:rPr>
          <w:rStyle w:val="EndnoteReference"/>
        </w:rPr>
        <w:endnoteReference w:id="186"/>
      </w:r>
      <w:r w:rsidR="00046FF3">
        <w:t xml:space="preserve">. </w:t>
      </w:r>
    </w:p>
    <w:p w14:paraId="7BB12CB4" w14:textId="004ED52F" w:rsidR="002C0B7A" w:rsidRPr="005B655C" w:rsidRDefault="002C0B7A" w:rsidP="005B655C">
      <w:r>
        <w:t xml:space="preserve">Thus, by 1852, the United States was fully in the throes of modernity. The railroad was coming into town, and the telegraph wound the nation together. The nation had thrown its awkward adolescence aside, </w:t>
      </w:r>
      <w:r w:rsidR="003A0DF4">
        <w:t>and</w:t>
      </w:r>
      <w:r>
        <w:t xml:space="preserve"> </w:t>
      </w:r>
      <w:r w:rsidR="00CD6389">
        <w:t>these</w:t>
      </w:r>
      <w:r>
        <w:t xml:space="preserve"> new technologies compressed dis</w:t>
      </w:r>
      <w:r w:rsidR="00CD6389">
        <w:t>tance</w:t>
      </w:r>
      <w:r w:rsidR="003A0DF4">
        <w:t xml:space="preserve"> and made the country smaller and closer than ever</w:t>
      </w:r>
      <w:r w:rsidR="00CD6389">
        <w:t xml:space="preserve">. </w:t>
      </w:r>
      <w:proofErr w:type="gramStart"/>
      <w:r w:rsidR="007C152C">
        <w:t>But yet</w:t>
      </w:r>
      <w:proofErr w:type="gramEnd"/>
      <w:r w:rsidR="007C152C">
        <w:t xml:space="preserve">, these distances </w:t>
      </w:r>
      <w:r w:rsidR="00B50F08">
        <w:t>made</w:t>
      </w:r>
      <w:r w:rsidR="007C152C">
        <w:t xml:space="preserve"> the nation’s differences </w:t>
      </w:r>
      <w:r w:rsidR="00B50F08">
        <w:t>more vivid</w:t>
      </w:r>
      <w:r w:rsidR="00605401">
        <w:t xml:space="preserve"> – </w:t>
      </w:r>
      <w:r w:rsidR="00605401">
        <w:lastRenderedPageBreak/>
        <w:t>more than anything, the difference between the slave and free states</w:t>
      </w:r>
      <w:r w:rsidR="007C152C">
        <w:t xml:space="preserve">. </w:t>
      </w:r>
      <w:r w:rsidR="00B50F08">
        <w:t xml:space="preserve">Just as the canal and </w:t>
      </w:r>
      <w:r w:rsidR="00C6684B">
        <w:t>semaphoric</w:t>
      </w:r>
      <w:r w:rsidR="00E55E42">
        <w:t xml:space="preserve"> telegraph</w:t>
      </w:r>
      <w:r w:rsidR="00B50F08">
        <w:t xml:space="preserve"> made the </w:t>
      </w:r>
      <w:r w:rsidR="00605401">
        <w:t xml:space="preserve">Illinois and Missouri Crises inevitable, so too would the railroad and </w:t>
      </w:r>
      <w:r w:rsidR="00E55E42">
        <w:t xml:space="preserve">electric </w:t>
      </w:r>
      <w:r w:rsidR="00605401">
        <w:t xml:space="preserve">telegraph make </w:t>
      </w:r>
      <w:r w:rsidR="00971A1F">
        <w:t xml:space="preserve">the crises of the future inevitable. </w:t>
      </w:r>
    </w:p>
    <w:p w14:paraId="655C5BCE" w14:textId="77777777" w:rsidR="001254E6" w:rsidRDefault="001254E6" w:rsidP="001254E6">
      <w:r>
        <w:br w:type="page"/>
      </w:r>
    </w:p>
    <w:p w14:paraId="2B6F71E1" w14:textId="77777777" w:rsidR="00BB6DB2" w:rsidRDefault="00BB6DB2" w:rsidP="00BB6DB2"/>
    <w:p w14:paraId="6D709655" w14:textId="77777777" w:rsidR="00BB6DB2" w:rsidRDefault="00BB6DB2" w:rsidP="00BB6DB2">
      <w:pPr>
        <w:sectPr w:rsidR="00BB6DB2" w:rsidSect="00BB6DB2">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34433AB" w14:textId="77777777" w:rsidR="00BB6DB2" w:rsidRDefault="00BB6DB2" w:rsidP="00BB6DB2">
      <w:r>
        <w:br w:type="page"/>
      </w:r>
    </w:p>
    <w:p w14:paraId="729FB4AD" w14:textId="25C4CD6B" w:rsidR="00013E59" w:rsidRDefault="00013E59" w:rsidP="00013E59">
      <w:pPr>
        <w:pStyle w:val="Heading1"/>
      </w:pPr>
      <w:bookmarkStart w:id="47" w:name="_Toc202006235"/>
      <w:r>
        <w:lastRenderedPageBreak/>
        <w:t xml:space="preserve">36. </w:t>
      </w:r>
      <w:r w:rsidR="00B4654E">
        <w:t>The</w:t>
      </w:r>
      <w:r w:rsidR="003D5C4C">
        <w:t xml:space="preserve"> </w:t>
      </w:r>
      <w:r w:rsidR="0087070E">
        <w:t>Queens of the West</w:t>
      </w:r>
      <w:bookmarkEnd w:id="47"/>
    </w:p>
    <w:p w14:paraId="1EC083F6" w14:textId="50C39834" w:rsidR="0087070E" w:rsidRDefault="00461A86" w:rsidP="0087070E">
      <w:r>
        <w:t xml:space="preserve">High </w:t>
      </w:r>
      <w:proofErr w:type="spellStart"/>
      <w:r>
        <w:t>Websterism</w:t>
      </w:r>
      <w:proofErr w:type="spellEnd"/>
      <w:r>
        <w:t xml:space="preserve"> was as much the product of the new, rising West as it was</w:t>
      </w:r>
      <w:r w:rsidR="00065CAF">
        <w:t xml:space="preserve"> the olden, industrial East </w:t>
      </w:r>
      <w:r w:rsidR="00074588">
        <w:t xml:space="preserve">with which </w:t>
      </w:r>
      <w:r w:rsidR="00065CAF">
        <w:t xml:space="preserve">he was so identified. </w:t>
      </w:r>
      <w:r w:rsidR="00057BB0">
        <w:t xml:space="preserve">There was no way </w:t>
      </w:r>
      <w:r w:rsidR="00827C0D">
        <w:t>it</w:t>
      </w:r>
      <w:r w:rsidR="00057BB0">
        <w:t xml:space="preserve"> could not be, after all. </w:t>
      </w:r>
      <w:r w:rsidR="00AF4984">
        <w:t xml:space="preserve">The two previous presidents, Pike and Harrison, were both icons of the West, after all. </w:t>
      </w:r>
      <w:r w:rsidR="00075982">
        <w:t>And the West had been</w:t>
      </w:r>
      <w:r w:rsidR="00660AEB">
        <w:t xml:space="preserve"> an important region for which both</w:t>
      </w:r>
      <w:r w:rsidR="00166005">
        <w:t xml:space="preserve"> the Democrats and Republicans tried to win support from</w:t>
      </w:r>
      <w:r w:rsidR="0003218A">
        <w:t xml:space="preserve"> – and indeed, virtually every election from</w:t>
      </w:r>
      <w:r w:rsidR="009813F2">
        <w:t xml:space="preserve"> 1812 to 1868 was, in one way or another, </w:t>
      </w:r>
      <w:r w:rsidR="00A05386">
        <w:t>decided by the West</w:t>
      </w:r>
      <w:r w:rsidR="00166005">
        <w:t xml:space="preserve">. </w:t>
      </w:r>
      <w:r w:rsidR="00CD7EEF">
        <w:t>Thus, f</w:t>
      </w:r>
      <w:r w:rsidR="00AB5AD2">
        <w:t xml:space="preserve">rom the outset, </w:t>
      </w:r>
      <w:r w:rsidR="00620414">
        <w:t>Webster campaigned for western support</w:t>
      </w:r>
      <w:r w:rsidR="0072063C">
        <w:t xml:space="preserve">. This </w:t>
      </w:r>
      <w:r w:rsidR="00DE5C8C">
        <w:t xml:space="preserve">was </w:t>
      </w:r>
      <w:r w:rsidR="00620414">
        <w:t>crucial for</w:t>
      </w:r>
      <w:r w:rsidR="0072063C">
        <w:t>, first,</w:t>
      </w:r>
      <w:r w:rsidR="007A701E">
        <w:t xml:space="preserve"> </w:t>
      </w:r>
      <w:r w:rsidR="00620D76">
        <w:t>winning the candidacy of the Democratic Party and</w:t>
      </w:r>
      <w:r w:rsidR="004D3A41">
        <w:t xml:space="preserve"> then finally</w:t>
      </w:r>
      <w:r w:rsidR="007A701E">
        <w:t>,</w:t>
      </w:r>
      <w:r w:rsidR="00620D76">
        <w:t xml:space="preserve"> </w:t>
      </w:r>
      <w:r w:rsidR="00E11820">
        <w:t>winning the election; his tour across the West</w:t>
      </w:r>
      <w:r w:rsidR="00475DED">
        <w:t>, by which he won the latter</w:t>
      </w:r>
      <w:r w:rsidR="00E11820">
        <w:t xml:space="preserve"> remains an iconic </w:t>
      </w:r>
      <w:r w:rsidR="003B7471">
        <w:t>moment in</w:t>
      </w:r>
      <w:r w:rsidR="00E11820">
        <w:t xml:space="preserve"> American politics. </w:t>
      </w:r>
      <w:r w:rsidR="00B13428">
        <w:t>And across his entire presidency, Webster made sure to redirect</w:t>
      </w:r>
      <w:r w:rsidR="005E5662">
        <w:t xml:space="preserve"> money towards the West</w:t>
      </w:r>
      <w:r w:rsidR="001E3D9E">
        <w:t xml:space="preserve"> – and this was all demonstrative of a very real transformation that not just </w:t>
      </w:r>
      <w:r w:rsidR="00F57BBC">
        <w:t>this region</w:t>
      </w:r>
      <w:r w:rsidR="001E3D9E">
        <w:t xml:space="preserve">, but the entire United States </w:t>
      </w:r>
      <w:r w:rsidR="00B6345E">
        <w:t>was going through</w:t>
      </w:r>
      <w:r w:rsidR="00AE7798">
        <w:t xml:space="preserve">. </w:t>
      </w:r>
      <w:r w:rsidR="00A97B8C">
        <w:t xml:space="preserve">Indeed, his reforms may well have put an end to a sort of Western sectionalism, which served to supplant it with more of a North-South divide </w:t>
      </w:r>
      <w:r w:rsidR="00361F43">
        <w:t>along similar lines as the East</w:t>
      </w:r>
      <w:r w:rsidR="004E4D7E">
        <w:t xml:space="preserve"> – and ultimately, what was at this point called the “West”, thanks to all this economic growth</w:t>
      </w:r>
      <w:r w:rsidR="002C16A2">
        <w:t>,</w:t>
      </w:r>
      <w:r w:rsidR="004E4D7E">
        <w:t xml:space="preserve"> became called the “Middle West”</w:t>
      </w:r>
      <w:r w:rsidR="00361F43">
        <w:t xml:space="preserve">. </w:t>
      </w:r>
    </w:p>
    <w:p w14:paraId="6F5A2C04" w14:textId="508EB613" w:rsidR="005A38E6" w:rsidRDefault="005A38E6" w:rsidP="0087070E">
      <w:r>
        <w:t>By 1828, much of the groundwork for the</w:t>
      </w:r>
      <w:r w:rsidR="00137553">
        <w:t xml:space="preserve"> Western boom had already been laid. The great Burr had</w:t>
      </w:r>
      <w:r w:rsidR="00545D89">
        <w:t xml:space="preserve"> established an array of canals and semaphoric telegraphs</w:t>
      </w:r>
      <w:r w:rsidR="005D2568">
        <w:t xml:space="preserve"> which stretched well into the West, and this allowed for both </w:t>
      </w:r>
      <w:r w:rsidR="003D6260">
        <w:t xml:space="preserve">rapid </w:t>
      </w:r>
      <w:r w:rsidR="005D2568">
        <w:t xml:space="preserve">communications and </w:t>
      </w:r>
      <w:r w:rsidR="00766849">
        <w:t xml:space="preserve">trade. </w:t>
      </w:r>
      <w:r w:rsidR="00EF2A28">
        <w:t>Cities like Black Rock</w:t>
      </w:r>
      <w:r w:rsidR="009224E6">
        <w:t xml:space="preserve">, </w:t>
      </w:r>
      <w:proofErr w:type="spellStart"/>
      <w:r w:rsidR="009224E6">
        <w:t>Pittsburg</w:t>
      </w:r>
      <w:proofErr w:type="spellEnd"/>
      <w:r w:rsidR="00EF2A28">
        <w:t xml:space="preserve">, </w:t>
      </w:r>
      <w:r w:rsidR="003D1FA4">
        <w:t xml:space="preserve">Cincinnati, </w:t>
      </w:r>
      <w:r w:rsidR="009D24E1">
        <w:t xml:space="preserve">Miami, </w:t>
      </w:r>
      <w:r w:rsidR="003D1FA4">
        <w:t xml:space="preserve">Sandusky, </w:t>
      </w:r>
      <w:r w:rsidR="005F5DB3">
        <w:t xml:space="preserve">and </w:t>
      </w:r>
      <w:r w:rsidR="006D3594">
        <w:t>Louisville became trade emporia which allowed merchants</w:t>
      </w:r>
      <w:r w:rsidR="002839FA">
        <w:t xml:space="preserve"> to trade goods to and from the West</w:t>
      </w:r>
      <w:r w:rsidR="0046006E">
        <w:t>; th</w:t>
      </w:r>
      <w:r w:rsidR="00322C38">
        <w:t>ese</w:t>
      </w:r>
      <w:r w:rsidR="0046006E">
        <w:t xml:space="preserve"> wasn’t yet </w:t>
      </w:r>
      <w:r w:rsidR="00322C38">
        <w:t>industrial or even</w:t>
      </w:r>
      <w:r w:rsidR="0046006E">
        <w:t xml:space="preserve"> </w:t>
      </w:r>
      <w:r w:rsidR="00322C38">
        <w:t xml:space="preserve">proto-industrial hubs, but they linked together the hinterland with the </w:t>
      </w:r>
      <w:r w:rsidR="008C542E">
        <w:t xml:space="preserve">booming markets of the East. </w:t>
      </w:r>
      <w:r w:rsidR="00DE422A">
        <w:t>Additionally, settlers moved to and from</w:t>
      </w:r>
      <w:r w:rsidR="00196986">
        <w:t xml:space="preserve"> these cities, and though few of them stayed and most wanted a farm of their own, it was at least the </w:t>
      </w:r>
      <w:r w:rsidR="005C5560">
        <w:t>groundwork for something bigger</w:t>
      </w:r>
      <w:r w:rsidR="00B65AB6">
        <w:t xml:space="preserve">. And those new settlers would go to town </w:t>
      </w:r>
      <w:r w:rsidR="00B65AB6">
        <w:lastRenderedPageBreak/>
        <w:t>to trade their goods</w:t>
      </w:r>
      <w:r w:rsidR="00965FD5">
        <w:t>, where th</w:t>
      </w:r>
      <w:r w:rsidR="00D60994">
        <w:t>ose goods</w:t>
      </w:r>
      <w:r w:rsidR="00965FD5">
        <w:t xml:space="preserve"> would travel between many arms of merchants towards</w:t>
      </w:r>
      <w:r w:rsidR="0090396B">
        <w:t xml:space="preserve"> either hungry easterners or abroad</w:t>
      </w:r>
      <w:r w:rsidR="008E60BB">
        <w:t>. In the economic disarray which succeeded the</w:t>
      </w:r>
      <w:r w:rsidR="003E4336">
        <w:t xml:space="preserve"> Panic of 1819, the trade networks in the </w:t>
      </w:r>
      <w:r w:rsidR="00902571">
        <w:t>West</w:t>
      </w:r>
      <w:r w:rsidR="003E4336">
        <w:t xml:space="preserve"> had become trimmer </w:t>
      </w:r>
      <w:r w:rsidR="0073755A">
        <w:t>and leaner</w:t>
      </w:r>
      <w:r w:rsidR="003E4336">
        <w:t>, and</w:t>
      </w:r>
      <w:r w:rsidR="009650AE">
        <w:t xml:space="preserve"> notably pork bec</w:t>
      </w:r>
      <w:r w:rsidR="0073755A">
        <w:t>a</w:t>
      </w:r>
      <w:r w:rsidR="009650AE">
        <w:t>me</w:t>
      </w:r>
      <w:r w:rsidR="0073755A">
        <w:t xml:space="preserve"> one of the leading exports</w:t>
      </w:r>
      <w:r w:rsidR="00902571">
        <w:t xml:space="preserve"> of the West</w:t>
      </w:r>
      <w:r w:rsidR="00050763">
        <w:t xml:space="preserve"> as it </w:t>
      </w:r>
      <w:r w:rsidR="00E05BB5">
        <w:t>could be</w:t>
      </w:r>
      <w:r w:rsidR="006C6190">
        <w:t xml:space="preserve"> easily</w:t>
      </w:r>
      <w:r w:rsidR="00E05BB5">
        <w:t xml:space="preserve"> preserved</w:t>
      </w:r>
      <w:r w:rsidR="00094B69">
        <w:t xml:space="preserve"> for </w:t>
      </w:r>
      <w:r w:rsidR="00A21E0A">
        <w:t>such purposes</w:t>
      </w:r>
      <w:r w:rsidR="00094B69">
        <w:t xml:space="preserve"> with a little bit of salt</w:t>
      </w:r>
      <w:r w:rsidR="00FA1D43">
        <w:t>. It was for this that Cincinnati got its nickname of “Porkopolis”. A system of factories developed towards this pork export</w:t>
      </w:r>
      <w:r w:rsidR="0048234D">
        <w:t>, and this rescued the West from the economic doldrums</w:t>
      </w:r>
      <w:r w:rsidR="00763064">
        <w:t xml:space="preserve"> of the period</w:t>
      </w:r>
      <w:r w:rsidR="005C5560">
        <w:t xml:space="preserve">. </w:t>
      </w:r>
      <w:r w:rsidR="00C97F3E">
        <w:t>It was, perhaps, the groundwork of a proto-</w:t>
      </w:r>
      <w:r w:rsidR="009E71B3">
        <w:t>modern</w:t>
      </w:r>
      <w:r w:rsidR="00C97F3E">
        <w:t xml:space="preserve"> economy</w:t>
      </w:r>
      <w:r w:rsidR="009A781E">
        <w:t>, and it did help to create something of a national market</w:t>
      </w:r>
      <w:r w:rsidR="00535EBD">
        <w:t xml:space="preserve"> which wrapped both the East and the West</w:t>
      </w:r>
      <w:r w:rsidR="009A781E">
        <w:t xml:space="preserve">. </w:t>
      </w:r>
      <w:r w:rsidR="001832D3">
        <w:t>And though compared to what came later this was nothing, compared to what came before</w:t>
      </w:r>
      <w:r w:rsidR="006564B6">
        <w:t xml:space="preserve"> it struck contemporaries as nothing short of a national miracle. </w:t>
      </w:r>
    </w:p>
    <w:p w14:paraId="6D240469" w14:textId="15621605" w:rsidR="00112F46" w:rsidRDefault="009237A0" w:rsidP="0087070E">
      <w:r>
        <w:t xml:space="preserve">Following the end of the Luisiana War, this boom only escalated. </w:t>
      </w:r>
      <w:r w:rsidR="00CC2FB3">
        <w:t>Without the Spanish blockade, trade abroad escalated dramatically</w:t>
      </w:r>
      <w:r w:rsidR="00C86A05">
        <w:t xml:space="preserve">; additionally, the British Isles had its Popular Revolution, </w:t>
      </w:r>
      <w:r w:rsidR="00A3411F">
        <w:t>and the new revolutionary government</w:t>
      </w:r>
      <w:r w:rsidR="009D3779">
        <w:t xml:space="preserve"> </w:t>
      </w:r>
      <w:r w:rsidR="00F74138">
        <w:t xml:space="preserve">immediately established good relations with the United States. </w:t>
      </w:r>
      <w:r w:rsidR="0076267A">
        <w:t xml:space="preserve">This meant a rush of capital, as Barings, Lloyd’s, and other financial institutions invested in the United States; additionally, </w:t>
      </w:r>
      <w:r w:rsidR="001F1FD4">
        <w:t xml:space="preserve">a large number of Britons emigrated to America, because this had been bottled during the war and now rushed out, </w:t>
      </w:r>
      <w:r w:rsidR="008B1335">
        <w:t xml:space="preserve">because </w:t>
      </w:r>
      <w:r w:rsidR="001F1FD4">
        <w:t>the average Briton considered the United States a better place to immigrate than</w:t>
      </w:r>
      <w:r w:rsidR="00587A96">
        <w:t xml:space="preserve"> the </w:t>
      </w:r>
      <w:r w:rsidR="00C75515">
        <w:t>colonies,</w:t>
      </w:r>
      <w:r w:rsidR="00587A96">
        <w:t xml:space="preserve"> </w:t>
      </w:r>
      <w:r w:rsidR="00C75515">
        <w:t xml:space="preserve">associated with </w:t>
      </w:r>
      <w:r w:rsidR="00DB7256">
        <w:t>penal exile</w:t>
      </w:r>
      <w:r w:rsidR="00176B20">
        <w:t>, and</w:t>
      </w:r>
      <w:r w:rsidR="003521DC">
        <w:t xml:space="preserve"> because the </w:t>
      </w:r>
      <w:r w:rsidR="002B374A">
        <w:t xml:space="preserve">nation had well-developed and similarly free national institutions. </w:t>
      </w:r>
      <w:r w:rsidR="005A0111">
        <w:t xml:space="preserve">These two things alone would have caused a massive boom, but at the same time </w:t>
      </w:r>
      <w:r w:rsidR="004E1A14">
        <w:t xml:space="preserve">the post-revolutionary British government abolished the Corn Laws, a set of extremely high tariffs that had essentially blocked foreign grain from entering the markets. </w:t>
      </w:r>
      <w:r w:rsidR="00266226">
        <w:t xml:space="preserve">This created a new market opportunity for the United States, and with the canal network established by the Burr, and later the Harrison administration, </w:t>
      </w:r>
      <w:r w:rsidR="0097403E">
        <w:t>it</w:t>
      </w:r>
      <w:r w:rsidR="00266226">
        <w:t xml:space="preserve"> </w:t>
      </w:r>
      <w:r w:rsidR="00231AB3">
        <w:t>was</w:t>
      </w:r>
      <w:r w:rsidR="00266226">
        <w:t xml:space="preserve"> easier to </w:t>
      </w:r>
      <w:r w:rsidR="00313B5D">
        <w:t>export</w:t>
      </w:r>
      <w:r w:rsidR="006978C6">
        <w:t xml:space="preserve">. Another element that added to the mix was the independence of New Erin – in the wake of the Popular Revolution, Irish convicts in the penal </w:t>
      </w:r>
      <w:r w:rsidR="006978C6">
        <w:lastRenderedPageBreak/>
        <w:t>colony of Australia declared</w:t>
      </w:r>
      <w:r w:rsidR="007926EF">
        <w:t xml:space="preserve"> and established</w:t>
      </w:r>
      <w:r w:rsidR="006978C6">
        <w:t xml:space="preserve"> their independence –in 1828, and in its wake, they created a strong relationship with</w:t>
      </w:r>
      <w:r w:rsidR="00380A94">
        <w:t xml:space="preserve"> Yankee traders that persisted for the next four decades and practically turned it into New England’s hinterland</w:t>
      </w:r>
      <w:r w:rsidR="002D282D">
        <w:t xml:space="preserve">. New </w:t>
      </w:r>
      <w:proofErr w:type="spellStart"/>
      <w:r w:rsidR="002D282D">
        <w:t>Erinnach</w:t>
      </w:r>
      <w:proofErr w:type="spellEnd"/>
      <w:r w:rsidR="002D282D">
        <w:t xml:space="preserve"> wool became an important part of the American economic system</w:t>
      </w:r>
      <w:r w:rsidR="00756AFD">
        <w:t>. This sort of quasi-</w:t>
      </w:r>
      <w:r w:rsidR="003D612F">
        <w:t>colonial relationship with this</w:t>
      </w:r>
      <w:r w:rsidR="00BB178E">
        <w:t xml:space="preserve"> other former British colony was merely a sideshow to the </w:t>
      </w:r>
      <w:r w:rsidR="001E4857">
        <w:t>developing Anglo-American relationship, however</w:t>
      </w:r>
      <w:r w:rsidR="007324D3">
        <w:t xml:space="preserve">. </w:t>
      </w:r>
      <w:r w:rsidR="00E14376">
        <w:t>For the next several decades, American grain dominated</w:t>
      </w:r>
      <w:r w:rsidR="005F77F2">
        <w:t xml:space="preserve"> British markets, and</w:t>
      </w:r>
      <w:r w:rsidR="00956871">
        <w:t xml:space="preserve"> this helped secure that, despite periods of cool relations, </w:t>
      </w:r>
      <w:r w:rsidR="0011231F">
        <w:t xml:space="preserve">Americans and Brits still traded with one another. </w:t>
      </w:r>
      <w:r w:rsidR="00873161">
        <w:t xml:space="preserve">In the years that </w:t>
      </w:r>
      <w:r w:rsidR="004C7647">
        <w:t>followed</w:t>
      </w:r>
      <w:r w:rsidR="00873161">
        <w:t xml:space="preserve">, </w:t>
      </w:r>
      <w:r w:rsidR="001A4A99">
        <w:t>the British</w:t>
      </w:r>
      <w:r w:rsidR="00854938">
        <w:t xml:space="preserve"> removed other trade barriers</w:t>
      </w:r>
      <w:r w:rsidR="00C11F1F">
        <w:t>: cotton</w:t>
      </w:r>
      <w:r w:rsidR="00C324E9">
        <w:t xml:space="preserve"> produced by Southern slaves</w:t>
      </w:r>
      <w:r w:rsidR="00C11F1F">
        <w:t xml:space="preserve"> was the other mainstay of </w:t>
      </w:r>
      <w:r w:rsidR="00CB3028">
        <w:t>Anglo-American trade</w:t>
      </w:r>
      <w:r w:rsidR="00686886">
        <w:t>, but sugar</w:t>
      </w:r>
      <w:r w:rsidR="005A5904">
        <w:t xml:space="preserve"> and tobacco also made their way across the pond</w:t>
      </w:r>
      <w:r w:rsidR="009713AB">
        <w:t xml:space="preserve">. </w:t>
      </w:r>
    </w:p>
    <w:p w14:paraId="11DCB62F" w14:textId="724A9074" w:rsidR="009237A0" w:rsidRDefault="00EB7B0F" w:rsidP="0087070E">
      <w:r>
        <w:t xml:space="preserve">Additionally, positive relations between the United States and the British Isles also allowed unprecedented cooperation between the West and British North America in improving the St. Lawrence River for </w:t>
      </w:r>
      <w:r w:rsidR="002B14D7">
        <w:t>trade</w:t>
      </w:r>
      <w:r w:rsidR="00951619">
        <w:t xml:space="preserve"> through canals and other projects</w:t>
      </w:r>
      <w:r w:rsidR="008D40F2">
        <w:t>; this allowed for</w:t>
      </w:r>
      <w:r w:rsidR="006B701E">
        <w:t xml:space="preserve"> a rush of trade along it, Montreal became a vital entrepot for American commerce from the Great Lakes</w:t>
      </w:r>
      <w:r w:rsidR="006B60B7">
        <w:t xml:space="preserve">, and indeed what was then known as Upper Canada saw American settlement so massive it was virtually an outlying American </w:t>
      </w:r>
      <w:r w:rsidR="005040B0">
        <w:t>state</w:t>
      </w:r>
      <w:r w:rsidR="00BC59AE">
        <w:t>. This boom benefited both the United States and the burgeoning colonies of British North America</w:t>
      </w:r>
      <w:r w:rsidR="00E56EAB">
        <w:t xml:space="preserve"> – while also integrating them into a singular unit</w:t>
      </w:r>
      <w:r w:rsidR="006B701E">
        <w:t>.</w:t>
      </w:r>
      <w:r>
        <w:t xml:space="preserve"> </w:t>
      </w:r>
      <w:r w:rsidR="00231AB3">
        <w:t xml:space="preserve">Thus, the 1830s saw a truly massive rush of American grain onto British markets, and most of this grain came from the </w:t>
      </w:r>
      <w:r w:rsidR="006620F2">
        <w:t xml:space="preserve">West which surged to the opportunity. </w:t>
      </w:r>
      <w:r w:rsidR="00712F35">
        <w:t>Canals</w:t>
      </w:r>
      <w:r w:rsidR="00B07BA6">
        <w:t xml:space="preserve"> made the West far more accessible for export than ever before, as they allowed American farmers</w:t>
      </w:r>
      <w:r w:rsidR="00474B5D">
        <w:t xml:space="preserve"> to export their crop</w:t>
      </w:r>
      <w:r w:rsidR="005408AB">
        <w:t xml:space="preserve"> to hungry European markets</w:t>
      </w:r>
      <w:r w:rsidR="0017114C">
        <w:t xml:space="preserve">; this allowed for </w:t>
      </w:r>
      <w:r w:rsidR="00BA126B">
        <w:t xml:space="preserve">an impressive economic boom across the widths of the nation, </w:t>
      </w:r>
      <w:r w:rsidR="003F0914">
        <w:t xml:space="preserve">to the extent that it could be said that Western grain fuelled the economic boom of the nation of the era. </w:t>
      </w:r>
      <w:r w:rsidR="00830BB8">
        <w:t xml:space="preserve">Ohio, Indiana, and </w:t>
      </w:r>
      <w:r w:rsidR="005319D3">
        <w:t xml:space="preserve">New Ireland truly boomed in this </w:t>
      </w:r>
      <w:r w:rsidR="00244C76">
        <w:t>period, a</w:t>
      </w:r>
      <w:r w:rsidR="00AF4D91">
        <w:t xml:space="preserve">s settlers swarmed them for land of their own to take </w:t>
      </w:r>
      <w:r w:rsidR="00AF4D91">
        <w:lastRenderedPageBreak/>
        <w:t xml:space="preserve">advantage of the boom. </w:t>
      </w:r>
      <w:r w:rsidR="00A65AF3">
        <w:t xml:space="preserve">Thus, this </w:t>
      </w:r>
      <w:r w:rsidR="00E84CE1">
        <w:t>became</w:t>
      </w:r>
      <w:r w:rsidR="00A65AF3">
        <w:t xml:space="preserve"> a period of </w:t>
      </w:r>
      <w:r w:rsidR="00E84CE1">
        <w:t xml:space="preserve">immense </w:t>
      </w:r>
      <w:r w:rsidR="00A65AF3">
        <w:t>prosperity</w:t>
      </w:r>
      <w:r w:rsidR="00F34C49">
        <w:t>, and the</w:t>
      </w:r>
      <w:r w:rsidR="0030163B">
        <w:t xml:space="preserve"> boom brought the frontier westwards - dramatically</w:t>
      </w:r>
      <w:r w:rsidR="00AF4D91">
        <w:t xml:space="preserve">. </w:t>
      </w:r>
    </w:p>
    <w:p w14:paraId="78D0C490" w14:textId="60081DF8" w:rsidR="00112F46" w:rsidRDefault="009B034F" w:rsidP="0087070E">
      <w:r>
        <w:t>Additionally, the United States</w:t>
      </w:r>
      <w:r w:rsidR="00A21E0A">
        <w:t xml:space="preserve"> doubled its territory</w:t>
      </w:r>
      <w:r w:rsidR="008A415E">
        <w:t>, which expanded the very meaning of the West</w:t>
      </w:r>
      <w:r w:rsidR="0029310E">
        <w:t xml:space="preserve"> to include over half of America’s territory</w:t>
      </w:r>
      <w:r w:rsidR="008A415E">
        <w:t xml:space="preserve">. </w:t>
      </w:r>
      <w:r w:rsidR="00B502D6">
        <w:t>The Mississippi</w:t>
      </w:r>
      <w:r w:rsidR="003F09B8">
        <w:t xml:space="preserve"> River</w:t>
      </w:r>
      <w:r w:rsidR="00B502D6">
        <w:t>, which had always been one of the great economic arteries of the nation, had become</w:t>
      </w:r>
      <w:r w:rsidR="000127C5">
        <w:t xml:space="preserve"> entirely American territory; so too did the</w:t>
      </w:r>
      <w:r w:rsidR="000F76B3">
        <w:t xml:space="preserve"> cities of </w:t>
      </w:r>
      <w:r w:rsidR="008243C9">
        <w:t xml:space="preserve">New Orleans and St. Louis. </w:t>
      </w:r>
      <w:r w:rsidR="00B95A51">
        <w:t xml:space="preserve">Though anxieties that dispersal of the population would lead to the nation losing all cohesion meant most of this was blocked for settlement, nevertheless explosive settlement and speculation did proceed. </w:t>
      </w:r>
      <w:r w:rsidR="006964C3">
        <w:t>The years that followed saw a broad economic boom, as the Mississippi became an economic corridor</w:t>
      </w:r>
      <w:r w:rsidR="00D66038">
        <w:t xml:space="preserve"> for trade, helped along the way by </w:t>
      </w:r>
      <w:r w:rsidR="003F09B8">
        <w:t>American efforts to improve it for</w:t>
      </w:r>
      <w:r w:rsidR="003B3E2E">
        <w:t xml:space="preserve"> easier trade</w:t>
      </w:r>
      <w:r w:rsidR="00705F0C">
        <w:t xml:space="preserve">. The conquest of the rapids allowed for </w:t>
      </w:r>
      <w:r w:rsidR="006A330B">
        <w:t>trade from St. Paul to</w:t>
      </w:r>
      <w:r w:rsidR="00297BBC">
        <w:t xml:space="preserve"> </w:t>
      </w:r>
      <w:r w:rsidR="00FA1FB8">
        <w:t>New Orleans; this also seamlessly integrated into the Ohio and Tennessee River networks</w:t>
      </w:r>
      <w:r w:rsidR="001B485F">
        <w:t>, allowing for easy trade of freight, without the use of fuel that trains used</w:t>
      </w:r>
      <w:r w:rsidR="003B3E2E">
        <w:t xml:space="preserve">. </w:t>
      </w:r>
      <w:r w:rsidR="00336FF9">
        <w:t xml:space="preserve">This was the era of the </w:t>
      </w:r>
      <w:r w:rsidR="005A2A1F">
        <w:t xml:space="preserve">much-romanticized </w:t>
      </w:r>
      <w:r w:rsidR="00336FF9">
        <w:t>paddle steamer</w:t>
      </w:r>
      <w:r w:rsidR="003F2349">
        <w:t xml:space="preserve"> travelling both up- and down-river, and this had several consequences. </w:t>
      </w:r>
      <w:r w:rsidR="0001273B">
        <w:t>I</w:t>
      </w:r>
      <w:r w:rsidR="00263D11">
        <w:t xml:space="preserve">t further strengthened the river trade. </w:t>
      </w:r>
    </w:p>
    <w:p w14:paraId="6224E620" w14:textId="25C3A5FE" w:rsidR="009B034F" w:rsidRDefault="00263D11" w:rsidP="0087070E">
      <w:r>
        <w:t xml:space="preserve">Cities like Cincinnati, Louisville, </w:t>
      </w:r>
      <w:r w:rsidR="00CB528C">
        <w:t>Concord</w:t>
      </w:r>
      <w:r w:rsidR="00831113">
        <w:t>, Lexington, and Memphis boomed as they could now more easily use New Orleans as an outlet for their trade</w:t>
      </w:r>
      <w:r w:rsidR="00EE255F">
        <w:t>. St. Louis and New Orleans saw similar booms</w:t>
      </w:r>
      <w:r w:rsidR="00323C24">
        <w:t xml:space="preserve"> thanks to the Mississippi </w:t>
      </w:r>
      <w:r w:rsidR="0001273B">
        <w:t>R</w:t>
      </w:r>
      <w:r w:rsidR="00323C24">
        <w:t>iver trade</w:t>
      </w:r>
      <w:r w:rsidR="00DB3381">
        <w:t>, turning the latter city almost in an instant into one of the grandest cities in the whole nation</w:t>
      </w:r>
      <w:r w:rsidR="00913316">
        <w:t>, and certainly the largest in the whole</w:t>
      </w:r>
      <w:r w:rsidR="00DF5138">
        <w:t xml:space="preserve"> South</w:t>
      </w:r>
      <w:r w:rsidR="00DB3381">
        <w:t xml:space="preserve">. </w:t>
      </w:r>
      <w:r w:rsidR="009F2F8D">
        <w:t>And it allowed for a further boom of settlement</w:t>
      </w:r>
      <w:r w:rsidR="00D275C8">
        <w:t>; Missouri became</w:t>
      </w:r>
      <w:r w:rsidR="00C8258B">
        <w:t xml:space="preserve"> Anglo-majority within two decades of its annexation, and Orleans became the center of a</w:t>
      </w:r>
      <w:r w:rsidR="006D4EFE">
        <w:t xml:space="preserve"> distinctly creole</w:t>
      </w:r>
      <w:r w:rsidR="009006A3">
        <w:t>, Catholic, and</w:t>
      </w:r>
      <w:r w:rsidR="006D4EFE">
        <w:t xml:space="preserve"> Caribbean-focused society</w:t>
      </w:r>
      <w:r w:rsidR="006539A2">
        <w:t xml:space="preserve">, which further immigration fortified rather than </w:t>
      </w:r>
      <w:r w:rsidR="005B0A1B">
        <w:t>defrayed</w:t>
      </w:r>
      <w:r w:rsidR="00A24491">
        <w:t>. Additionally, the annexation of this territory provided the United States the opportunity to deport Indigenous beyond the Mississippi</w:t>
      </w:r>
      <w:r w:rsidR="000D6754">
        <w:t xml:space="preserve">, </w:t>
      </w:r>
      <w:r w:rsidR="0093537F">
        <w:t>with</w:t>
      </w:r>
      <w:r w:rsidR="000D6754">
        <w:t xml:space="preserve"> the</w:t>
      </w:r>
      <w:r w:rsidR="00011923">
        <w:t xml:space="preserve"> less than humanitarian nature of these efforts</w:t>
      </w:r>
      <w:r w:rsidR="00EC4973">
        <w:t xml:space="preserve"> </w:t>
      </w:r>
      <w:r w:rsidR="0093537F">
        <w:t>being</w:t>
      </w:r>
      <w:r w:rsidR="00EC4973">
        <w:t xml:space="preserve"> something</w:t>
      </w:r>
      <w:r w:rsidR="008D5DE9">
        <w:t xml:space="preserve"> most </w:t>
      </w:r>
      <w:r w:rsidR="008D5DE9">
        <w:lastRenderedPageBreak/>
        <w:t>Americans chose to ignore</w:t>
      </w:r>
      <w:r w:rsidR="00332BD2">
        <w:t xml:space="preserve">; this allowed for the expansion of settlement within the </w:t>
      </w:r>
      <w:r w:rsidR="00EF12A4">
        <w:t>old borders</w:t>
      </w:r>
      <w:r w:rsidR="0007486E">
        <w:t xml:space="preserve"> through several land booms</w:t>
      </w:r>
      <w:r w:rsidR="005B0A1B">
        <w:t xml:space="preserve">. </w:t>
      </w:r>
      <w:r w:rsidR="00E228B0">
        <w:t>Thus, the American frontier expanded beyond the Mississippi River</w:t>
      </w:r>
      <w:r w:rsidR="00F34578">
        <w:t>. New Orleans and St. Louis became centers of a trading network expanding well into the still-unsettled territories</w:t>
      </w:r>
      <w:r w:rsidR="001E4B57">
        <w:t xml:space="preserve"> of what was, even then, called</w:t>
      </w:r>
      <w:r w:rsidR="007175A3">
        <w:t xml:space="preserve"> the </w:t>
      </w:r>
      <w:r w:rsidR="003770A3">
        <w:t xml:space="preserve">Interior. </w:t>
      </w:r>
      <w:r w:rsidR="00BC611E">
        <w:t xml:space="preserve">And the nation expanded in sheer scope and scale, </w:t>
      </w:r>
      <w:r w:rsidR="00F700F4">
        <w:t>with its frontiers</w:t>
      </w:r>
      <w:r w:rsidR="002A2296">
        <w:t xml:space="preserve"> stretching beyond what was once </w:t>
      </w:r>
      <w:r w:rsidR="00082ACE">
        <w:t xml:space="preserve">thinkable. </w:t>
      </w:r>
    </w:p>
    <w:p w14:paraId="51FB59A0" w14:textId="3CE798FF" w:rsidR="00112F46" w:rsidRDefault="00A743C3" w:rsidP="0087070E">
      <w:r>
        <w:t xml:space="preserve">But at the same time, this created a sort of Western sectionalism. </w:t>
      </w:r>
      <w:r w:rsidR="0004656D">
        <w:t>The immense influence of the East, through institutions such as the National Bank</w:t>
      </w:r>
      <w:r w:rsidR="007D67BD">
        <w:t xml:space="preserve"> and the Post Office, led many Westerners to view their relationship as fundamentally colonial</w:t>
      </w:r>
      <w:r w:rsidR="00F86950">
        <w:t xml:space="preserve">. </w:t>
      </w:r>
      <w:r w:rsidR="006A7520">
        <w:t xml:space="preserve">The rise of the canal only intensified it, as much of the West became the economic hinterland </w:t>
      </w:r>
      <w:r w:rsidR="00AA01D3">
        <w:t>of the East, especially the booming cities of New York and Washington; this economic integration also saw the downfall of the Western independent press, a</w:t>
      </w:r>
      <w:r w:rsidR="00BE71B2">
        <w:t>s it could not possibly compete with the barrage of books and newspapers coming in from the East.</w:t>
      </w:r>
      <w:r w:rsidR="006A7520">
        <w:t xml:space="preserve"> </w:t>
      </w:r>
      <w:r w:rsidR="00CB30C5">
        <w:t>But it had a cure: w</w:t>
      </w:r>
      <w:r w:rsidR="00C72B10">
        <w:t>ith the</w:t>
      </w:r>
      <w:r w:rsidR="00062964">
        <w:t xml:space="preserve"> </w:t>
      </w:r>
      <w:r w:rsidR="00C72B10">
        <w:t>growing influence of</w:t>
      </w:r>
      <w:r w:rsidR="0096018A">
        <w:t xml:space="preserve"> the West in terms of population, it had the power to affect politics on the national level. </w:t>
      </w:r>
      <w:r w:rsidR="00875988">
        <w:t xml:space="preserve">One response was from Henry Clay, who represented Kentucky – a part of the West, but the older and more established West – who advocated an American </w:t>
      </w:r>
      <w:r w:rsidR="002570BB">
        <w:t xml:space="preserve">System which would </w:t>
      </w:r>
      <w:r w:rsidR="00F322B4">
        <w:t>turn the United States</w:t>
      </w:r>
      <w:r w:rsidR="006E746F">
        <w:t xml:space="preserve"> into</w:t>
      </w:r>
      <w:r w:rsidR="002570BB">
        <w:t xml:space="preserve"> a singular and self-sufficient</w:t>
      </w:r>
      <w:r w:rsidR="00F322B4">
        <w:t xml:space="preserve"> market</w:t>
      </w:r>
      <w:r w:rsidR="002834AD">
        <w:t>, through a system of internal improvements</w:t>
      </w:r>
      <w:r w:rsidR="00B66A78">
        <w:t>,</w:t>
      </w:r>
      <w:r w:rsidR="002834AD">
        <w:t xml:space="preserve"> home manufacture</w:t>
      </w:r>
      <w:r w:rsidR="00B66A78">
        <w:t>, and a new banking infrastructure</w:t>
      </w:r>
      <w:r w:rsidR="00C95C27">
        <w:t xml:space="preserve">. It wanted to turn the East into something which would develop the West in </w:t>
      </w:r>
      <w:r w:rsidR="00DA5919">
        <w:t xml:space="preserve">terms of </w:t>
      </w:r>
      <w:r w:rsidR="00C95C27">
        <w:t>capital and trade</w:t>
      </w:r>
      <w:r w:rsidR="00A82753">
        <w:t xml:space="preserve">. </w:t>
      </w:r>
      <w:r w:rsidR="00A1342F">
        <w:t>T</w:t>
      </w:r>
      <w:r w:rsidR="00A82753">
        <w:t>his</w:t>
      </w:r>
      <w:r w:rsidR="00A1342F">
        <w:t xml:space="preserve"> agenda</w:t>
      </w:r>
      <w:r w:rsidR="00A82753">
        <w:t xml:space="preserve"> certainly had </w:t>
      </w:r>
      <w:r w:rsidR="00D76239">
        <w:t xml:space="preserve">an </w:t>
      </w:r>
      <w:r w:rsidR="00A82753">
        <w:t xml:space="preserve">appeal </w:t>
      </w:r>
      <w:r w:rsidR="00D76239">
        <w:t>in the older West, including his Kentucky, but also Yazoo, Tennessee, and Ohio</w:t>
      </w:r>
      <w:r w:rsidR="00B15D1B">
        <w:t>, and it saw its implementation in the later Harrison years</w:t>
      </w:r>
      <w:r w:rsidR="00B66A78">
        <w:t xml:space="preserve">. </w:t>
      </w:r>
    </w:p>
    <w:p w14:paraId="19C6FCA8" w14:textId="2FA76ADA" w:rsidR="00FD4021" w:rsidRDefault="00506EE6" w:rsidP="0087070E">
      <w:r>
        <w:t>But there was another response, from the newer West, which viewed</w:t>
      </w:r>
      <w:r w:rsidR="00B15D1B">
        <w:t xml:space="preserve"> the East with fear and trepidation</w:t>
      </w:r>
      <w:r w:rsidR="009C123F">
        <w:t>. They did not believe they could develop a working relationship with the East at all</w:t>
      </w:r>
      <w:r w:rsidR="00403B38">
        <w:t>, and so instead they</w:t>
      </w:r>
      <w:r w:rsidR="007E5321">
        <w:t xml:space="preserve"> wanted to mould the federal government in their image</w:t>
      </w:r>
      <w:r w:rsidR="009069FE">
        <w:t xml:space="preserve">. They wanted to, at the very </w:t>
      </w:r>
      <w:r w:rsidR="009069FE">
        <w:lastRenderedPageBreak/>
        <w:t>least, make federal lands easier to purchase</w:t>
      </w:r>
      <w:r w:rsidR="00460DA2">
        <w:t xml:space="preserve">, and at the very most, grant to the states all federal lands within their </w:t>
      </w:r>
      <w:r w:rsidR="00630852">
        <w:t>jurisdiction</w:t>
      </w:r>
      <w:r w:rsidR="00874C4D">
        <w:t xml:space="preserve">; </w:t>
      </w:r>
      <w:r w:rsidR="00460DA2">
        <w:t>they wanted to put an</w:t>
      </w:r>
      <w:r w:rsidR="00874C4D">
        <w:t xml:space="preserve"> </w:t>
      </w:r>
      <w:r w:rsidR="0019338D">
        <w:t xml:space="preserve">end to ideas of </w:t>
      </w:r>
      <w:r w:rsidR="00874C4D">
        <w:t>structured settlement</w:t>
      </w:r>
      <w:r w:rsidR="00460DA2">
        <w:t xml:space="preserve"> </w:t>
      </w:r>
      <w:r w:rsidR="0019338D">
        <w:t>and replace it with land rush</w:t>
      </w:r>
      <w:r w:rsidR="00601161">
        <w:t>es</w:t>
      </w:r>
      <w:r w:rsidR="0019338D">
        <w:t xml:space="preserve">. </w:t>
      </w:r>
      <w:r w:rsidR="009733E5">
        <w:t>They wanted to put an end to the power of the National Bank, which they regarded as a tool to transfer wealth eastwards; instead, they either wanted easy credit or an economy based on metallic bullion</w:t>
      </w:r>
      <w:r w:rsidR="00171185">
        <w:t xml:space="preserve">. Making an alliance with the </w:t>
      </w:r>
      <w:r w:rsidR="002B38C5">
        <w:t>N</w:t>
      </w:r>
      <w:r w:rsidR="00171185">
        <w:t>ullifiers of the South</w:t>
      </w:r>
      <w:r w:rsidR="002B38C5">
        <w:t>,</w:t>
      </w:r>
      <w:r w:rsidR="009733E5">
        <w:t xml:space="preserve"> </w:t>
      </w:r>
      <w:r w:rsidR="002B38C5">
        <w:t>t</w:t>
      </w:r>
      <w:r w:rsidR="00B857BF">
        <w:t xml:space="preserve">his agenda saw itself come to power under </w:t>
      </w:r>
      <w:r w:rsidR="001515A8">
        <w:t>Zebulon Pike, following the 1836 election. However, his presidency</w:t>
      </w:r>
      <w:r w:rsidR="00FA289D">
        <w:t xml:space="preserve"> ended up something of a disaster</w:t>
      </w:r>
      <w:r w:rsidR="00260670">
        <w:t>, and indeed the most extreme</w:t>
      </w:r>
      <w:r w:rsidR="00E13A04">
        <w:t xml:space="preserve"> parts of </w:t>
      </w:r>
      <w:r w:rsidR="005F2BD9">
        <w:t xml:space="preserve">both </w:t>
      </w:r>
      <w:r w:rsidR="00E13A04">
        <w:t xml:space="preserve">the Western </w:t>
      </w:r>
      <w:r w:rsidR="00C10DCE">
        <w:t>and Southern</w:t>
      </w:r>
      <w:r w:rsidR="00E13A04">
        <w:t xml:space="preserve"> agenda</w:t>
      </w:r>
      <w:r w:rsidR="003A0245">
        <w:t>s</w:t>
      </w:r>
      <w:r w:rsidR="00E13A04">
        <w:t xml:space="preserve"> </w:t>
      </w:r>
      <w:r w:rsidR="001D718B">
        <w:t>ended up entirely jettisoned</w:t>
      </w:r>
      <w:r w:rsidR="003A0245">
        <w:t xml:space="preserve"> in the name of electability</w:t>
      </w:r>
      <w:r w:rsidR="00FA289D">
        <w:t xml:space="preserve">. </w:t>
      </w:r>
      <w:r w:rsidR="00CD59C1">
        <w:t xml:space="preserve">Though the causes of the Panic of 1842 remain </w:t>
      </w:r>
      <w:r w:rsidR="00B25BEA">
        <w:t>a topic of much debate</w:t>
      </w:r>
      <w:r w:rsidR="00CD59C1">
        <w:t xml:space="preserve"> today, to most observers</w:t>
      </w:r>
      <w:r w:rsidR="0053759E">
        <w:t xml:space="preserve"> at the time it was to be directly put at his feet. </w:t>
      </w:r>
      <w:r w:rsidR="003C5435">
        <w:t xml:space="preserve">And he failed to </w:t>
      </w:r>
      <w:r w:rsidR="00684596">
        <w:t>enact most of his agenda</w:t>
      </w:r>
      <w:r w:rsidR="001F51EE">
        <w:t>; the National Bank was, if a weake</w:t>
      </w:r>
      <w:r w:rsidR="00B45DBA">
        <w:t>ned</w:t>
      </w:r>
      <w:r w:rsidR="001F51EE">
        <w:t xml:space="preserve"> institution, still extant in this era. </w:t>
      </w:r>
    </w:p>
    <w:p w14:paraId="4850B69B" w14:textId="7E161C90" w:rsidR="00112F46" w:rsidRDefault="00657B63" w:rsidP="0087070E">
      <w:r>
        <w:t xml:space="preserve">The election of Daniel Webster in 1844 was a repudiation of this </w:t>
      </w:r>
      <w:r w:rsidR="00E52D95">
        <w:t>extreme western</w:t>
      </w:r>
      <w:r w:rsidR="00641D88">
        <w:t xml:space="preserve"> sectionalism</w:t>
      </w:r>
      <w:r w:rsidR="00BA1C89">
        <w:t xml:space="preserve"> – but it was not the end of the </w:t>
      </w:r>
      <w:r w:rsidR="00623490">
        <w:t xml:space="preserve">prominence of the West. </w:t>
      </w:r>
      <w:r w:rsidR="00882519">
        <w:t xml:space="preserve">His election was the product of an alliance between the </w:t>
      </w:r>
      <w:r w:rsidR="00E51D49">
        <w:t xml:space="preserve">Northeast and the West, linked by bonds of </w:t>
      </w:r>
      <w:r w:rsidR="00683BF5">
        <w:t>free</w:t>
      </w:r>
      <w:r w:rsidR="00A839DF">
        <w:t>-</w:t>
      </w:r>
      <w:r w:rsidR="00683BF5">
        <w:t xml:space="preserve">soil and </w:t>
      </w:r>
      <w:r w:rsidR="00D75479">
        <w:t>desires to restore economic prosperity</w:t>
      </w:r>
      <w:r w:rsidR="00DE1CA4">
        <w:t>, and it was the beginning of</w:t>
      </w:r>
      <w:r w:rsidR="00323A63">
        <w:t xml:space="preserve"> the transformation of much of the West</w:t>
      </w:r>
      <w:r w:rsidR="00EB67B4">
        <w:t xml:space="preserve"> into a part of the North</w:t>
      </w:r>
      <w:r w:rsidR="00D75479">
        <w:t xml:space="preserve">. </w:t>
      </w:r>
      <w:r w:rsidR="00E45070">
        <w:t>And when he did become president</w:t>
      </w:r>
      <w:r w:rsidR="004427E5">
        <w:t xml:space="preserve">, the pork-and-barrel spending he inaugurated </w:t>
      </w:r>
      <w:r w:rsidR="00407C4A">
        <w:t xml:space="preserve">was directed to the West – albeit the </w:t>
      </w:r>
      <w:r w:rsidR="001716C9">
        <w:t xml:space="preserve">existing, mature </w:t>
      </w:r>
      <w:r w:rsidR="00166DBC">
        <w:t>W</w:t>
      </w:r>
      <w:r w:rsidR="001716C9">
        <w:t>est</w:t>
      </w:r>
      <w:r w:rsidR="00A35DAB">
        <w:t xml:space="preserve"> – which served to fortify it</w:t>
      </w:r>
      <w:r w:rsidR="001716C9">
        <w:t xml:space="preserve">. </w:t>
      </w:r>
      <w:r w:rsidR="001D64D5">
        <w:t>The National Bank system, inaugurated by its renewal, included a new railroad network spanning much of the West</w:t>
      </w:r>
      <w:r w:rsidR="007C5993">
        <w:t>, allowing for new conduits for trade</w:t>
      </w:r>
      <w:r w:rsidR="001D64D5">
        <w:t xml:space="preserve">. </w:t>
      </w:r>
      <w:r w:rsidR="00815EBE">
        <w:t>The pattern it imposed was of a hub-and-spoke model, which consisted of</w:t>
      </w:r>
      <w:r w:rsidR="00E702F5">
        <w:t xml:space="preserve"> several </w:t>
      </w:r>
      <w:r w:rsidR="00857D40">
        <w:t>terminals</w:t>
      </w:r>
      <w:r w:rsidR="00E702F5">
        <w:t xml:space="preserve"> </w:t>
      </w:r>
      <w:r w:rsidR="00857D40">
        <w:t>in</w:t>
      </w:r>
      <w:r w:rsidR="00E702F5">
        <w:t xml:space="preserve"> the large existing</w:t>
      </w:r>
      <w:r w:rsidR="00857D40">
        <w:t xml:space="preserve"> cities and much smaller feeder lines to </w:t>
      </w:r>
      <w:r w:rsidR="00BF3AAE">
        <w:t>smaller towns; this meant</w:t>
      </w:r>
      <w:r w:rsidR="00B91951">
        <w:t xml:space="preserve"> it fortified the existing</w:t>
      </w:r>
      <w:r w:rsidR="00836077">
        <w:t xml:space="preserve"> cities over the smaller ones.</w:t>
      </w:r>
      <w:r w:rsidR="006A63C3">
        <w:t xml:space="preserve"> This meant several things: </w:t>
      </w:r>
      <w:r w:rsidR="00735431">
        <w:t xml:space="preserve">markets tended to be centralized around the </w:t>
      </w:r>
      <w:r w:rsidR="00C41BE5">
        <w:t>cities with large termini, and</w:t>
      </w:r>
      <w:r w:rsidR="00672073">
        <w:t xml:space="preserve"> those cities also became centers of profligate speculation.</w:t>
      </w:r>
      <w:r w:rsidR="00836077">
        <w:t xml:space="preserve"> </w:t>
      </w:r>
      <w:r w:rsidR="002179ED">
        <w:t>Th</w:t>
      </w:r>
      <w:r w:rsidR="007A205D">
        <w:t>at th</w:t>
      </w:r>
      <w:r w:rsidR="002179ED">
        <w:t>e railroad was</w:t>
      </w:r>
      <w:r w:rsidR="007E0474">
        <w:t xml:space="preserve"> faster than the </w:t>
      </w:r>
      <w:r w:rsidR="007A205D">
        <w:lastRenderedPageBreak/>
        <w:t xml:space="preserve">canal, and </w:t>
      </w:r>
      <w:r w:rsidR="007B5138">
        <w:t>that it entirely avoided</w:t>
      </w:r>
      <w:r w:rsidR="0038628D">
        <w:t xml:space="preserve"> the issue of travelling upriver, meant that</w:t>
      </w:r>
      <w:r w:rsidR="007B74EB">
        <w:t xml:space="preserve"> it allowed for goods to be exported that would otherwise perish</w:t>
      </w:r>
      <w:r w:rsidR="003326C2">
        <w:t xml:space="preserve">. </w:t>
      </w:r>
    </w:p>
    <w:p w14:paraId="2FF4E2D7" w14:textId="58309B88" w:rsidR="00657B63" w:rsidRDefault="00836077" w:rsidP="0087070E">
      <w:r>
        <w:t>It must come to no surprise that this era saw Cincinnati become</w:t>
      </w:r>
      <w:r w:rsidR="007C5993">
        <w:t xml:space="preserve"> the second-largest city in the nation</w:t>
      </w:r>
      <w:r w:rsidR="00F76349">
        <w:t>, as a part of the better-established West which served as a chokepoint for most</w:t>
      </w:r>
      <w:r w:rsidR="004B215C">
        <w:t xml:space="preserve"> settlement</w:t>
      </w:r>
      <w:r w:rsidR="00461ABB">
        <w:t xml:space="preserve"> as well as a stop in the trade </w:t>
      </w:r>
      <w:r w:rsidR="008C1BE5">
        <w:t>from further West to</w:t>
      </w:r>
      <w:r w:rsidR="00461ABB">
        <w:t xml:space="preserve"> both New York and Cincinnati</w:t>
      </w:r>
      <w:r w:rsidR="007C5993">
        <w:t xml:space="preserve">; that it had one of the oldest railroad </w:t>
      </w:r>
      <w:r w:rsidR="00CD5700">
        <w:t>connections</w:t>
      </w:r>
      <w:r w:rsidR="007C5993">
        <w:t xml:space="preserve">, meant it took advantage of </w:t>
      </w:r>
      <w:r w:rsidR="00017AE8">
        <w:t xml:space="preserve">the new opportunities it granted </w:t>
      </w:r>
      <w:r w:rsidR="00311AAB">
        <w:t>early</w:t>
      </w:r>
      <w:r w:rsidR="00906283">
        <w:t xml:space="preserve">, and under the National Bank system it became the </w:t>
      </w:r>
      <w:r w:rsidR="00BF45E7">
        <w:t>site of several</w:t>
      </w:r>
      <w:r w:rsidR="005D1A29">
        <w:t xml:space="preserve"> feeder lines</w:t>
      </w:r>
      <w:r w:rsidR="00B25608">
        <w:t>, which fundamentally made those locations dependent on</w:t>
      </w:r>
      <w:r w:rsidR="00DD114E">
        <w:t xml:space="preserve"> Cincinnati itself</w:t>
      </w:r>
      <w:r w:rsidR="00017AE8">
        <w:t xml:space="preserve">. </w:t>
      </w:r>
      <w:r w:rsidR="00721B82">
        <w:t>Additionally, this era also saw</w:t>
      </w:r>
      <w:r w:rsidR="00FA38B5">
        <w:t xml:space="preserve"> St. Louis become </w:t>
      </w:r>
      <w:r w:rsidR="00BB3B14">
        <w:t>important as a stop for stevedores to translate river shipping to the rail, or vice versa</w:t>
      </w:r>
      <w:r w:rsidR="005313E3">
        <w:t xml:space="preserve">, </w:t>
      </w:r>
      <w:r w:rsidR="0076033D">
        <w:t>and that it was already an important site for shipping made</w:t>
      </w:r>
      <w:r w:rsidR="005313E3">
        <w:t xml:space="preserve"> it an obvious terminus for many segments of the </w:t>
      </w:r>
      <w:r w:rsidR="004368E1">
        <w:t xml:space="preserve">burgeoning railroad network; the years that followed saw it become </w:t>
      </w:r>
      <w:r w:rsidR="00034D7F">
        <w:t xml:space="preserve">a large and booming city. </w:t>
      </w:r>
      <w:r w:rsidR="00935C93">
        <w:t xml:space="preserve">Even further south, the railroad inaugurated </w:t>
      </w:r>
      <w:r w:rsidR="00A52C58">
        <w:t>concentrated settlement and urbanization</w:t>
      </w:r>
      <w:r w:rsidR="009F3AFD">
        <w:t>, as they became obvious places for plantations to sell their wares</w:t>
      </w:r>
      <w:r w:rsidR="007D788C">
        <w:t>. It was in this period that Memphis became the large metropolis it is today</w:t>
      </w:r>
      <w:r w:rsidR="009F3AFD">
        <w:t xml:space="preserve">. </w:t>
      </w:r>
      <w:r w:rsidR="00BA7EE4">
        <w:t xml:space="preserve">Beyond this, in the oldest parts of the West, industrial development was </w:t>
      </w:r>
      <w:proofErr w:type="gramStart"/>
      <w:r w:rsidR="00BA7EE4">
        <w:t>beginning:</w:t>
      </w:r>
      <w:proofErr w:type="gramEnd"/>
      <w:r w:rsidR="00BA7EE4">
        <w:t xml:space="preserve"> Ohio, Kentucky, and New Ireland</w:t>
      </w:r>
      <w:r w:rsidR="0091225D">
        <w:t xml:space="preserve"> saw large-scale National Bank investment in manufacturing, </w:t>
      </w:r>
      <w:r w:rsidR="00136177">
        <w:t xml:space="preserve">which only served to </w:t>
      </w:r>
      <w:r w:rsidR="003651BC">
        <w:t>enhance urbanization and establish a modern</w:t>
      </w:r>
      <w:r w:rsidR="00B709B2">
        <w:t xml:space="preserve"> industrial economy. </w:t>
      </w:r>
    </w:p>
    <w:p w14:paraId="7883FD40" w14:textId="3CCC5725" w:rsidR="00112F46" w:rsidRDefault="007C2FF8" w:rsidP="0087070E">
      <w:r>
        <w:t>It would be the latter point which</w:t>
      </w:r>
      <w:r w:rsidR="00734C56">
        <w:t xml:space="preserve"> transformed the West. </w:t>
      </w:r>
      <w:r w:rsidR="00732AC1">
        <w:t xml:space="preserve">Ohio, New Ireland, and Kentucky became </w:t>
      </w:r>
      <w:proofErr w:type="gramStart"/>
      <w:r w:rsidR="008B70AA">
        <w:t>increasingly-urban</w:t>
      </w:r>
      <w:proofErr w:type="gramEnd"/>
      <w:r w:rsidR="008B70AA">
        <w:t xml:space="preserve"> societies which resembled less their agrarian pasts than </w:t>
      </w:r>
      <w:r w:rsidR="00676994">
        <w:t>their urbanized Eastern neighbors.</w:t>
      </w:r>
      <w:r w:rsidR="009076CC">
        <w:t xml:space="preserve"> To construct railroads in the first place, they needed to construct foundries, import or</w:t>
      </w:r>
      <w:r w:rsidR="00927C29">
        <w:t xml:space="preserve"> excavate iron, </w:t>
      </w:r>
      <w:r w:rsidR="00546BEA">
        <w:t xml:space="preserve">and employ people to lay out the rail </w:t>
      </w:r>
      <w:r w:rsidR="00C01BE7">
        <w:t>and construct the new railroad terminals; in total, one tenth of working Americans were employed constructing railroads, and once they were done most of them got employment in</w:t>
      </w:r>
      <w:r w:rsidR="006A3B8E">
        <w:t xml:space="preserve"> the </w:t>
      </w:r>
      <w:r w:rsidR="002D1C9A">
        <w:t>new factories that had sprung up</w:t>
      </w:r>
      <w:r w:rsidR="002653C2">
        <w:t xml:space="preserve"> to </w:t>
      </w:r>
      <w:r w:rsidR="002653C2">
        <w:lastRenderedPageBreak/>
        <w:t>construct the railroads in the first place</w:t>
      </w:r>
      <w:r w:rsidR="00D40422">
        <w:rPr>
          <w:rStyle w:val="EndnoteReference"/>
        </w:rPr>
        <w:endnoteReference w:id="187"/>
      </w:r>
      <w:r w:rsidR="00353283">
        <w:t>.</w:t>
      </w:r>
      <w:r w:rsidR="00676994">
        <w:t xml:space="preserve"> </w:t>
      </w:r>
      <w:r w:rsidR="00533BEB">
        <w:t xml:space="preserve">Miami, Sandusky, Cincinnati, Louisville, and Lexington became large centers, no longer market towns but places of </w:t>
      </w:r>
      <w:proofErr w:type="gramStart"/>
      <w:r w:rsidR="00533BEB">
        <w:t>production in their own right, which</w:t>
      </w:r>
      <w:proofErr w:type="gramEnd"/>
      <w:r w:rsidR="00EE0A6D">
        <w:t xml:space="preserve"> served markets across the nation</w:t>
      </w:r>
      <w:r w:rsidR="00072CF1">
        <w:t xml:space="preserve"> – and thanks to the railroad and the steamboat, well beyond</w:t>
      </w:r>
      <w:r w:rsidR="00EE0A6D">
        <w:t xml:space="preserve">. </w:t>
      </w:r>
      <w:r w:rsidR="00286FD0">
        <w:t>The West was increasingly becoming the Middle West – a</w:t>
      </w:r>
      <w:r w:rsidR="00EB3A8D">
        <w:t xml:space="preserve">n industrial foundry which offered goods for the world – and </w:t>
      </w:r>
      <w:r w:rsidR="00443D4E">
        <w:t xml:space="preserve">this proved momentous. </w:t>
      </w:r>
      <w:r w:rsidR="00677864">
        <w:t xml:space="preserve">But another thing this did was that it broke Western sectionalism. Increasingly, Ohio and Tennessee no longer saw themselves as part of one singular </w:t>
      </w:r>
      <w:r w:rsidR="00ED11CF">
        <w:t xml:space="preserve">West; </w:t>
      </w:r>
      <w:proofErr w:type="gramStart"/>
      <w:r w:rsidR="00ED11CF">
        <w:t>instead</w:t>
      </w:r>
      <w:proofErr w:type="gramEnd"/>
      <w:r w:rsidR="00ED11CF">
        <w:t xml:space="preserve"> they saw themselves as </w:t>
      </w:r>
      <w:r w:rsidR="003E6BFE">
        <w:t>parts of the North</w:t>
      </w:r>
      <w:r w:rsidR="00022FD0">
        <w:t xml:space="preserve"> or </w:t>
      </w:r>
      <w:r w:rsidR="003E6BFE">
        <w:t xml:space="preserve">the South. </w:t>
      </w:r>
      <w:r w:rsidR="001D76E3">
        <w:t xml:space="preserve">This was the result of another change wrapping the </w:t>
      </w:r>
      <w:r w:rsidR="00377560">
        <w:t xml:space="preserve">nation. </w:t>
      </w:r>
    </w:p>
    <w:p w14:paraId="0E2F10D5" w14:textId="6BC8C68D" w:rsidR="002179ED" w:rsidRDefault="00DB33B9" w:rsidP="0087070E">
      <w:r>
        <w:t xml:space="preserve">With the trans-Caribbean slave trade blocked by the War of Danish Succession and the New </w:t>
      </w:r>
      <w:proofErr w:type="spellStart"/>
      <w:r>
        <w:t>Granadine</w:t>
      </w:r>
      <w:proofErr w:type="spellEnd"/>
      <w:r>
        <w:t xml:space="preserve"> War of Independence, </w:t>
      </w:r>
      <w:r w:rsidR="008311BA">
        <w:t>instead slave-breeders sold their slaves domestically</w:t>
      </w:r>
      <w:r w:rsidR="00543758">
        <w:t>. In a quite abhorrent case of</w:t>
      </w:r>
      <w:r w:rsidR="00804388">
        <w:t xml:space="preserve"> the force of the market, this led to the price of the slave crashing</w:t>
      </w:r>
      <w:r w:rsidR="008311BA">
        <w:t xml:space="preserve">. </w:t>
      </w:r>
      <w:r w:rsidR="00FB79CD">
        <w:t xml:space="preserve">This allowed for a large expansion of slavery within the South, as plantations grew at the expense of </w:t>
      </w:r>
      <w:r w:rsidR="009735E7">
        <w:t xml:space="preserve">poor white freeholds; additionally, planters used their control of state institutions to grow their plantations. </w:t>
      </w:r>
      <w:r w:rsidR="005C35C6">
        <w:t xml:space="preserve">Within the </w:t>
      </w:r>
      <w:r w:rsidR="00801227">
        <w:t xml:space="preserve">halls of manufacture, poor whites found themselves losing their jobs, and instead slaves found themselves doing most jobs. </w:t>
      </w:r>
      <w:r w:rsidR="00294077">
        <w:t>This expansion of slavery was decisive in Tennessee, Missouri</w:t>
      </w:r>
      <w:r w:rsidR="0004269C">
        <w:t>, Illinois</w:t>
      </w:r>
      <w:r w:rsidR="00692F4F">
        <w:t xml:space="preserve">, and even much of </w:t>
      </w:r>
      <w:r w:rsidR="007D0385">
        <w:t>Kentucky</w:t>
      </w:r>
      <w:r w:rsidR="00445992">
        <w:t>, turning them from frontier societies which merely contained a lot of slavery, into true slave societies</w:t>
      </w:r>
      <w:r w:rsidR="00ED16EC">
        <w:rPr>
          <w:rStyle w:val="EndnoteReference"/>
        </w:rPr>
        <w:endnoteReference w:id="188"/>
      </w:r>
      <w:r w:rsidR="00445992">
        <w:t xml:space="preserve">. </w:t>
      </w:r>
      <w:r w:rsidR="00714BD1">
        <w:t xml:space="preserve">In past times, they valued a sort of white settler democracy, but now they increasingly </w:t>
      </w:r>
      <w:r w:rsidR="005B14FA">
        <w:t xml:space="preserve">found themselves becoming </w:t>
      </w:r>
      <w:r w:rsidR="00A572C6">
        <w:t>dominated by quasi-feudal oligarchies</w:t>
      </w:r>
      <w:r w:rsidR="00AC32FA">
        <w:t>; those poor whites who wanted</w:t>
      </w:r>
      <w:r w:rsidR="00C161B1">
        <w:t xml:space="preserve"> not to be forced onto the margins of society, had to instead</w:t>
      </w:r>
      <w:r w:rsidR="00661E36">
        <w:t xml:space="preserve"> move elsewhere</w:t>
      </w:r>
      <w:r w:rsidR="00A572C6">
        <w:t xml:space="preserve">. </w:t>
      </w:r>
      <w:r w:rsidR="003F09C6">
        <w:t>This also decidedly meant the Mississippi</w:t>
      </w:r>
      <w:r w:rsidR="005539B9">
        <w:t xml:space="preserve"> was dominated by slavery</w:t>
      </w:r>
      <w:r w:rsidR="001B5AFD">
        <w:t>, as plantations</w:t>
      </w:r>
      <w:r w:rsidR="009B474C">
        <w:t xml:space="preserve"> grew across it all the way up to </w:t>
      </w:r>
      <w:r w:rsidR="00AD298F">
        <w:t xml:space="preserve">Illinois; that it </w:t>
      </w:r>
      <w:r w:rsidR="0005348B">
        <w:t>was, then as now,</w:t>
      </w:r>
      <w:r w:rsidR="00AD298F">
        <w:t xml:space="preserve"> </w:t>
      </w:r>
      <w:r w:rsidR="00464939">
        <w:t>America’s largest</w:t>
      </w:r>
      <w:r w:rsidR="00414F28">
        <w:t xml:space="preserve"> commercial artery, only placed slavery at the very heart of the American nation.</w:t>
      </w:r>
      <w:r w:rsidR="003F09C6">
        <w:t xml:space="preserve"> </w:t>
      </w:r>
      <w:r w:rsidR="00AC32FA">
        <w:t xml:space="preserve">And what this meant was that the Southwest now looked not to Americans north of the Ohio </w:t>
      </w:r>
      <w:r w:rsidR="00661E36">
        <w:t xml:space="preserve">for their cues, but instead to </w:t>
      </w:r>
      <w:r w:rsidR="009001E1">
        <w:lastRenderedPageBreak/>
        <w:t xml:space="preserve">Savannah, or to Charleston. </w:t>
      </w:r>
      <w:r w:rsidR="001D5CA9">
        <w:t>Similarly</w:t>
      </w:r>
      <w:r w:rsidR="009001E1">
        <w:t xml:space="preserve">, </w:t>
      </w:r>
      <w:r w:rsidR="0004269C">
        <w:t xml:space="preserve">in the Northwest </w:t>
      </w:r>
      <w:r w:rsidR="00191550">
        <w:t>many looked to New York or Boston</w:t>
      </w:r>
      <w:r w:rsidR="00454CCA">
        <w:t>, where they were linked not only with the canal, but with the railroad</w:t>
      </w:r>
      <w:r w:rsidR="00191550">
        <w:t xml:space="preserve">. </w:t>
      </w:r>
    </w:p>
    <w:p w14:paraId="20C6BA90" w14:textId="262D50BC" w:rsidR="007D55C0" w:rsidRDefault="007C56BA" w:rsidP="0087070E">
      <w:r>
        <w:t>This hardly meant the end of western ties – a lot of trade continued</w:t>
      </w:r>
      <w:r w:rsidR="00202D5D">
        <w:t xml:space="preserve"> from North to South through the Mississippi, </w:t>
      </w:r>
      <w:r w:rsidR="001E32C7">
        <w:t>there were still many Westerners who viewed those across the Ohio River as kin</w:t>
      </w:r>
      <w:r w:rsidR="00E52832">
        <w:t>, and indeed there were many who travelled between the North and South</w:t>
      </w:r>
      <w:r w:rsidR="00940A5D">
        <w:t xml:space="preserve"> </w:t>
      </w:r>
      <w:r w:rsidR="00312B02">
        <w:t>through the large rail and river networks</w:t>
      </w:r>
      <w:r w:rsidR="001E32C7">
        <w:t xml:space="preserve">. </w:t>
      </w:r>
      <w:r w:rsidR="0059458C">
        <w:t xml:space="preserve">Indeed, for all that Cincinnati and Louisville were separated by the </w:t>
      </w:r>
      <w:r w:rsidR="00C669E9">
        <w:t xml:space="preserve">Ohio River, they were still quite closely connected, and they </w:t>
      </w:r>
      <w:r w:rsidR="00696440">
        <w:t xml:space="preserve">still </w:t>
      </w:r>
      <w:r w:rsidR="00C669E9">
        <w:t>view</w:t>
      </w:r>
      <w:r w:rsidR="00696440">
        <w:t>ed</w:t>
      </w:r>
      <w:r w:rsidR="00C669E9">
        <w:t xml:space="preserve"> each other as kin</w:t>
      </w:r>
      <w:r w:rsidR="00417EE5">
        <w:rPr>
          <w:rStyle w:val="EndnoteReference"/>
        </w:rPr>
        <w:endnoteReference w:id="189"/>
      </w:r>
      <w:r w:rsidR="00F7638D">
        <w:t>. And there still was a sort of border country</w:t>
      </w:r>
      <w:r w:rsidR="00743873">
        <w:t xml:space="preserve"> between North and South</w:t>
      </w:r>
      <w:r w:rsidR="00F7638D">
        <w:t>, including large swathes of Indiana, Illinois</w:t>
      </w:r>
      <w:r w:rsidR="00AB4A6D">
        <w:t>, and Kentucky</w:t>
      </w:r>
      <w:r w:rsidR="00C669E9">
        <w:t xml:space="preserve">. </w:t>
      </w:r>
      <w:r w:rsidR="001312F3">
        <w:t xml:space="preserve">But </w:t>
      </w:r>
      <w:r w:rsidR="00AB4A6D">
        <w:t xml:space="preserve">this </w:t>
      </w:r>
      <w:r w:rsidR="00871A73">
        <w:t xml:space="preserve">pro-compromise country </w:t>
      </w:r>
      <w:r w:rsidR="00C609E6">
        <w:t xml:space="preserve">was </w:t>
      </w:r>
      <w:r w:rsidR="00AB4A6D">
        <w:t>greatly diminished</w:t>
      </w:r>
      <w:r w:rsidR="00936F18">
        <w:t xml:space="preserve"> in size</w:t>
      </w:r>
      <w:r w:rsidR="00C609E6">
        <w:t xml:space="preserve">, and the governments of those areas had </w:t>
      </w:r>
      <w:r w:rsidR="000648A1">
        <w:t>broadly</w:t>
      </w:r>
      <w:r w:rsidR="009155F8">
        <w:t xml:space="preserve"> fallen </w:t>
      </w:r>
      <w:r w:rsidR="002B7CD7">
        <w:t>to sectionalists</w:t>
      </w:r>
      <w:r w:rsidR="00AB4A6D">
        <w:t>. It</w:t>
      </w:r>
      <w:r w:rsidR="001312F3">
        <w:t xml:space="preserve"> did remove a source of pro-compromise sentiment, and it did polarize the nation between North and South. </w:t>
      </w:r>
      <w:r w:rsidR="008F008A">
        <w:t>This did not m</w:t>
      </w:r>
      <w:r w:rsidR="007C3D63">
        <w:t xml:space="preserve">ean a civil war by itself, but it did make it likelier. </w:t>
      </w:r>
      <w:r w:rsidR="00221118">
        <w:t>And it meant that, in the sectional crises of the future, the systems which brought the Union from the verge, would</w:t>
      </w:r>
      <w:r w:rsidR="007D2849">
        <w:t xml:space="preserve"> not exist </w:t>
      </w:r>
      <w:r w:rsidR="00E16D2B">
        <w:t>anymore</w:t>
      </w:r>
      <w:r w:rsidR="007D2849">
        <w:t xml:space="preserve">. </w:t>
      </w:r>
    </w:p>
    <w:p w14:paraId="19717B2F" w14:textId="5D59AED4" w:rsidR="00E16D2B" w:rsidRPr="0087070E" w:rsidRDefault="00E16D2B" w:rsidP="0087070E">
      <w:r>
        <w:t>Thus, Daniel Webster saw much of the structure of the United States</w:t>
      </w:r>
      <w:r w:rsidR="00843F66">
        <w:t xml:space="preserve"> come to be. He saw a North and a South which stretched across the West, and he saw</w:t>
      </w:r>
      <w:r w:rsidR="00D65399">
        <w:t xml:space="preserve"> </w:t>
      </w:r>
      <w:r w:rsidR="0066723A">
        <w:t>the nation</w:t>
      </w:r>
      <w:r w:rsidR="00D65399">
        <w:t xml:space="preserve"> increasingly</w:t>
      </w:r>
      <w:r w:rsidR="0066723A">
        <w:t xml:space="preserve"> become</w:t>
      </w:r>
      <w:r w:rsidR="00D65399">
        <w:t xml:space="preserve"> industrial</w:t>
      </w:r>
      <w:r w:rsidR="003E1D68">
        <w:t>ized</w:t>
      </w:r>
      <w:r w:rsidR="00D65399">
        <w:t>, with people increasingly concentrated in cities</w:t>
      </w:r>
      <w:r w:rsidR="009D0B1B">
        <w:t xml:space="preserve"> connected by railroads and </w:t>
      </w:r>
      <w:r w:rsidR="00AE5F48">
        <w:t xml:space="preserve">canals. </w:t>
      </w:r>
      <w:r w:rsidR="000B653B">
        <w:t xml:space="preserve">Cincinnati and St. Louis were growing from almost nothing into what were, </w:t>
      </w:r>
      <w:r w:rsidR="00080FC6">
        <w:t>by the standards of</w:t>
      </w:r>
      <w:r w:rsidR="000B653B">
        <w:t xml:space="preserve"> the time, massive cities. </w:t>
      </w:r>
      <w:r w:rsidR="009C2F18">
        <w:t xml:space="preserve">And he saw industrial goods come pouring out, rivalling those produced in Europe. </w:t>
      </w:r>
      <w:r w:rsidR="00B54F15">
        <w:t xml:space="preserve">The United States was no longer </w:t>
      </w:r>
      <w:r w:rsidR="00876203">
        <w:t>a</w:t>
      </w:r>
      <w:r w:rsidR="002C351A">
        <w:t>n agrarian community, shaped by independent farmers and planters; those elements still existed, but they were increasingly overshadowed by</w:t>
      </w:r>
      <w:r w:rsidR="00815665">
        <w:t xml:space="preserve"> the rising factories of the nation. </w:t>
      </w:r>
      <w:r w:rsidR="00245BC8">
        <w:t>Instead, it was a nation of industry</w:t>
      </w:r>
      <w:r w:rsidR="00FC09A7">
        <w:t xml:space="preserve"> –</w:t>
      </w:r>
      <w:r w:rsidR="00245BC8">
        <w:t xml:space="preserve"> industry that was growing in two distinct paths</w:t>
      </w:r>
      <w:r w:rsidR="00DD1552">
        <w:t>, with a distinct geographic divide</w:t>
      </w:r>
      <w:r w:rsidR="00DB11F8">
        <w:t xml:space="preserve"> – and room for </w:t>
      </w:r>
      <w:r w:rsidR="0005565C">
        <w:t xml:space="preserve">districts </w:t>
      </w:r>
      <w:r w:rsidR="00DB11F8">
        <w:t xml:space="preserve">states, and thus people, </w:t>
      </w:r>
      <w:r w:rsidR="00DB11F8">
        <w:lastRenderedPageBreak/>
        <w:t>who could intermediate between the two</w:t>
      </w:r>
      <w:r w:rsidR="00F26C8A">
        <w:t>,</w:t>
      </w:r>
      <w:r w:rsidR="00DB11F8">
        <w:t xml:space="preserve"> was collapsing</w:t>
      </w:r>
      <w:r w:rsidR="00245BC8">
        <w:t xml:space="preserve">. </w:t>
      </w:r>
      <w:r w:rsidR="00FC09A7">
        <w:t xml:space="preserve">And this would ultimately have momentous consequences in the years to come. </w:t>
      </w:r>
    </w:p>
    <w:p w14:paraId="6751C874" w14:textId="107D2A10" w:rsidR="0090396B" w:rsidRDefault="0090396B" w:rsidP="0090396B">
      <w:r>
        <w:br w:type="page"/>
      </w:r>
    </w:p>
    <w:p w14:paraId="672B462B" w14:textId="77777777" w:rsidR="00013E59" w:rsidRDefault="00013E59" w:rsidP="00013E59"/>
    <w:p w14:paraId="73E33F24" w14:textId="77777777" w:rsidR="0090396B" w:rsidRDefault="0090396B" w:rsidP="00013E59">
      <w:pPr>
        <w:sectPr w:rsidR="0090396B" w:rsidSect="00013E59">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FFA304D" w14:textId="77777777" w:rsidR="00013E59" w:rsidRDefault="00013E59" w:rsidP="00013E59">
      <w:r>
        <w:br w:type="page"/>
      </w:r>
    </w:p>
    <w:p w14:paraId="6C409B78" w14:textId="4582582E" w:rsidR="00240A28" w:rsidRDefault="00240A28" w:rsidP="00240A28">
      <w:pPr>
        <w:pStyle w:val="Heading1"/>
      </w:pPr>
      <w:bookmarkStart w:id="48" w:name="_Toc202006236"/>
      <w:r>
        <w:lastRenderedPageBreak/>
        <w:t>3</w:t>
      </w:r>
      <w:r w:rsidR="009950B4">
        <w:t>7</w:t>
      </w:r>
      <w:r>
        <w:t xml:space="preserve">. </w:t>
      </w:r>
      <w:r w:rsidR="00847A11">
        <w:t xml:space="preserve">The </w:t>
      </w:r>
      <w:r w:rsidR="000D210E">
        <w:t>Zenith of the Nation</w:t>
      </w:r>
      <w:bookmarkEnd w:id="48"/>
    </w:p>
    <w:p w14:paraId="14CD2A91" w14:textId="44CDE9C8" w:rsidR="00AB55A1" w:rsidRDefault="008C3E51" w:rsidP="00AB55A1">
      <w:r>
        <w:t xml:space="preserve">With the end of the </w:t>
      </w:r>
      <w:r w:rsidR="005C0416">
        <w:t xml:space="preserve">Second </w:t>
      </w:r>
      <w:r>
        <w:t xml:space="preserve">Nullification Crisis, </w:t>
      </w:r>
      <w:r w:rsidR="00840A74">
        <w:t xml:space="preserve">President Webster regarded this as an opportunity. </w:t>
      </w:r>
      <w:r w:rsidR="009210B4">
        <w:t xml:space="preserve">Though to prevent resentment from rising, he </w:t>
      </w:r>
      <w:r w:rsidR="00F37FA7">
        <w:t xml:space="preserve">launched a tour across the South, he nevertheless saw that the Planter Ascendancy was weaker than ever before. </w:t>
      </w:r>
      <w:r w:rsidR="00A4075E">
        <w:t>His tour across the South, where he encountered cheering crowds</w:t>
      </w:r>
      <w:r w:rsidR="00307725">
        <w:t>,</w:t>
      </w:r>
      <w:r w:rsidR="00A4075E">
        <w:t xml:space="preserve"> </w:t>
      </w:r>
      <w:r w:rsidR="00307725">
        <w:t xml:space="preserve">which were only too happy to see “Godlike Daniel” speak. </w:t>
      </w:r>
      <w:r w:rsidR="00566241">
        <w:t xml:space="preserve">To be sure, there were still those who were unhappy with him – the South Carolinian government pointedly refused to </w:t>
      </w:r>
      <w:r w:rsidR="00E61C30">
        <w:t xml:space="preserve">greet him – but everywhere he went, crowds arrived, became spellbound by his speeches, and he successfully unified the nation wherever he went. </w:t>
      </w:r>
      <w:r w:rsidR="00014110">
        <w:t xml:space="preserve">But all the while, he </w:t>
      </w:r>
      <w:r w:rsidR="00E22F98">
        <w:t xml:space="preserve">made plans on what laws to enact, and </w:t>
      </w:r>
      <w:r w:rsidR="007B18E8">
        <w:t xml:space="preserve">by the time he made his return to Washington, he knew what he would do. </w:t>
      </w:r>
    </w:p>
    <w:p w14:paraId="7D79708C" w14:textId="666F7C51" w:rsidR="00342B4F" w:rsidRDefault="00342B4F" w:rsidP="00AB55A1">
      <w:r>
        <w:t xml:space="preserve">First, he </w:t>
      </w:r>
      <w:r w:rsidR="00E20CC1">
        <w:t xml:space="preserve">looked to the </w:t>
      </w:r>
      <w:proofErr w:type="gramStart"/>
      <w:r w:rsidR="00E20CC1">
        <w:t>as yet</w:t>
      </w:r>
      <w:proofErr w:type="gramEnd"/>
      <w:r w:rsidR="00E20CC1">
        <w:t xml:space="preserve"> unsettled West</w:t>
      </w:r>
      <w:r w:rsidR="005F7389">
        <w:t xml:space="preserve">. </w:t>
      </w:r>
      <w:r w:rsidR="00E20CC1">
        <w:t xml:space="preserve">Though </w:t>
      </w:r>
      <w:r w:rsidR="00912D0E">
        <w:t xml:space="preserve">Webster was (and remains) closely associated with Massachusetts, </w:t>
      </w:r>
      <w:r w:rsidR="00D7693E">
        <w:t>a state known to be suspicious of western expansion</w:t>
      </w:r>
      <w:r w:rsidR="00D3223C">
        <w:t xml:space="preserve"> and always close to the British</w:t>
      </w:r>
      <w:r w:rsidR="00D7693E">
        <w:t xml:space="preserve">, he was born in New Hampshire back when that was the frontier, and as </w:t>
      </w:r>
      <w:r w:rsidR="00C23562">
        <w:t xml:space="preserve">such he did support </w:t>
      </w:r>
      <w:r w:rsidR="00213F30">
        <w:t>the expansion of the nation</w:t>
      </w:r>
      <w:r w:rsidR="004501CD">
        <w:t xml:space="preserve"> – if in a way that would benefit the whole </w:t>
      </w:r>
      <w:r w:rsidR="00C06CDB">
        <w:t>union</w:t>
      </w:r>
      <w:r w:rsidR="00C23562">
        <w:t xml:space="preserve">. </w:t>
      </w:r>
      <w:r w:rsidR="006D24AD">
        <w:t xml:space="preserve">He supported the Luisiana War, in what was a distinctly minority position in Massachusetts, because he </w:t>
      </w:r>
      <w:r w:rsidR="00F92618">
        <w:t>sought to secure the mouth of the Mississippi</w:t>
      </w:r>
      <w:r w:rsidR="00577CE5">
        <w:t xml:space="preserve"> for American trade</w:t>
      </w:r>
      <w:r w:rsidR="002E33D4">
        <w:t>.</w:t>
      </w:r>
      <w:r w:rsidR="00577CE5">
        <w:t xml:space="preserve"> </w:t>
      </w:r>
      <w:r w:rsidR="002E33D4">
        <w:t>T</w:t>
      </w:r>
      <w:r w:rsidR="00577CE5">
        <w:t xml:space="preserve">hough when it came time for peace, he did not support the </w:t>
      </w:r>
      <w:r w:rsidR="00530FD5">
        <w:t>acquisition of the entire Luisiana Territory, instead trying to leave the Interior in Spanish hands</w:t>
      </w:r>
      <w:r w:rsidR="002E33D4">
        <w:t xml:space="preserve">, he did </w:t>
      </w:r>
      <w:r w:rsidR="002D2AED">
        <w:t>support</w:t>
      </w:r>
      <w:r w:rsidR="00D0079A">
        <w:t xml:space="preserve"> the Treaty of St. Petersburg</w:t>
      </w:r>
      <w:r w:rsidR="00530FD5">
        <w:t xml:space="preserve">. </w:t>
      </w:r>
      <w:r w:rsidR="005A4D70">
        <w:t xml:space="preserve">In the decades that followed, he did support </w:t>
      </w:r>
      <w:r w:rsidR="00F02EFE">
        <w:t xml:space="preserve">opening the eastern part of Luisiana to </w:t>
      </w:r>
      <w:r w:rsidR="001B5A6D">
        <w:t xml:space="preserve">western settlement, and though he wanted slow and steady settlement which wouldn’t disperse population, this was hardly </w:t>
      </w:r>
      <w:proofErr w:type="gramStart"/>
      <w:r w:rsidR="001B5A6D">
        <w:t>some</w:t>
      </w:r>
      <w:proofErr w:type="gramEnd"/>
      <w:r w:rsidR="001B5A6D">
        <w:t xml:space="preserve"> extreme position of the eastern establishment</w:t>
      </w:r>
      <w:r w:rsidR="00257C0C">
        <w:t xml:space="preserve">, and it was in fact supported by older parts of the </w:t>
      </w:r>
      <w:r w:rsidR="00035E4E">
        <w:t>W</w:t>
      </w:r>
      <w:r w:rsidR="00257C0C">
        <w:t xml:space="preserve">est, such as Ohio and Kentucky. </w:t>
      </w:r>
    </w:p>
    <w:p w14:paraId="45AB52C3" w14:textId="5892D1BD" w:rsidR="002E447E" w:rsidRDefault="009B730C" w:rsidP="002E447E">
      <w:r>
        <w:lastRenderedPageBreak/>
        <w:t xml:space="preserve">The next great moment of Webster’s western expansionism came with his Second Reply to Calhoun. </w:t>
      </w:r>
      <w:r w:rsidR="00E4412F">
        <w:t xml:space="preserve">This iconic speech is remembered today for </w:t>
      </w:r>
      <w:r w:rsidR="00293BED">
        <w:t>Webster’s extraordinarily</w:t>
      </w:r>
      <w:r w:rsidR="00E4412F">
        <w:t xml:space="preserve"> eloquent advocacy of American nationalism, but </w:t>
      </w:r>
      <w:r w:rsidR="007E5D8D">
        <w:t>th</w:t>
      </w:r>
      <w:r w:rsidR="00A33ABE">
        <w:t xml:space="preserve">is whole controversy had begun over </w:t>
      </w:r>
      <w:r w:rsidR="003A6005">
        <w:t xml:space="preserve">Calhoun’s entreaties to gain the support of the West for his doctrine of nullification. This was hardly </w:t>
      </w:r>
      <w:proofErr w:type="gramStart"/>
      <w:r w:rsidR="003A6005">
        <w:t>some</w:t>
      </w:r>
      <w:proofErr w:type="gramEnd"/>
      <w:r w:rsidR="003A6005">
        <w:t xml:space="preserve"> long shot, for indeed the West was severely unhappy with the federal government; being a weak, distant power whose only </w:t>
      </w:r>
      <w:r w:rsidR="002A5329">
        <w:t xml:space="preserve">real influence was over the public lands, </w:t>
      </w:r>
      <w:r w:rsidR="00D3223C">
        <w:t xml:space="preserve">which in the West consisted of almost </w:t>
      </w:r>
      <w:proofErr w:type="gramStart"/>
      <w:r w:rsidR="00D3223C">
        <w:t>the majority of</w:t>
      </w:r>
      <w:proofErr w:type="gramEnd"/>
      <w:r w:rsidR="00D3223C">
        <w:t xml:space="preserve"> several states. This, most Westerners despised because it meant that they couldn’t control their own land</w:t>
      </w:r>
      <w:r w:rsidR="00656706">
        <w:t xml:space="preserve">, and there were many who called for </w:t>
      </w:r>
      <w:r w:rsidR="009C5E71">
        <w:t xml:space="preserve">the western states to simply declare that they owned public lands within their jurisdiction and dare the federal government to do anything about it. </w:t>
      </w:r>
      <w:r w:rsidR="00AA6104">
        <w:t>This included Governor Ninian Edwards of Illinois</w:t>
      </w:r>
      <w:r w:rsidR="007A0D26">
        <w:t>, who called for it in his annual message to the legislature</w:t>
      </w:r>
      <w:r w:rsidR="00AA6104">
        <w:t xml:space="preserve"> – and though this was something of a special case</w:t>
      </w:r>
      <w:r w:rsidR="007A0D26">
        <w:t xml:space="preserve">, due to the </w:t>
      </w:r>
      <w:r w:rsidR="000D0B9C">
        <w:t xml:space="preserve">unusual </w:t>
      </w:r>
      <w:r w:rsidR="007A0D26">
        <w:t>circumstances</w:t>
      </w:r>
      <w:r w:rsidR="000D0B9C">
        <w:t xml:space="preserve"> of its admission, this showed the potential – and Calhoun regarded this as simply the western equivalent of his </w:t>
      </w:r>
      <w:proofErr w:type="spellStart"/>
      <w:r w:rsidR="000D0B9C">
        <w:t>nullificationism</w:t>
      </w:r>
      <w:proofErr w:type="spellEnd"/>
      <w:r w:rsidR="000D0B9C">
        <w:t xml:space="preserve">. </w:t>
      </w:r>
      <w:r w:rsidR="006C133B">
        <w:t>Thus, Calhoun’s initial speech</w:t>
      </w:r>
      <w:r w:rsidR="000B22FC">
        <w:t>,</w:t>
      </w:r>
      <w:r w:rsidR="006C133B">
        <w:t xml:space="preserve"> that </w:t>
      </w:r>
      <w:r w:rsidR="000B22FC">
        <w:t xml:space="preserve">Webster had replied to, was one which damned New England as the enemy of </w:t>
      </w:r>
      <w:r w:rsidR="007C5512">
        <w:t xml:space="preserve">Western expansion and called for a Southern-Western coalition which would obtain national approval for both giving public lands to the states and </w:t>
      </w:r>
      <w:r w:rsidR="00E93719">
        <w:t>reducing the tariff, all to diminish the federal government permanently</w:t>
      </w:r>
      <w:r w:rsidR="005C5337">
        <w:t xml:space="preserve">. </w:t>
      </w:r>
      <w:r w:rsidR="005C5020">
        <w:t>And though the Second Reply to Calhoun is best remembered for its fierce nationalism, most of it consists of a defence of New England and a justification that it had, in fact supported the expansion of the West</w:t>
      </w:r>
      <w:r w:rsidR="0033772F">
        <w:t xml:space="preserve">; it also argued that </w:t>
      </w:r>
      <w:r w:rsidR="00EE7928">
        <w:t xml:space="preserve">the Northeast and the West </w:t>
      </w:r>
      <w:r w:rsidR="0033772F">
        <w:t>were both</w:t>
      </w:r>
      <w:r w:rsidR="00EE7928">
        <w:t xml:space="preserve"> free soil</w:t>
      </w:r>
      <w:r w:rsidR="0033772F">
        <w:t xml:space="preserve"> territory, of yeomen farmers free of </w:t>
      </w:r>
      <w:proofErr w:type="spellStart"/>
      <w:r w:rsidR="0033772F">
        <w:t>planterism</w:t>
      </w:r>
      <w:proofErr w:type="spellEnd"/>
      <w:r w:rsidR="005C5020">
        <w:t xml:space="preserve">. </w:t>
      </w:r>
      <w:r w:rsidR="00AA636A">
        <w:t xml:space="preserve">The great success of the Second Reply to Calhoun, </w:t>
      </w:r>
      <w:r w:rsidR="001B11A6">
        <w:t xml:space="preserve">which was reprinted from Maine to Tennessee, </w:t>
      </w:r>
      <w:r w:rsidR="008B1AF1">
        <w:t>was</w:t>
      </w:r>
      <w:r w:rsidR="00665C59">
        <w:t xml:space="preserve"> </w:t>
      </w:r>
      <w:r w:rsidR="008B1AF1">
        <w:t xml:space="preserve">the moment </w:t>
      </w:r>
      <w:r w:rsidR="00665C59">
        <w:t>nullification</w:t>
      </w:r>
      <w:r w:rsidR="008B1AF1">
        <w:t xml:space="preserve"> would not</w:t>
      </w:r>
      <w:r w:rsidR="00665C59">
        <w:t xml:space="preserve"> spread to the West</w:t>
      </w:r>
      <w:r w:rsidR="0079623A">
        <w:t xml:space="preserve">, and it made Daniel Webster a big name </w:t>
      </w:r>
      <w:r w:rsidR="00B355C0">
        <w:t>in both the North and the West</w:t>
      </w:r>
      <w:r w:rsidR="00665C59">
        <w:t xml:space="preserve">. </w:t>
      </w:r>
    </w:p>
    <w:p w14:paraId="779FBD7A" w14:textId="413996FD" w:rsidR="003F4AC0" w:rsidRDefault="003F4AC0" w:rsidP="00AB55A1">
      <w:r>
        <w:t xml:space="preserve">Thus, by the time Webster became president, with the support of a large portion of the West, he had to do something to retain its support. </w:t>
      </w:r>
      <w:r w:rsidR="00913815">
        <w:t xml:space="preserve">With the Tariff of 1845, </w:t>
      </w:r>
      <w:r w:rsidR="00AB76D9">
        <w:t xml:space="preserve">federal revenues were no </w:t>
      </w:r>
      <w:r w:rsidR="00AB76D9">
        <w:lastRenderedPageBreak/>
        <w:t xml:space="preserve">longer so dependent on </w:t>
      </w:r>
      <w:r w:rsidR="000564BA">
        <w:t xml:space="preserve">selling public lands, and this opened the door to </w:t>
      </w:r>
      <w:r w:rsidR="001C51C6">
        <w:t>adjust</w:t>
      </w:r>
      <w:r w:rsidR="004C2611">
        <w:t xml:space="preserve"> land prices</w:t>
      </w:r>
      <w:r w:rsidR="00595208">
        <w:t xml:space="preserve"> to make them more accessible</w:t>
      </w:r>
      <w:r w:rsidR="004C2611">
        <w:t xml:space="preserve">; though with the </w:t>
      </w:r>
      <w:r w:rsidR="00595208">
        <w:t xml:space="preserve">outbreak of war in Europe in 1847, and the following slowing of immigration to a trickle, attempts to </w:t>
      </w:r>
      <w:r w:rsidR="00C0182C">
        <w:t>cap land prices failed</w:t>
      </w:r>
      <w:r w:rsidR="00011E21">
        <w:t>, despite the Webster administration’s attempts to lobby for it,</w:t>
      </w:r>
      <w:r w:rsidR="00625505">
        <w:t xml:space="preserve"> because the East worried it would </w:t>
      </w:r>
      <w:r w:rsidR="00395633">
        <w:t>sap their worker base</w:t>
      </w:r>
      <w:r w:rsidR="00C0182C">
        <w:t xml:space="preserve">. </w:t>
      </w:r>
      <w:r w:rsidR="00CA7E22">
        <w:t xml:space="preserve">But with the Great Migration of poor white Southerners into Northern factories, </w:t>
      </w:r>
      <w:r w:rsidR="00CF75E1">
        <w:t xml:space="preserve">eventually Eastern </w:t>
      </w:r>
      <w:r w:rsidR="003A762F">
        <w:t>opinions slowly changed, a</w:t>
      </w:r>
      <w:r w:rsidR="002A3517">
        <w:t xml:space="preserve">lthough the Webster administration continued to fail to secure a </w:t>
      </w:r>
      <w:proofErr w:type="spellStart"/>
      <w:r w:rsidR="002A3517">
        <w:t>preemption</w:t>
      </w:r>
      <w:proofErr w:type="spellEnd"/>
      <w:r w:rsidR="002A3517">
        <w:t xml:space="preserve"> act. </w:t>
      </w:r>
      <w:r w:rsidR="008E75A0">
        <w:t xml:space="preserve">Such an act only passed in 1850, to widespread cheers from the West; along the way, as part of the Second Nullification Crisis, Webster had successfully tied the issue to a high tariff to secure a strong majority </w:t>
      </w:r>
      <w:r w:rsidR="00724E13">
        <w:t>for both policies</w:t>
      </w:r>
      <w:r w:rsidR="008E75A0">
        <w:t xml:space="preserve">. </w:t>
      </w:r>
    </w:p>
    <w:p w14:paraId="0C66F4E2" w14:textId="774FF2E1" w:rsidR="00945EF3" w:rsidRDefault="00ED1811" w:rsidP="00AB55A1">
      <w:r>
        <w:t xml:space="preserve">But even before the </w:t>
      </w:r>
      <w:proofErr w:type="spellStart"/>
      <w:r w:rsidR="008B5513">
        <w:t>Preemption</w:t>
      </w:r>
      <w:proofErr w:type="spellEnd"/>
      <w:r w:rsidR="008B5513">
        <w:t xml:space="preserve"> Act, Webster’s sensitivities to the West had </w:t>
      </w:r>
      <w:r w:rsidR="0004108E">
        <w:t xml:space="preserve">led to federal support to several internal </w:t>
      </w:r>
      <w:proofErr w:type="gramStart"/>
      <w:r w:rsidR="0004108E">
        <w:t>improvements</w:t>
      </w:r>
      <w:proofErr w:type="gramEnd"/>
      <w:r w:rsidR="0004108E">
        <w:t xml:space="preserve"> bills</w:t>
      </w:r>
      <w:r w:rsidR="00B95C9B">
        <w:rPr>
          <w:rStyle w:val="EndnoteReference"/>
        </w:rPr>
        <w:endnoteReference w:id="190"/>
      </w:r>
      <w:r w:rsidR="0004108E">
        <w:t xml:space="preserve">. </w:t>
      </w:r>
      <w:r w:rsidR="006E6353">
        <w:t xml:space="preserve">A Rivers and Harbors Act led to a lot of money </w:t>
      </w:r>
      <w:r w:rsidR="00BB25BD">
        <w:t xml:space="preserve">to improve the harbors of many cities in the </w:t>
      </w:r>
      <w:r w:rsidR="00DB3EE2">
        <w:t xml:space="preserve">West, as well as the </w:t>
      </w:r>
      <w:r w:rsidR="00AD3C3E">
        <w:t xml:space="preserve">destruction of obstacles within the various rivers between them. </w:t>
      </w:r>
      <w:r w:rsidR="00831D7F">
        <w:t>Additionally</w:t>
      </w:r>
      <w:r w:rsidR="00E8561C">
        <w:t xml:space="preserve">, federal money </w:t>
      </w:r>
      <w:r w:rsidR="005D6D30">
        <w:t>allowed for</w:t>
      </w:r>
      <w:r w:rsidR="00E8561C">
        <w:t xml:space="preserve"> </w:t>
      </w:r>
      <w:r w:rsidR="005D6D30">
        <w:t xml:space="preserve">internal improvements projects which had been paused by </w:t>
      </w:r>
      <w:r w:rsidR="008C4814">
        <w:t>financial project</w:t>
      </w:r>
      <w:r w:rsidR="005D6D30">
        <w:t xml:space="preserve">, to </w:t>
      </w:r>
      <w:r w:rsidR="008C4814">
        <w:t>continue. Most notable was</w:t>
      </w:r>
      <w:r w:rsidR="0059669D">
        <w:t xml:space="preserve"> a series of canals in Indiana which turned its coastal city of </w:t>
      </w:r>
      <w:proofErr w:type="spellStart"/>
      <w:r w:rsidR="0059669D">
        <w:t>Ballyburr</w:t>
      </w:r>
      <w:proofErr w:type="spellEnd"/>
      <w:r w:rsidR="0059669D">
        <w:t xml:space="preserve"> into a port for trade into the Mississippi network</w:t>
      </w:r>
      <w:r w:rsidR="00DB03E5">
        <w:t xml:space="preserve">; </w:t>
      </w:r>
      <w:r w:rsidR="00996998">
        <w:t xml:space="preserve">similarly impactful was a project to connect the port of </w:t>
      </w:r>
      <w:proofErr w:type="spellStart"/>
      <w:r w:rsidR="00996998">
        <w:t>Millewackie</w:t>
      </w:r>
      <w:proofErr w:type="spellEnd"/>
      <w:r w:rsidR="00996998">
        <w:t xml:space="preserve"> to</w:t>
      </w:r>
      <w:r w:rsidR="002A2048">
        <w:t xml:space="preserve"> the Mississippi, thus allowing for a more direct connection. </w:t>
      </w:r>
      <w:proofErr w:type="spellStart"/>
      <w:r w:rsidR="00683A05">
        <w:t>Ballyburr</w:t>
      </w:r>
      <w:proofErr w:type="spellEnd"/>
      <w:r w:rsidR="00683A05">
        <w:t xml:space="preserve"> and </w:t>
      </w:r>
      <w:proofErr w:type="spellStart"/>
      <w:r w:rsidR="00683A05">
        <w:t>Millewackie</w:t>
      </w:r>
      <w:proofErr w:type="spellEnd"/>
      <w:r w:rsidR="00683A05">
        <w:t xml:space="preserve"> both boomed</w:t>
      </w:r>
      <w:r w:rsidR="007265FB">
        <w:t xml:space="preserve"> as a result; though the third part of the Tri-Cities Area, Chicago, </w:t>
      </w:r>
      <w:r w:rsidR="00963A3D">
        <w:t xml:space="preserve">talked about a canal project to connect it to the Mississippi, that the city itself was in Huron and the canal would cross state lines into Illinois, and Illinois being a slave state meant it was wary of a canal which would potentially bring in free state settlers. </w:t>
      </w:r>
      <w:r w:rsidR="00620729">
        <w:t xml:space="preserve">But the internal improvements projects did allow for a flow of settlers, as </w:t>
      </w:r>
      <w:proofErr w:type="gramStart"/>
      <w:r w:rsidR="00620729">
        <w:t>formerly-inaccessible</w:t>
      </w:r>
      <w:proofErr w:type="gramEnd"/>
      <w:r w:rsidR="00620729">
        <w:t xml:space="preserve"> land was now opened for settlement; combined with foreclosed land being redeposited into the </w:t>
      </w:r>
      <w:r w:rsidR="001B0330">
        <w:t>public lands, this allowed for a considerable land rush in this era</w:t>
      </w:r>
      <w:r w:rsidR="008F1133">
        <w:rPr>
          <w:rStyle w:val="EndnoteReference"/>
        </w:rPr>
        <w:endnoteReference w:id="191"/>
      </w:r>
      <w:r w:rsidR="001B0330">
        <w:t xml:space="preserve">. </w:t>
      </w:r>
    </w:p>
    <w:p w14:paraId="42F6562F" w14:textId="3F4B602F" w:rsidR="00ED1811" w:rsidRDefault="00487B31" w:rsidP="00AB55A1">
      <w:r>
        <w:lastRenderedPageBreak/>
        <w:t xml:space="preserve">At the same time, with the renewal of the Second Bank, and its </w:t>
      </w:r>
      <w:r w:rsidR="00BB4642">
        <w:t>recapitalization to double its value, it invested its newfound money</w:t>
      </w:r>
      <w:r w:rsidR="006829B6">
        <w:t xml:space="preserve"> into industry; with some nudging from Webster, it deposited some of this money into </w:t>
      </w:r>
      <w:r w:rsidR="00ED0EFB">
        <w:t>projects in the West. Most of this money travelled into Ohio and New Ireland, where it further advanced their already impressive boom</w:t>
      </w:r>
      <w:r w:rsidR="00542B70">
        <w:t xml:space="preserve"> which would turn both states </w:t>
      </w:r>
      <w:r w:rsidR="0000652F">
        <w:t>urban</w:t>
      </w:r>
      <w:r w:rsidR="0017748E">
        <w:t>, in this way</w:t>
      </w:r>
      <w:r w:rsidR="0000652F">
        <w:t xml:space="preserve"> more </w:t>
      </w:r>
      <w:proofErr w:type="gramStart"/>
      <w:r w:rsidR="0000652F">
        <w:t>similar to</w:t>
      </w:r>
      <w:proofErr w:type="gramEnd"/>
      <w:r w:rsidR="0000652F">
        <w:t xml:space="preserve"> </w:t>
      </w:r>
      <w:r w:rsidR="0017748E">
        <w:t xml:space="preserve">the East than to the agrarian image of the West. </w:t>
      </w:r>
      <w:r w:rsidR="00A661B7">
        <w:t xml:space="preserve">At the same time, some of this money travelled to </w:t>
      </w:r>
      <w:r w:rsidR="003E2D21">
        <w:t>Kentucky and Tennessee</w:t>
      </w:r>
      <w:r w:rsidR="00945A27">
        <w:t xml:space="preserve">, where it helped foster the often slave-powered industry in the region; Tennessee became a considerable </w:t>
      </w:r>
      <w:r w:rsidR="004569BD">
        <w:t>base</w:t>
      </w:r>
      <w:r w:rsidR="00945A27">
        <w:t xml:space="preserve"> for iron production</w:t>
      </w:r>
      <w:r w:rsidR="008321DF">
        <w:t xml:space="preserve">, and Kentucky became </w:t>
      </w:r>
      <w:r w:rsidR="00A72C01">
        <w:t>the nation’s leading source of saltpete</w:t>
      </w:r>
      <w:r w:rsidR="0065168B">
        <w:t>r</w:t>
      </w:r>
      <w:r w:rsidR="00375B41">
        <w:rPr>
          <w:rStyle w:val="EndnoteReference"/>
        </w:rPr>
        <w:endnoteReference w:id="192"/>
      </w:r>
      <w:r w:rsidR="00D4643B">
        <w:t>. Tennessee’s factories were based around slave</w:t>
      </w:r>
      <w:r w:rsidR="00D26CB9">
        <w:t xml:space="preserve">ry, while Kentucky’s less so as the state had, to prevent a </w:t>
      </w:r>
      <w:r w:rsidR="007B0DFE">
        <w:t>collapse of the price of the slave, banned interstate sales – but both became increasingly dominated by the Planter Ascendancy</w:t>
      </w:r>
      <w:r w:rsidR="008908A2">
        <w:t>. And further</w:t>
      </w:r>
      <w:r w:rsidR="00692B87">
        <w:t xml:space="preserve"> south, </w:t>
      </w:r>
      <w:r w:rsidR="002642E1">
        <w:t xml:space="preserve">Yazoo and Georgia saw impressive booms, with the burgeoning </w:t>
      </w:r>
      <w:r w:rsidR="003738B2">
        <w:t>towns</w:t>
      </w:r>
      <w:r w:rsidR="002642E1">
        <w:t xml:space="preserve"> of </w:t>
      </w:r>
      <w:proofErr w:type="spellStart"/>
      <w:r w:rsidR="002642E1">
        <w:t>Persitia</w:t>
      </w:r>
      <w:proofErr w:type="spellEnd"/>
      <w:r w:rsidR="002642E1">
        <w:t>, Lille, and Twickenham becoming</w:t>
      </w:r>
      <w:r w:rsidR="003738B2">
        <w:t xml:space="preserve"> industrial centers, albeit with slave labor</w:t>
      </w:r>
      <w:r w:rsidR="007B0DFE">
        <w:t xml:space="preserve">. </w:t>
      </w:r>
      <w:r w:rsidR="009A2626">
        <w:t>Thus, the Webster administration saw the very meaning of</w:t>
      </w:r>
      <w:r w:rsidR="000F1DDF">
        <w:t xml:space="preserve"> “West” change, as Ohio, New Ireland, Kentucky, Tennessee</w:t>
      </w:r>
      <w:r w:rsidR="008908A2">
        <w:t>, and Yazoo</w:t>
      </w:r>
      <w:r w:rsidR="000F1DDF">
        <w:t xml:space="preserve"> </w:t>
      </w:r>
      <w:r w:rsidR="00A539EA">
        <w:t xml:space="preserve">became more </w:t>
      </w:r>
      <w:proofErr w:type="gramStart"/>
      <w:r w:rsidR="00A539EA">
        <w:t>similar to</w:t>
      </w:r>
      <w:proofErr w:type="gramEnd"/>
      <w:r w:rsidR="00A539EA">
        <w:t xml:space="preserve"> </w:t>
      </w:r>
      <w:r w:rsidR="00AA4433">
        <w:t>the East than to their own agrarian pasts</w:t>
      </w:r>
      <w:r w:rsidR="00AD3834">
        <w:t xml:space="preserve">. This new urbanization also fortified the settlement of their hinterland, as farmers became more prosperous as they now had markets to sell to; </w:t>
      </w:r>
      <w:r w:rsidR="004B4299">
        <w:t xml:space="preserve">additionally, </w:t>
      </w:r>
      <w:r w:rsidR="00AD3834">
        <w:t xml:space="preserve">public lands became increasingly rare, as all the choice lands were taken. </w:t>
      </w:r>
      <w:r w:rsidR="00475C57">
        <w:t>Indiana, too, was beginning to fill up, and so too was Huron; the remainder of the Northwest Territory was still open to settlement, but it was quite cold</w:t>
      </w:r>
      <w:r w:rsidR="00E01C2B">
        <w:t>, and this naturally inhibited settlement</w:t>
      </w:r>
      <w:r w:rsidR="00475C57">
        <w:t xml:space="preserve">. </w:t>
      </w:r>
      <w:r w:rsidR="004F791A">
        <w:t xml:space="preserve">While within the more westerly slave states, the decreased price of the slave had allowed for an expansion of slaves which squeezed yeomen-farmers out of their territory, as they found themselves bankrupted and reduced to the status of “poor white trash”. </w:t>
      </w:r>
    </w:p>
    <w:p w14:paraId="7331ECB2" w14:textId="77777777" w:rsidR="00FF337F" w:rsidRDefault="001304DC" w:rsidP="00AB55A1">
      <w:r>
        <w:t xml:space="preserve">Increasingly, agitation rose for </w:t>
      </w:r>
      <w:r w:rsidR="001A41FE">
        <w:t>opening new territory</w:t>
      </w:r>
      <w:r w:rsidR="00C10BED">
        <w:t xml:space="preserve"> for settlement</w:t>
      </w:r>
      <w:r w:rsidR="00EF1AB2">
        <w:t xml:space="preserve">. This had, </w:t>
      </w:r>
      <w:r w:rsidR="00A01889">
        <w:t>at this point</w:t>
      </w:r>
      <w:r w:rsidR="00EF1AB2">
        <w:t xml:space="preserve">, been blocked by the </w:t>
      </w:r>
      <w:r w:rsidR="00A01889">
        <w:t>South</w:t>
      </w:r>
      <w:r w:rsidR="00AB301B">
        <w:t xml:space="preserve">; by the terms of the Missouri Compromise, which many regretted, this would mean </w:t>
      </w:r>
      <w:r w:rsidR="00990B6D">
        <w:t>they would be free, and</w:t>
      </w:r>
      <w:r w:rsidR="00AB301B">
        <w:t xml:space="preserve"> </w:t>
      </w:r>
      <w:r w:rsidR="00990B6D">
        <w:t xml:space="preserve">that they would </w:t>
      </w:r>
      <w:r w:rsidR="00AB301B">
        <w:t xml:space="preserve">border </w:t>
      </w:r>
      <w:r w:rsidR="003A286E">
        <w:t>the slave states of Illinois and Missouri</w:t>
      </w:r>
      <w:r w:rsidR="00990B6D">
        <w:t xml:space="preserve"> </w:t>
      </w:r>
      <w:r w:rsidR="00990B6D">
        <w:lastRenderedPageBreak/>
        <w:t>would</w:t>
      </w:r>
      <w:r w:rsidR="00A67C71">
        <w:t xml:space="preserve"> leav</w:t>
      </w:r>
      <w:r w:rsidR="00990B6D">
        <w:t>e</w:t>
      </w:r>
      <w:r w:rsidR="00A67C71">
        <w:t xml:space="preserve"> them surrounded on three sides by free territory</w:t>
      </w:r>
      <w:r w:rsidR="003A286E">
        <w:t xml:space="preserve">. </w:t>
      </w:r>
      <w:r w:rsidR="00A67C71">
        <w:t>Many feared that this would lead to slaves escaping</w:t>
      </w:r>
      <w:r w:rsidR="00D50850">
        <w:t xml:space="preserve"> there and winning freedom thanks to northern jury nullification</w:t>
      </w:r>
      <w:r w:rsidR="005835C9">
        <w:t xml:space="preserve">, which they figured would </w:t>
      </w:r>
      <w:r w:rsidR="00CE1217">
        <w:t xml:space="preserve">turn both Illinois and Missouri into free states, and with it destroy planter control of the Senate. </w:t>
      </w:r>
      <w:r w:rsidR="008F2936">
        <w:t xml:space="preserve">But with the Planter Ascendancy having been </w:t>
      </w:r>
      <w:r w:rsidR="00FE0F8D">
        <w:t xml:space="preserve">divided and defeated during the Second Nullification Crisis, </w:t>
      </w:r>
      <w:r w:rsidR="008F7D04">
        <w:t xml:space="preserve">it was now weaker than ever before; politicians like Calhoun, who had successfully </w:t>
      </w:r>
      <w:r w:rsidR="0077491D">
        <w:t xml:space="preserve">blocked the opening of further territory, now found themselves in the outs. At the same time, squatters were finding their way into </w:t>
      </w:r>
      <w:r w:rsidR="00DF6D31">
        <w:t xml:space="preserve">the unopened west, which though illegal was also something the American government could do little about, and this strain further opened agitation </w:t>
      </w:r>
      <w:r w:rsidR="00B1475A">
        <w:t>for western expansion</w:t>
      </w:r>
      <w:r w:rsidR="00525847">
        <w:t xml:space="preserve">. Furthermore, </w:t>
      </w:r>
      <w:r w:rsidR="00804B97">
        <w:t>there were many who advocated a transcontinental railroad; though most regarded the Rocky Mountains as the limits of the nation, there were still those who wanted to obtain the territories of the Columbia River from the British, Spanish, and Russians who disputed it</w:t>
      </w:r>
      <w:r w:rsidR="00156277">
        <w:t>, and there were still others who believed this might one day become an independent republic but nevertheless a client of the United States, and it was clear that establishing</w:t>
      </w:r>
      <w:r w:rsidR="00B8364F">
        <w:t xml:space="preserve"> a territory in the West was a precondition for it</w:t>
      </w:r>
      <w:r w:rsidR="00B1475A">
        <w:t xml:space="preserve">. </w:t>
      </w:r>
    </w:p>
    <w:p w14:paraId="5C4C32E1" w14:textId="77777777" w:rsidR="005B5D59" w:rsidRDefault="00A82898" w:rsidP="00AB55A1">
      <w:r>
        <w:t xml:space="preserve">Thus, 1850 saw </w:t>
      </w:r>
      <w:r w:rsidR="00FF337F">
        <w:t xml:space="preserve">the opening of territory for settlement. Under a constitutional amendment passed in 1830, Luisiana was segmented into </w:t>
      </w:r>
      <w:r w:rsidR="00F11DE5">
        <w:t xml:space="preserve">three sections, each section to the west to one another; the first section had already been largely opened to </w:t>
      </w:r>
      <w:r w:rsidR="008259A1">
        <w:t xml:space="preserve">settlement and constituted as the states of Orleans, </w:t>
      </w:r>
      <w:proofErr w:type="spellStart"/>
      <w:r w:rsidR="008259A1">
        <w:t>Arcansa</w:t>
      </w:r>
      <w:proofErr w:type="spellEnd"/>
      <w:r w:rsidR="008259A1">
        <w:t xml:space="preserve">, and </w:t>
      </w:r>
      <w:r w:rsidR="003E65C2">
        <w:t xml:space="preserve">Missouri; the ensuing act now opened the </w:t>
      </w:r>
      <w:r w:rsidR="00561FDD">
        <w:t>land</w:t>
      </w:r>
      <w:r w:rsidR="003E65C2">
        <w:t xml:space="preserve"> above it, </w:t>
      </w:r>
      <w:r w:rsidR="00561FDD">
        <w:t xml:space="preserve">and named it Juniper Territory, after its chief river. </w:t>
      </w:r>
      <w:r w:rsidR="00851C75">
        <w:t xml:space="preserve">This, Senator Calhoun railed against, but nevertheless it </w:t>
      </w:r>
      <w:r w:rsidR="00FC3DCD">
        <w:t>was opened. To the north of Missouri, and to the west of Illinois, this territory immediately saw a land rush</w:t>
      </w:r>
      <w:r w:rsidR="009E4988">
        <w:t xml:space="preserve">, and it represented a triumph for the free-soil agenda of the Webster administration. </w:t>
      </w:r>
      <w:r w:rsidR="003E5971">
        <w:t xml:space="preserve">But </w:t>
      </w:r>
      <w:r w:rsidR="005538C5">
        <w:t>the states of Illinois and Missouri</w:t>
      </w:r>
      <w:r w:rsidR="001842B2">
        <w:t xml:space="preserve"> considered this a direct threat to </w:t>
      </w:r>
      <w:r w:rsidR="00EB366D">
        <w:t>the institution of</w:t>
      </w:r>
      <w:r w:rsidR="00AE7893">
        <w:t xml:space="preserve"> slavery</w:t>
      </w:r>
      <w:r w:rsidR="00EB366D">
        <w:t xml:space="preserve"> within their borders</w:t>
      </w:r>
      <w:r w:rsidR="005538C5">
        <w:t xml:space="preserve">, </w:t>
      </w:r>
      <w:r w:rsidR="00AE7893">
        <w:t xml:space="preserve">and it did not take long for </w:t>
      </w:r>
      <w:r w:rsidR="00634963">
        <w:t>them to suddenly force the issue to prevent</w:t>
      </w:r>
      <w:r w:rsidR="00AF635F">
        <w:t xml:space="preserve"> them from being surrounded. </w:t>
      </w:r>
      <w:r w:rsidR="004B5306">
        <w:t xml:space="preserve">Thus, in 1851, the </w:t>
      </w:r>
      <w:r w:rsidR="00F54772">
        <w:t xml:space="preserve">Missourian government formally </w:t>
      </w:r>
      <w:r w:rsidR="00D33101">
        <w:lastRenderedPageBreak/>
        <w:t>declared that, under its constitution, its northern</w:t>
      </w:r>
      <w:r w:rsidR="00F54772">
        <w:t xml:space="preserve"> </w:t>
      </w:r>
      <w:r w:rsidR="00D33101">
        <w:t>border</w:t>
      </w:r>
      <w:r w:rsidR="00F54772">
        <w:t xml:space="preserve"> include</w:t>
      </w:r>
      <w:r w:rsidR="00D33101">
        <w:t>d</w:t>
      </w:r>
      <w:r w:rsidR="00F54772">
        <w:t xml:space="preserve"> about half of Juniper Territory, and it declared its </w:t>
      </w:r>
      <w:r w:rsidR="00677377">
        <w:t>intentions to send in</w:t>
      </w:r>
      <w:r w:rsidR="008A75E2">
        <w:t xml:space="preserve"> </w:t>
      </w:r>
      <w:r w:rsidR="00677377">
        <w:t>tax collectors</w:t>
      </w:r>
      <w:r w:rsidR="008A75E2">
        <w:t xml:space="preserve"> </w:t>
      </w:r>
      <w:r w:rsidR="00F40B39">
        <w:t>to the territory that it had, in fact, considered under its rule</w:t>
      </w:r>
      <w:r w:rsidR="00677377">
        <w:t xml:space="preserve">. </w:t>
      </w:r>
      <w:r w:rsidR="008F6D45">
        <w:t xml:space="preserve">That this happened before the federal government had </w:t>
      </w:r>
      <w:r w:rsidR="00AB62C2">
        <w:t xml:space="preserve">entirely </w:t>
      </w:r>
      <w:r w:rsidR="008F6D45">
        <w:t>assembled a territory in Juniper</w:t>
      </w:r>
      <w:r w:rsidR="00AB62C2">
        <w:t>,</w:t>
      </w:r>
      <w:r w:rsidR="0062609A">
        <w:t xml:space="preserve"> meant the Missourian government was well-poised to present its claim – but against this, </w:t>
      </w:r>
      <w:r w:rsidR="002C44CA">
        <w:t xml:space="preserve">Webster was indignant. Tasking his cabinet to gather the appropriate documents on the subject, they did so, and Webster </w:t>
      </w:r>
      <w:r w:rsidR="003D4E15">
        <w:t>prepared</w:t>
      </w:r>
      <w:r w:rsidR="002C44CA">
        <w:t xml:space="preserve"> </w:t>
      </w:r>
      <w:r w:rsidR="003D4E15">
        <w:t>a document on the subject.</w:t>
      </w:r>
      <w:r w:rsidR="002C44CA">
        <w:t xml:space="preserve"> </w:t>
      </w:r>
    </w:p>
    <w:p w14:paraId="27B549E7" w14:textId="2CAE87EA" w:rsidR="001304DC" w:rsidRDefault="003D4E15" w:rsidP="00AB55A1">
      <w:r>
        <w:t xml:space="preserve">The ensuing Juniper Proclamation was Daniel Webster at his very finest: in clear and precise language, it laid out the history of Missouri since its annexation to </w:t>
      </w:r>
      <w:r w:rsidR="00D12266">
        <w:t>the present</w:t>
      </w:r>
      <w:r w:rsidR="008D6F07">
        <w:t>, including explicit proof that it had decided against such a far northern claim</w:t>
      </w:r>
      <w:r w:rsidR="00D12266">
        <w:t>, and</w:t>
      </w:r>
      <w:r w:rsidR="008D6F07">
        <w:t xml:space="preserve"> with this in hand</w:t>
      </w:r>
      <w:r w:rsidR="00D12266">
        <w:t xml:space="preserve"> he dismantled any argument that it could plausibly claim </w:t>
      </w:r>
      <w:r w:rsidR="00DD19C8">
        <w:t>the northern half of Juniper</w:t>
      </w:r>
      <w:r w:rsidR="00F10148">
        <w:t xml:space="preserve">. </w:t>
      </w:r>
      <w:r w:rsidR="009F6C93">
        <w:t xml:space="preserve">And Webster declared that he would enforce the true border of Juniper, and </w:t>
      </w:r>
      <w:r w:rsidR="00926DFD">
        <w:t xml:space="preserve">he </w:t>
      </w:r>
      <w:r w:rsidR="009F6C93">
        <w:t>requested Congress to pass a Force Bill for him to send an army to enforce it</w:t>
      </w:r>
      <w:r w:rsidR="00926DFD">
        <w:t>, although he prayed that he would not need it</w:t>
      </w:r>
      <w:r w:rsidR="00EA58B7">
        <w:rPr>
          <w:rStyle w:val="EndnoteReference"/>
        </w:rPr>
        <w:endnoteReference w:id="193"/>
      </w:r>
      <w:r w:rsidR="000D767B">
        <w:t xml:space="preserve">. </w:t>
      </w:r>
      <w:r w:rsidR="00926DFD">
        <w:t xml:space="preserve">In the ensuing weeks, most of the South was singularly unenthusiastic about this claim, and </w:t>
      </w:r>
      <w:r w:rsidR="003E18CC">
        <w:t xml:space="preserve">despite Calhoun’s efforts to unify it in support of Missouri, even </w:t>
      </w:r>
      <w:r w:rsidR="00F85C52">
        <w:t>many of the most</w:t>
      </w:r>
      <w:r w:rsidR="003E18CC">
        <w:t xml:space="preserve"> proslavery Southerners considered this improper conduct, a bad strategy on the subject. </w:t>
      </w:r>
      <w:r w:rsidR="00950035">
        <w:t>Indeed, it had also put an end to efforts to settle Juniper with proslavery Southerners</w:t>
      </w:r>
      <w:r w:rsidR="00E44473">
        <w:t>, with the intention – like Illinois and Missouri before it – to turn it into a slave state, or else to send a case to the Supreme Court to legalize slavery</w:t>
      </w:r>
      <w:r w:rsidR="00800C89">
        <w:t xml:space="preserve">, as </w:t>
      </w:r>
      <w:r w:rsidR="00452790">
        <w:t xml:space="preserve">the </w:t>
      </w:r>
      <w:r w:rsidR="00225ACF">
        <w:t>Planter Ascendancy</w:t>
      </w:r>
      <w:r w:rsidR="00452790">
        <w:t xml:space="preserve"> was instead divided against itself, with legislatures seeing competing resolutions on the subject – although aside from South Carolina, most Southern legislatures ultimately regarded Missouri’s conduct as illegal</w:t>
      </w:r>
      <w:r w:rsidR="00E44473">
        <w:t xml:space="preserve">. </w:t>
      </w:r>
      <w:r w:rsidR="00452790">
        <w:t>The result was that Missouri was forced to back down. The Juniper Crisis had come to an end</w:t>
      </w:r>
      <w:r w:rsidR="00E97391">
        <w:t xml:space="preserve"> – and it was a resounding defeat for Missouri. </w:t>
      </w:r>
      <w:r w:rsidR="007D5C6D">
        <w:t xml:space="preserve">But there were several things it did show. First, the West was still a contested region. Though the sheer avalanche of Northerners migrating into it ensured that Juniper Territory would not relegalize slavery, the South was intent on securing the West for slavery – and given the impressive slave boom in both Missouri </w:t>
      </w:r>
      <w:r w:rsidR="007D5C6D">
        <w:lastRenderedPageBreak/>
        <w:t>and Illinois, which had secured both</w:t>
      </w:r>
      <w:r w:rsidR="00477852">
        <w:t xml:space="preserve"> states</w:t>
      </w:r>
      <w:r w:rsidR="007D5C6D">
        <w:t xml:space="preserve"> for slavery</w:t>
      </w:r>
      <w:r w:rsidR="00255560">
        <w:t xml:space="preserve"> and turned the Mississippi into a great slave river, it had the population to do so. </w:t>
      </w:r>
    </w:p>
    <w:p w14:paraId="76BE5353" w14:textId="67F5E182" w:rsidR="00017D9D" w:rsidRDefault="00C25F8B" w:rsidP="00AB55A1">
      <w:r>
        <w:t xml:space="preserve">But nevertheless, </w:t>
      </w:r>
      <w:r w:rsidR="00D456C0">
        <w:t xml:space="preserve">the </w:t>
      </w:r>
      <w:r w:rsidR="00925592">
        <w:t>Planter Ascendancy</w:t>
      </w:r>
      <w:r w:rsidR="00D456C0">
        <w:t xml:space="preserve"> was defeated. Its attempts to expand slavery into Juniper had lost, and the Webster administration had won. </w:t>
      </w:r>
      <w:r w:rsidR="009D0B18">
        <w:t>The territory</w:t>
      </w:r>
      <w:r w:rsidR="00662586">
        <w:t xml:space="preserve"> would be secured for freedom, and at least this time, the antislavery maxim of “Slavery Local, Freedom National” was upheld. </w:t>
      </w:r>
      <w:r w:rsidR="002A10A8">
        <w:t xml:space="preserve">That this may have been, more than anything, because of the tactical failures of the Planter Ascendancy, and that it was defeated but not broken, were obscured, however. </w:t>
      </w:r>
      <w:r w:rsidR="006F747B">
        <w:t xml:space="preserve">For the time being, Daniel Webster was, yet again, “Godlike Daniel”, the “Expounder of the Constitution”, who had defended the nation against sectional threats that threatened to destroy it. </w:t>
      </w:r>
      <w:r w:rsidR="00C629FA">
        <w:t>And Juniper itself would become one of the most reform-minded regions of the entire Union – in particular, in 1854, by a margin of one vote, it legalized women’s suffrage</w:t>
      </w:r>
      <w:r w:rsidR="005F752F">
        <w:rPr>
          <w:rStyle w:val="EndnoteReference"/>
        </w:rPr>
        <w:endnoteReference w:id="194"/>
      </w:r>
      <w:r w:rsidR="00C46F45">
        <w:t>, in a moment it continues to memorialize by calling itself the “Equality State”</w:t>
      </w:r>
      <w:r w:rsidR="00C629FA">
        <w:t xml:space="preserve">. </w:t>
      </w:r>
      <w:r w:rsidR="00CF4821">
        <w:t>By the time Calhoun died in 185</w:t>
      </w:r>
      <w:r w:rsidR="002936F1">
        <w:t>4</w:t>
      </w:r>
      <w:r w:rsidR="00CF4821">
        <w:t xml:space="preserve">, </w:t>
      </w:r>
      <w:r w:rsidR="005753F6">
        <w:t xml:space="preserve">his principles were decisively in the outs, </w:t>
      </w:r>
      <w:r w:rsidR="00AC4E54">
        <w:t xml:space="preserve">and though he died a prominent senator, even within his own South Carolina </w:t>
      </w:r>
      <w:proofErr w:type="spellStart"/>
      <w:r w:rsidR="00AC4E54">
        <w:t>Calhounism</w:t>
      </w:r>
      <w:proofErr w:type="spellEnd"/>
      <w:r w:rsidR="00AC4E54">
        <w:t xml:space="preserve"> found itself fighting a losing battle to political forces who wanted to turn the state into, for lack of a better term, a normal Southern state. </w:t>
      </w:r>
    </w:p>
    <w:p w14:paraId="588847B3" w14:textId="32CAEF41" w:rsidR="00C25F8B" w:rsidRPr="00AB55A1" w:rsidRDefault="003B78CB" w:rsidP="00AB55A1">
      <w:r>
        <w:t xml:space="preserve">But at the same time, several reporters in Washington were tracing federal and National Bank money. They were tracing the many hands they travelled, and they were tracing who they benefited. And when they presented their report, it would chasten those who considered </w:t>
      </w:r>
      <w:proofErr w:type="spellStart"/>
      <w:r>
        <w:t>Websterism</w:t>
      </w:r>
      <w:proofErr w:type="spellEnd"/>
      <w:r>
        <w:t xml:space="preserve"> an unqualified triumph. </w:t>
      </w:r>
    </w:p>
    <w:p w14:paraId="398838B9" w14:textId="77777777" w:rsidR="00F22E37" w:rsidRDefault="00F22E37" w:rsidP="00F22E37">
      <w:r>
        <w:br w:type="page"/>
      </w:r>
    </w:p>
    <w:p w14:paraId="63E5B38E" w14:textId="77777777" w:rsidR="00DF4C64" w:rsidRDefault="00DF4C64" w:rsidP="00DF4C64"/>
    <w:p w14:paraId="7E264A5D" w14:textId="77777777" w:rsidR="00DF4C64" w:rsidRDefault="00DF4C64" w:rsidP="00DF4C64">
      <w:pPr>
        <w:sectPr w:rsidR="00DF4C64" w:rsidSect="00DF4C6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DFFD4B0" w14:textId="77777777" w:rsidR="00DF4C64" w:rsidRDefault="00DF4C64" w:rsidP="00DF4C64">
      <w:r>
        <w:br w:type="page"/>
      </w:r>
    </w:p>
    <w:p w14:paraId="2869EAE1" w14:textId="5B6109BC" w:rsidR="00240A28" w:rsidRDefault="00CB0F18" w:rsidP="00A57407">
      <w:pPr>
        <w:pStyle w:val="Heading1"/>
      </w:pPr>
      <w:bookmarkStart w:id="49" w:name="_Toc202006237"/>
      <w:r>
        <w:lastRenderedPageBreak/>
        <w:t>3</w:t>
      </w:r>
      <w:r w:rsidR="00F93DCA">
        <w:t>8</w:t>
      </w:r>
      <w:r>
        <w:t xml:space="preserve">. </w:t>
      </w:r>
      <w:r w:rsidR="00A57407">
        <w:t>Rise Of the Thing</w:t>
      </w:r>
      <w:bookmarkEnd w:id="49"/>
    </w:p>
    <w:p w14:paraId="1C7DE5B8" w14:textId="4F9FC4CA" w:rsidR="00A57407" w:rsidRDefault="000E23EB" w:rsidP="00A57407">
      <w:r>
        <w:t xml:space="preserve">Daniel Webster was never a man with a clean reputation. </w:t>
      </w:r>
      <w:r w:rsidR="00A400AF">
        <w:t xml:space="preserve">He was, after all, </w:t>
      </w:r>
      <w:r w:rsidR="00183F27">
        <w:t xml:space="preserve">a man who freely took in bribes from </w:t>
      </w:r>
      <w:r w:rsidR="00E80DB0">
        <w:t xml:space="preserve">every business or </w:t>
      </w:r>
      <w:r w:rsidR="00D23E9F">
        <w:t xml:space="preserve">interest possible; as Senator, he had turned from supporting free trade to being willing to break the Union over protection, as the interests who supported him simply changed. </w:t>
      </w:r>
      <w:r w:rsidR="00531810">
        <w:t xml:space="preserve">In office, he </w:t>
      </w:r>
      <w:r w:rsidR="00FA47A9">
        <w:t xml:space="preserve">continued to take in </w:t>
      </w:r>
      <w:proofErr w:type="gramStart"/>
      <w:r w:rsidR="00FA47A9">
        <w:t>a large number of</w:t>
      </w:r>
      <w:proofErr w:type="gramEnd"/>
      <w:r w:rsidR="00FA47A9">
        <w:t xml:space="preserve"> bribes</w:t>
      </w:r>
      <w:r w:rsidR="005D5A46">
        <w:t xml:space="preserve"> and presents</w:t>
      </w:r>
      <w:r w:rsidR="00B2438B">
        <w:t xml:space="preserve"> – most especially, he </w:t>
      </w:r>
      <w:r w:rsidR="00CA552F">
        <w:t>was</w:t>
      </w:r>
      <w:r w:rsidR="00B2438B">
        <w:t xml:space="preserve"> on retainer</w:t>
      </w:r>
      <w:r w:rsidR="00CA552F">
        <w:t xml:space="preserve"> for the National Bank, technically to represent it in legal cases but </w:t>
      </w:r>
      <w:r w:rsidR="000F2966">
        <w:t>unofficially to incentivize him to represent their interests in Congress</w:t>
      </w:r>
      <w:r w:rsidR="008C433A">
        <w:t xml:space="preserve"> and in the presidency</w:t>
      </w:r>
      <w:r w:rsidR="000F2966">
        <w:t xml:space="preserve">. </w:t>
      </w:r>
      <w:r w:rsidR="008C7466">
        <w:t xml:space="preserve">This was hardly a secret, and </w:t>
      </w:r>
      <w:r w:rsidR="0065016C">
        <w:t xml:space="preserve">this was something his supporters, the opposition, and random observers knew. </w:t>
      </w:r>
      <w:r w:rsidR="007A78EB">
        <w:t>Despite this, it was hardly enough</w:t>
      </w:r>
      <w:r w:rsidR="00CF50C6">
        <w:t xml:space="preserve"> to demolish Webster’s name, nor was it enough to halt his renown as the “Expounder of the Constitution”</w:t>
      </w:r>
      <w:r w:rsidR="00A71E29">
        <w:t>, for this existed in a</w:t>
      </w:r>
      <w:r w:rsidR="00C77B2B">
        <w:t xml:space="preserve"> context of a </w:t>
      </w:r>
      <w:r w:rsidR="008D3081">
        <w:t>time where corruption was regular and common</w:t>
      </w:r>
      <w:r w:rsidR="00CF50C6">
        <w:t xml:space="preserve">. </w:t>
      </w:r>
    </w:p>
    <w:p w14:paraId="7AF2A8B5" w14:textId="399365A6" w:rsidR="006133B0" w:rsidRDefault="00CC7DBC" w:rsidP="00A57407">
      <w:r>
        <w:t xml:space="preserve">But it did mean that, upon his election to the presidency, none would be surprised that he’d be corrupt. This came at its very beginning with the </w:t>
      </w:r>
      <w:r w:rsidR="00940F25">
        <w:t xml:space="preserve">use of patronage. Though this was hardly a new </w:t>
      </w:r>
      <w:r w:rsidR="002655CB">
        <w:t>thing</w:t>
      </w:r>
      <w:r w:rsidR="00940F25">
        <w:t xml:space="preserve">, </w:t>
      </w:r>
      <w:r w:rsidR="002655CB">
        <w:t xml:space="preserve">as since the Burr era patronage had been doled out by party and in the </w:t>
      </w:r>
      <w:proofErr w:type="gramStart"/>
      <w:r w:rsidR="002655CB">
        <w:t>South</w:t>
      </w:r>
      <w:proofErr w:type="gramEnd"/>
      <w:r w:rsidR="002655CB">
        <w:t xml:space="preserve"> it had been held by the most </w:t>
      </w:r>
      <w:r w:rsidR="00835619">
        <w:t xml:space="preserve">unscrupulous elements due to Democratic weakness there, </w:t>
      </w:r>
      <w:r w:rsidR="009A473C">
        <w:t xml:space="preserve">Webster went as far as to </w:t>
      </w:r>
      <w:r w:rsidR="00405387">
        <w:t xml:space="preserve">sell government positions to the highest bidder. </w:t>
      </w:r>
      <w:r w:rsidR="003A0A90">
        <w:t>With the Post Office</w:t>
      </w:r>
      <w:r w:rsidR="000A6291">
        <w:t xml:space="preserve"> </w:t>
      </w:r>
      <w:r w:rsidR="003A0A90">
        <w:t>having a great many position</w:t>
      </w:r>
      <w:r w:rsidR="00044684">
        <w:t>s</w:t>
      </w:r>
      <w:r w:rsidR="003A0A90">
        <w:t xml:space="preserve">, especially </w:t>
      </w:r>
      <w:r w:rsidR="00BC4B6F">
        <w:t>with</w:t>
      </w:r>
      <w:r w:rsidR="003A0A90">
        <w:t xml:space="preserve"> </w:t>
      </w:r>
      <w:r w:rsidR="00F374B7">
        <w:t>the</w:t>
      </w:r>
      <w:r w:rsidR="00BC4B6F">
        <w:t xml:space="preserve"> expansive</w:t>
      </w:r>
      <w:r w:rsidR="00F374B7">
        <w:t xml:space="preserve"> </w:t>
      </w:r>
      <w:r w:rsidR="00C726F7">
        <w:t xml:space="preserve">semaphoric </w:t>
      </w:r>
      <w:r w:rsidR="00E55E42">
        <w:t>telegraph</w:t>
      </w:r>
      <w:r w:rsidR="00F374B7">
        <w:t xml:space="preserve"> network, </w:t>
      </w:r>
      <w:r w:rsidR="00BC4B6F">
        <w:t xml:space="preserve">this became the focal point for such </w:t>
      </w:r>
      <w:r w:rsidR="00533DDA">
        <w:t>selling</w:t>
      </w:r>
      <w:r w:rsidR="00E725FA">
        <w:rPr>
          <w:rStyle w:val="EndnoteReference"/>
        </w:rPr>
        <w:endnoteReference w:id="195"/>
      </w:r>
      <w:r w:rsidR="00853D65">
        <w:t xml:space="preserve">. </w:t>
      </w:r>
      <w:r w:rsidR="00D22004">
        <w:t xml:space="preserve">So too </w:t>
      </w:r>
      <w:r w:rsidR="00533DDA">
        <w:t>were jobs sold within the Department of State,</w:t>
      </w:r>
      <w:r w:rsidR="00D22004">
        <w:t xml:space="preserve"> </w:t>
      </w:r>
      <w:r w:rsidR="00533DDA">
        <w:t>Secretary Biddle being perfectly willing to allow Webster to dominate</w:t>
      </w:r>
      <w:r w:rsidR="00B6045F">
        <w:t xml:space="preserve">, and so too did the Department of the Treasury, Secretary Wilson also being willing to allow such presidential domination. However, this was perfectly legal, and so there was little anyone could do about it. </w:t>
      </w:r>
      <w:r w:rsidR="00E949AF">
        <w:t>When anyone questioned</w:t>
      </w:r>
      <w:r w:rsidR="00E436B4">
        <w:t xml:space="preserve"> him</w:t>
      </w:r>
      <w:r w:rsidR="00E949AF">
        <w:t xml:space="preserve">, </w:t>
      </w:r>
      <w:r w:rsidR="00E436B4">
        <w:t xml:space="preserve">President Webster claimed that this was simply a way to hire the best people to office, and in any case with secure </w:t>
      </w:r>
      <w:r w:rsidR="00E436B4">
        <w:lastRenderedPageBreak/>
        <w:t xml:space="preserve">Democratic control of Congress and the friendly Story Court in the judiciary, and with politics rather overshadowing such corruption, there was not very much that could be done on the subject. </w:t>
      </w:r>
    </w:p>
    <w:p w14:paraId="35A1794F" w14:textId="244805B8" w:rsidR="00CC7DBC" w:rsidRDefault="006133B0" w:rsidP="00A57407">
      <w:r>
        <w:t xml:space="preserve">But this was not the only opportunity for corruption. </w:t>
      </w:r>
      <w:r w:rsidR="00903F0B">
        <w:t xml:space="preserve">As part of the rechartering of the National Bank, </w:t>
      </w:r>
      <w:r w:rsidR="0054499C">
        <w:t>the institution was recapitalized at double its original value, and with the ensuing profits from this new stock offering, the Bank then invested in a series of</w:t>
      </w:r>
      <w:r w:rsidR="005C5DB0">
        <w:t xml:space="preserve"> corporations and </w:t>
      </w:r>
      <w:r w:rsidR="009B67BB">
        <w:t xml:space="preserve">projects. These investments gave it the right to appoint directors and otherwise exercise influence on their conduct. But along the way, it allowed Bank officers to make money with kickbacks and bribes; that many of these projects ended up merely paper schemes, </w:t>
      </w:r>
      <w:r w:rsidR="0022360C">
        <w:t xml:space="preserve">only allowed the Bank to artificially fuel bubbles, and for its officers to make a killing </w:t>
      </w:r>
      <w:proofErr w:type="gramStart"/>
      <w:r w:rsidR="0022360C">
        <w:t>off of</w:t>
      </w:r>
      <w:proofErr w:type="gramEnd"/>
      <w:r w:rsidR="0022360C">
        <w:t xml:space="preserve"> them. Additionally, the Bank gave </w:t>
      </w:r>
      <w:r w:rsidR="00613391">
        <w:t xml:space="preserve">to </w:t>
      </w:r>
      <w:r w:rsidR="0022360C">
        <w:t>companies it invested in, artificial advantages within the market</w:t>
      </w:r>
      <w:r w:rsidR="007A764E">
        <w:t xml:space="preserve">. These bribes, insider trading, and otherwise stock </w:t>
      </w:r>
      <w:r w:rsidR="000D55E8">
        <w:t>and bo</w:t>
      </w:r>
      <w:r w:rsidR="00D75027">
        <w:t>n</w:t>
      </w:r>
      <w:r w:rsidR="000D55E8">
        <w:t xml:space="preserve">d </w:t>
      </w:r>
      <w:r w:rsidR="007A764E">
        <w:t xml:space="preserve">manipulation, </w:t>
      </w:r>
      <w:r w:rsidR="000D55E8">
        <w:t>went all</w:t>
      </w:r>
      <w:r w:rsidR="007A764E">
        <w:t xml:space="preserve"> </w:t>
      </w:r>
      <w:r w:rsidR="000D55E8">
        <w:t>the way to the top to its president, Nathan Appleton – himself tightly associated with New England’s Suffolk Bank system</w:t>
      </w:r>
      <w:r w:rsidR="00D75027">
        <w:t xml:space="preserve">; within his </w:t>
      </w:r>
      <w:r w:rsidR="0088129B">
        <w:t>offices</w:t>
      </w:r>
      <w:r w:rsidR="00D75027">
        <w:t>, he regularly had meetings with railroad presidents, factory b</w:t>
      </w:r>
      <w:r w:rsidR="00837247">
        <w:t>os</w:t>
      </w:r>
      <w:r w:rsidR="00D75027">
        <w:t xml:space="preserve">ses, and many others to </w:t>
      </w:r>
      <w:r w:rsidR="00837247">
        <w:t>make deals that skirted the very edge of illegality</w:t>
      </w:r>
      <w:r w:rsidR="000D55E8">
        <w:t xml:space="preserve">. </w:t>
      </w:r>
      <w:r w:rsidR="004F60DB">
        <w:t xml:space="preserve">Though all of this helped the Bank to make a profit and therefore benefit its shareholders, </w:t>
      </w:r>
      <w:r w:rsidR="00D9474E">
        <w:t xml:space="preserve">it was not within the public interest. </w:t>
      </w:r>
    </w:p>
    <w:p w14:paraId="324EC07C" w14:textId="57F552A8" w:rsidR="00104874" w:rsidRDefault="00104874" w:rsidP="00A57407">
      <w:r>
        <w:t>What kicked off th</w:t>
      </w:r>
      <w:r w:rsidR="00B3405D">
        <w:t xml:space="preserve">e scandal </w:t>
      </w:r>
      <w:r>
        <w:t xml:space="preserve">was </w:t>
      </w:r>
      <w:r w:rsidR="00B3405D">
        <w:t>the construction</w:t>
      </w:r>
      <w:r>
        <w:t xml:space="preserve"> </w:t>
      </w:r>
      <w:r w:rsidR="00B3405D">
        <w:t xml:space="preserve">of </w:t>
      </w:r>
      <w:r w:rsidR="005466F9">
        <w:t xml:space="preserve">a railroad from </w:t>
      </w:r>
      <w:proofErr w:type="spellStart"/>
      <w:r w:rsidR="005466F9">
        <w:t>Millewackie</w:t>
      </w:r>
      <w:proofErr w:type="spellEnd"/>
      <w:r w:rsidR="005466F9">
        <w:t xml:space="preserve"> to Juniper City</w:t>
      </w:r>
      <w:r w:rsidR="00AF09A3">
        <w:t>, in which the National Bank invested thoroughly</w:t>
      </w:r>
      <w:r w:rsidR="005466F9">
        <w:t xml:space="preserve">. This was a far western railroad, </w:t>
      </w:r>
      <w:r w:rsidR="0041561F">
        <w:t>and this therefore allowed the people on the ground</w:t>
      </w:r>
      <w:r w:rsidR="005E5FEF">
        <w:t xml:space="preserve"> a lot of power</w:t>
      </w:r>
      <w:r w:rsidR="0041561F">
        <w:t xml:space="preserve">, especially the </w:t>
      </w:r>
      <w:r w:rsidR="00AF09A3">
        <w:t xml:space="preserve">personnel at the secondary National Bank </w:t>
      </w:r>
      <w:r w:rsidR="00A50262">
        <w:t>b</w:t>
      </w:r>
      <w:r w:rsidR="00AF09A3">
        <w:t>ranch</w:t>
      </w:r>
      <w:r w:rsidR="00A50262">
        <w:t xml:space="preserve"> in Huron</w:t>
      </w:r>
      <w:r w:rsidR="005E5FEF">
        <w:t xml:space="preserve">. </w:t>
      </w:r>
      <w:r w:rsidR="00250DA0">
        <w:t xml:space="preserve">When it came time to lay out the railroad, surveyors received bribes from every </w:t>
      </w:r>
      <w:r w:rsidR="00D77C2E">
        <w:t>settlement</w:t>
      </w:r>
      <w:r w:rsidR="00250DA0">
        <w:t xml:space="preserve"> along the way, who</w:t>
      </w:r>
      <w:r w:rsidR="00D77C2E">
        <w:t xml:space="preserve"> had dreams of turning their village into a grand, sprawling city – dreams that could only be achieved if the railroad went through it. </w:t>
      </w:r>
      <w:r w:rsidR="0033119C">
        <w:t xml:space="preserve">The state of Huron did have a press, even if it was a highly partisan </w:t>
      </w:r>
      <w:r w:rsidR="00703C82">
        <w:t xml:space="preserve">press of simple broadsheets; </w:t>
      </w:r>
      <w:r w:rsidR="00426B4A">
        <w:t xml:space="preserve">reporters within </w:t>
      </w:r>
      <w:r w:rsidR="00783447">
        <w:t xml:space="preserve">the </w:t>
      </w:r>
      <w:proofErr w:type="spellStart"/>
      <w:r w:rsidR="00783447" w:rsidRPr="00783447">
        <w:rPr>
          <w:i/>
          <w:iCs/>
        </w:rPr>
        <w:t>Millewackie</w:t>
      </w:r>
      <w:proofErr w:type="spellEnd"/>
      <w:r w:rsidR="00783447" w:rsidRPr="00783447">
        <w:rPr>
          <w:i/>
          <w:iCs/>
        </w:rPr>
        <w:t xml:space="preserve"> Republican</w:t>
      </w:r>
      <w:r w:rsidR="00426B4A">
        <w:t xml:space="preserve"> observed this system of corruption</w:t>
      </w:r>
      <w:r w:rsidR="00393AC9">
        <w:t xml:space="preserve">, and after investigating its </w:t>
      </w:r>
      <w:r w:rsidR="00393AC9">
        <w:lastRenderedPageBreak/>
        <w:t xml:space="preserve">scale they successfully published it in an 1850 article. </w:t>
      </w:r>
      <w:r w:rsidR="003C7DBD">
        <w:t xml:space="preserve">This was slow to reach eastwards, but it eventually did; </w:t>
      </w:r>
      <w:r w:rsidR="004762E9">
        <w:t>it did not take long for Republican organizations and newspapers to similarly investigate railroad projects, where they found similar corruption and more – it did not take long for them to make hay of them. Virtually every railroad project saw massive amounts of bribery by settlements that speculators wanted to turn into the next big town; the larger projects saw the deliberate</w:t>
      </w:r>
      <w:r w:rsidR="00253F79">
        <w:t xml:space="preserve"> pumping of stock and bond bubbles, which would collapse only after the owners sold off their stock at the very peak. </w:t>
      </w:r>
      <w:r w:rsidR="00882D55">
        <w:t xml:space="preserve">This whisper campaign slowly escalated until, come </w:t>
      </w:r>
      <w:r w:rsidR="005A2C35">
        <w:t xml:space="preserve">1851, they appeared everywhere in the nation. </w:t>
      </w:r>
      <w:r w:rsidR="0032685C">
        <w:t>In Washington, Republican-aligned reporters unveiled a corruption ring that wrapped the entire Eastern Arc and was meshed deep into the Washington Board of Brokers</w:t>
      </w:r>
      <w:r w:rsidR="00CB1E65">
        <w:t xml:space="preserve">. This forced several brokers to resign, </w:t>
      </w:r>
      <w:r w:rsidR="002B5CB7">
        <w:t>although that this was not illegal at this point, meant there was no further action to be done. But the scandal did not stop there</w:t>
      </w:r>
      <w:r w:rsidR="00321631">
        <w:t xml:space="preserve">; as reporters traced Appleton’s investments, they found that he consistently won large gains on </w:t>
      </w:r>
      <w:r w:rsidR="00F1612B">
        <w:t xml:space="preserve">stocks and bonds from precisely the same </w:t>
      </w:r>
      <w:r w:rsidR="005A309F">
        <w:t xml:space="preserve">companies that had been so manipulated. </w:t>
      </w:r>
      <w:r w:rsidR="00827939">
        <w:t xml:space="preserve">Far from being a regulator and manager of the economy, </w:t>
      </w:r>
      <w:r w:rsidR="007263BC">
        <w:t>this revealed it was but its exploiter. And the outcry was immense. Suddenly, the Bank seemed a threat to American economic prosperity</w:t>
      </w:r>
      <w:r w:rsidR="00BE083B">
        <w:t xml:space="preserve">. And though </w:t>
      </w:r>
      <w:r w:rsidR="007B29FB">
        <w:t>Webster swiftly pressured Appleton to resign and had him replaced with an outsider, Reverdy Johnson, who swiftly</w:t>
      </w:r>
      <w:r w:rsidR="00A87214">
        <w:t xml:space="preserve"> took action to root out corruption and more truly turn the Bank into the engine for economic growth and unity for it had been justified, </w:t>
      </w:r>
      <w:r w:rsidR="003C04B7">
        <w:t xml:space="preserve">it quite severely tainted the agenda of </w:t>
      </w:r>
      <w:proofErr w:type="spellStart"/>
      <w:r w:rsidR="003C04B7">
        <w:t>Websterism</w:t>
      </w:r>
      <w:proofErr w:type="spellEnd"/>
      <w:r w:rsidR="003C04B7">
        <w:t>. The elderly John C. Calhoun took a brief</w:t>
      </w:r>
      <w:r w:rsidR="00AB73B7">
        <w:t xml:space="preserve"> time to claim victory; despite that he had lost over nullification, and lost over Juniper, he could claim this as proof for his economic agenda, but the ensuing backlash to </w:t>
      </w:r>
      <w:proofErr w:type="spellStart"/>
      <w:r w:rsidR="00AB73B7">
        <w:t>Websterism</w:t>
      </w:r>
      <w:proofErr w:type="spellEnd"/>
      <w:r w:rsidR="00AB73B7">
        <w:t xml:space="preserve"> </w:t>
      </w:r>
      <w:r w:rsidR="00B24C62">
        <w:t xml:space="preserve">took on a very different scope, throwing aside state’s rights and sectionalism for something more national. </w:t>
      </w:r>
    </w:p>
    <w:p w14:paraId="0F96FDC7" w14:textId="61BB9A3D" w:rsidR="007C0302" w:rsidRDefault="007C0302" w:rsidP="00A57407">
      <w:r>
        <w:t xml:space="preserve">But from there, the Republicans wanted to </w:t>
      </w:r>
      <w:r w:rsidR="006E2D63">
        <w:t>take one step further. They look at Webster’s well-known set of bribes</w:t>
      </w:r>
      <w:r w:rsidR="00684D12">
        <w:t>, they tallied all his presents he took to his residence</w:t>
      </w:r>
      <w:r w:rsidR="00106C79">
        <w:t xml:space="preserve">, and they looked at the </w:t>
      </w:r>
      <w:r w:rsidR="00106C79">
        <w:lastRenderedPageBreak/>
        <w:t>various salaries he took</w:t>
      </w:r>
      <w:r w:rsidR="006E2D63">
        <w:t xml:space="preserve">, and they put it all together. </w:t>
      </w:r>
      <w:r w:rsidR="00772320">
        <w:t xml:space="preserve">They revealed that he had took in </w:t>
      </w:r>
      <w:r w:rsidR="006677E1">
        <w:t>millions of dollars</w:t>
      </w:r>
      <w:r w:rsidR="002403F5">
        <w:t>,</w:t>
      </w:r>
      <w:r w:rsidR="00DE4D0D">
        <w:t xml:space="preserve"> and they revealed that the Department of the Treasury was less the organ for integrating and distributing public money, and more a tool for mass public enrichment. It was all</w:t>
      </w:r>
      <w:r w:rsidR="002403F5">
        <w:t xml:space="preserve"> depicted in several charts which were printed </w:t>
      </w:r>
      <w:r w:rsidR="00714EA6">
        <w:t>in the ensuing report, duplicated and serialized for nationwide publication</w:t>
      </w:r>
      <w:r w:rsidR="002403F5">
        <w:t xml:space="preserve">. </w:t>
      </w:r>
      <w:r w:rsidR="00A33890">
        <w:t>It was all very damning</w:t>
      </w:r>
      <w:r w:rsidR="00D4235E">
        <w:t xml:space="preserve">, and all the Democrats could do to defend him was to </w:t>
      </w:r>
      <w:r w:rsidR="009A39B0">
        <w:t xml:space="preserve">point to several other corruption scandals. Indeed, Webster also lost support within his own </w:t>
      </w:r>
      <w:r w:rsidR="00424C33">
        <w:t xml:space="preserve">party – especially from the Western wing. They saw him as a man who taxed them, who distributed money to help the East and the cities and did less to them, and they saw in him a man captured and owned by coastal elites. </w:t>
      </w:r>
      <w:r w:rsidR="001520C6">
        <w:t xml:space="preserve">No longer was he “Godlike Daniel”, the “Expounder of the Constitution”; now, he was America’s last Federalist, an unabashed elitist who tainted his very party’s name. </w:t>
      </w:r>
      <w:r w:rsidR="00DE4D0D">
        <w:t>They wondered what all the free</w:t>
      </w:r>
      <w:r w:rsidR="00A63F8D">
        <w:t>-</w:t>
      </w:r>
      <w:r w:rsidR="00DE4D0D">
        <w:t>soil</w:t>
      </w:r>
      <w:r w:rsidR="00A63F8D">
        <w:t xml:space="preserve"> politics the Democratic Party was worth, if this is what it led to. </w:t>
      </w:r>
      <w:r w:rsidR="00012E09">
        <w:t xml:space="preserve">And when Webster fired his Secretary of the Treasury and blamed the scandal on him, it was to no avail; </w:t>
      </w:r>
      <w:r w:rsidR="00E075FA">
        <w:t xml:space="preserve">it only made him look weaker, and his </w:t>
      </w:r>
      <w:r w:rsidR="00993358">
        <w:t>administration as due to collapse</w:t>
      </w:r>
      <w:r w:rsidR="0017704F">
        <w:rPr>
          <w:rStyle w:val="EndnoteReference"/>
        </w:rPr>
        <w:endnoteReference w:id="196"/>
      </w:r>
      <w:r w:rsidR="00993358">
        <w:t xml:space="preserve">. </w:t>
      </w:r>
    </w:p>
    <w:p w14:paraId="29155A64" w14:textId="33CFC47B" w:rsidR="00FD5B53" w:rsidRDefault="00FD5B53" w:rsidP="00A57407">
      <w:r>
        <w:t>Though the Democratic majority in Congress made impeachment unthinkable</w:t>
      </w:r>
      <w:r w:rsidR="00680C31">
        <w:t xml:space="preserve">, the Republican press wanted to go in for the kill. </w:t>
      </w:r>
      <w:r w:rsidR="00FC524C">
        <w:t>Suddenly came new stories, on the most salacious gossip, on his many extramarital affairs; this was hardly news, and all could tell that his marriage was but a prop to get his wife’s family’s money, but with scandal already in the air, such rhetoric only became more commo</w:t>
      </w:r>
      <w:r w:rsidR="0086358D">
        <w:t>n</w:t>
      </w:r>
      <w:r w:rsidR="00FC524C">
        <w:t xml:space="preserve">. </w:t>
      </w:r>
      <w:r w:rsidR="003F01A0">
        <w:t xml:space="preserve">And many could not help but now believe it. </w:t>
      </w:r>
      <w:r w:rsidR="00180649">
        <w:t xml:space="preserve">Webster’s name was now mud, and many could not help but </w:t>
      </w:r>
      <w:r w:rsidR="002317F7">
        <w:t xml:space="preserve">deride him for it. </w:t>
      </w:r>
      <w:r w:rsidR="00D509CF">
        <w:t>The rhetoric in the</w:t>
      </w:r>
      <w:r w:rsidR="00592FF3">
        <w:t xml:space="preserve"> Republican</w:t>
      </w:r>
      <w:r w:rsidR="00D509CF">
        <w:t xml:space="preserve"> press simply escalated in tone; one that became common was to accuse him of having an affair with a Colored “mulatto” </w:t>
      </w:r>
      <w:r w:rsidR="006B50F0">
        <w:t>woman</w:t>
      </w:r>
      <w:r w:rsidR="00F675C4">
        <w:rPr>
          <w:rStyle w:val="EndnoteReference"/>
        </w:rPr>
        <w:endnoteReference w:id="197"/>
      </w:r>
      <w:r w:rsidR="00D509CF">
        <w:t xml:space="preserve">. There was no proof of it, and most historians cannot determine </w:t>
      </w:r>
      <w:r w:rsidR="0082530C">
        <w:t>the truth of this one way or another – and in any case, it hardly matters today –</w:t>
      </w:r>
      <w:r w:rsidR="006B50F0">
        <w:t xml:space="preserve"> but many Americans could not help but believe it</w:t>
      </w:r>
      <w:r w:rsidR="0082530C">
        <w:t xml:space="preserve">, in a time when </w:t>
      </w:r>
      <w:r w:rsidR="00EB2AFC">
        <w:t>people considered</w:t>
      </w:r>
      <w:r w:rsidR="00F9477F">
        <w:t xml:space="preserve"> racial</w:t>
      </w:r>
      <w:r w:rsidR="00EB2AFC">
        <w:t xml:space="preserve"> </w:t>
      </w:r>
      <w:r w:rsidR="00F9477F">
        <w:t>intermixing</w:t>
      </w:r>
      <w:r w:rsidR="00EB2AFC">
        <w:t xml:space="preserve"> simply dangerous</w:t>
      </w:r>
      <w:r w:rsidR="00464531">
        <w:t>, a contravening of the white man’s democracy that had</w:t>
      </w:r>
      <w:r w:rsidR="00401C0B">
        <w:t xml:space="preserve"> dominated the American nation </w:t>
      </w:r>
      <w:r w:rsidR="000D2D7C">
        <w:t xml:space="preserve">ever since </w:t>
      </w:r>
      <w:r w:rsidR="000D2D7C">
        <w:lastRenderedPageBreak/>
        <w:t>the Burr years</w:t>
      </w:r>
      <w:r w:rsidR="00401C0B">
        <w:t xml:space="preserve"> </w:t>
      </w:r>
      <w:r w:rsidR="006B50F0">
        <w:t xml:space="preserve">. </w:t>
      </w:r>
      <w:r w:rsidR="007A243E">
        <w:t xml:space="preserve">Once upon a time, Webster’s nickname of “Black Dan” signified merely his tanned appearance, his huge </w:t>
      </w:r>
      <w:r w:rsidR="005915AD">
        <w:t xml:space="preserve">black </w:t>
      </w:r>
      <w:r w:rsidR="007A243E">
        <w:t xml:space="preserve">eyebrows, and his black hair, but now it identified </w:t>
      </w:r>
      <w:r w:rsidR="00F14F7A">
        <w:t>his dangerously possible sexual tastes</w:t>
      </w:r>
      <w:r w:rsidR="007A243E">
        <w:t xml:space="preserve">. </w:t>
      </w:r>
    </w:p>
    <w:p w14:paraId="3ABDF68B" w14:textId="0BCFCD56" w:rsidR="00555D0B" w:rsidRDefault="00555D0B" w:rsidP="00A57407">
      <w:r>
        <w:t xml:space="preserve">Thus, in the last year of his tenure, </w:t>
      </w:r>
      <w:r w:rsidR="00F44550">
        <w:t xml:space="preserve">Webster’s reputation was in tatters. </w:t>
      </w:r>
      <w:r w:rsidR="001D42A5">
        <w:t xml:space="preserve">No longer was he </w:t>
      </w:r>
      <w:r w:rsidR="008264CD">
        <w:t>the vibrant “Godlike Daniel” who expounded the Constitution against his enemies, now he was</w:t>
      </w:r>
      <w:r w:rsidR="00AA1697">
        <w:t xml:space="preserve"> “Black Dan” who stole from the nation and cheated on his wife with dozens upon dozens of women, of varying degrees of social acceptability. His name was tarnished</w:t>
      </w:r>
      <w:r w:rsidR="00D958A0">
        <w:t xml:space="preserve">; </w:t>
      </w:r>
      <w:r w:rsidR="00AA1697">
        <w:t>though it ultimately would not persist, and</w:t>
      </w:r>
      <w:r w:rsidR="00976528">
        <w:t xml:space="preserve"> though</w:t>
      </w:r>
      <w:r w:rsidR="00AA1697">
        <w:t xml:space="preserve"> </w:t>
      </w:r>
      <w:r w:rsidR="00D958A0">
        <w:t>his modern reputation remains but untouched by these blemishes</w:t>
      </w:r>
      <w:r w:rsidR="00AA1697">
        <w:t xml:space="preserve">, </w:t>
      </w:r>
      <w:r w:rsidR="00D452B9">
        <w:t xml:space="preserve">for the time being his administration floundered. Certainly, the economy was still doing well, and the union had certainly been absolutely held together – but the nation had since moved on. </w:t>
      </w:r>
      <w:r w:rsidR="00A9438E">
        <w:t xml:space="preserve">But there was one last act left in his great, epic </w:t>
      </w:r>
      <w:r w:rsidR="002050A5">
        <w:t>presidency</w:t>
      </w:r>
      <w:r w:rsidR="00A9438E">
        <w:t xml:space="preserve">; </w:t>
      </w:r>
      <w:r w:rsidR="0094409D">
        <w:t xml:space="preserve">he still had one year left. </w:t>
      </w:r>
    </w:p>
    <w:p w14:paraId="7AE6CB7B" w14:textId="77777777" w:rsidR="00957B2F" w:rsidRDefault="00957B2F" w:rsidP="00957B2F">
      <w:r>
        <w:br w:type="page"/>
      </w:r>
    </w:p>
    <w:p w14:paraId="1538A39A" w14:textId="77777777" w:rsidR="00F22E37" w:rsidRDefault="00F22E37" w:rsidP="00240A28"/>
    <w:p w14:paraId="05993CDD" w14:textId="77777777" w:rsidR="00957B2F" w:rsidRDefault="00957B2F" w:rsidP="00240A28">
      <w:pPr>
        <w:sectPr w:rsidR="00957B2F" w:rsidSect="00240A28">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2C09DE9" w14:textId="77777777" w:rsidR="00240A28" w:rsidRDefault="00240A28" w:rsidP="00240A28">
      <w:r>
        <w:br w:type="page"/>
      </w:r>
    </w:p>
    <w:p w14:paraId="775F3D59" w14:textId="29D4CDD6" w:rsidR="00FE4D6C" w:rsidRDefault="00FE4D6C" w:rsidP="00FE4D6C">
      <w:pPr>
        <w:pStyle w:val="Heading1"/>
      </w:pPr>
      <w:bookmarkStart w:id="50" w:name="_Toc202006238"/>
      <w:r>
        <w:lastRenderedPageBreak/>
        <w:t>3</w:t>
      </w:r>
      <w:r w:rsidR="00F93DCA">
        <w:t>9</w:t>
      </w:r>
      <w:r>
        <w:t xml:space="preserve">. </w:t>
      </w:r>
      <w:r w:rsidR="0012366B">
        <w:t>To Plow the Sea</w:t>
      </w:r>
      <w:bookmarkEnd w:id="50"/>
    </w:p>
    <w:p w14:paraId="6EA3A4BF" w14:textId="1E0B2F7C" w:rsidR="0012366B" w:rsidRDefault="009B02D9" w:rsidP="0012366B">
      <w:r>
        <w:t xml:space="preserve">Much of the Webster administration </w:t>
      </w:r>
      <w:r w:rsidR="00DA2EDA">
        <w:t xml:space="preserve">was under the shadow of the New </w:t>
      </w:r>
      <w:proofErr w:type="spellStart"/>
      <w:r w:rsidR="00DA2EDA">
        <w:t>Granadine</w:t>
      </w:r>
      <w:proofErr w:type="spellEnd"/>
      <w:r w:rsidR="00DA2EDA">
        <w:t xml:space="preserve"> War of Independence. </w:t>
      </w:r>
      <w:r w:rsidR="00F250DE">
        <w:t>Beginning in 1848 over a minor skirmish between Venezuela and Spain, it rapidly blew up into a</w:t>
      </w:r>
      <w:r w:rsidR="00AC28D6">
        <w:t xml:space="preserve"> national revolt</w:t>
      </w:r>
      <w:r w:rsidR="0001783C">
        <w:t xml:space="preserve"> in New Granada</w:t>
      </w:r>
      <w:r w:rsidR="00A44DF5">
        <w:t xml:space="preserve"> with full Venezuelan support</w:t>
      </w:r>
      <w:r w:rsidR="0001783C">
        <w:t xml:space="preserve">, and </w:t>
      </w:r>
      <w:r w:rsidR="00CC0A3E">
        <w:t>when the ensuing Spanish invasion</w:t>
      </w:r>
      <w:r w:rsidR="009A0C07">
        <w:t xml:space="preserve"> of Venezuela threatened to subsume the </w:t>
      </w:r>
      <w:r w:rsidR="00B65206">
        <w:t xml:space="preserve">entire country, </w:t>
      </w:r>
      <w:r w:rsidR="00413D32">
        <w:t xml:space="preserve">the British government under </w:t>
      </w:r>
      <w:r w:rsidR="001A1006">
        <w:t>its</w:t>
      </w:r>
      <w:r w:rsidR="00413D32">
        <w:t xml:space="preserve"> ambitious</w:t>
      </w:r>
      <w:r w:rsidR="001A1006">
        <w:t xml:space="preserve"> prime minister,</w:t>
      </w:r>
      <w:r w:rsidR="00413D32">
        <w:t xml:space="preserve"> </w:t>
      </w:r>
      <w:r w:rsidR="001A1006">
        <w:t xml:space="preserve">Lord Dundonald, </w:t>
      </w:r>
      <w:r w:rsidR="00944C17">
        <w:t>declared war on the Spanish and subsequently launched</w:t>
      </w:r>
      <w:r w:rsidR="003345CF">
        <w:t xml:space="preserve"> ferocious attacks on virtually its entire empire, with explosive ships and even the use of chemical warfare</w:t>
      </w:r>
      <w:r w:rsidR="00DB1763">
        <w:t>, in order to crack it and leave it a set of British client republics</w:t>
      </w:r>
      <w:r w:rsidR="003345CF">
        <w:t>. In the United States, this suddenly</w:t>
      </w:r>
      <w:r w:rsidR="0025339F">
        <w:t xml:space="preserve"> sparked a massive wave of </w:t>
      </w:r>
      <w:r w:rsidR="006A1CC2">
        <w:t xml:space="preserve">horror, as the specter suddenly rose that its territory would be </w:t>
      </w:r>
      <w:proofErr w:type="gramStart"/>
      <w:r w:rsidR="006A1CC2">
        <w:t>surrounded on all sides</w:t>
      </w:r>
      <w:proofErr w:type="gramEnd"/>
      <w:r w:rsidR="006A1CC2">
        <w:t xml:space="preserve"> by British or British-allied republics, and to the </w:t>
      </w:r>
      <w:r w:rsidR="005852E4">
        <w:t xml:space="preserve">South in particular, it threatened to eliminate </w:t>
      </w:r>
      <w:r w:rsidR="00AA73F0">
        <w:t>its slave markets and</w:t>
      </w:r>
      <w:r w:rsidR="00025EF3">
        <w:t xml:space="preserve"> </w:t>
      </w:r>
      <w:r w:rsidR="00334B5B">
        <w:t>surround the</w:t>
      </w:r>
      <w:r w:rsidR="00A378E3">
        <w:t xml:space="preserve"> South with</w:t>
      </w:r>
      <w:r w:rsidR="00025EF3">
        <w:t xml:space="preserve"> free soil</w:t>
      </w:r>
      <w:r w:rsidR="00334B5B">
        <w:t>.</w:t>
      </w:r>
      <w:r w:rsidR="00205FF2">
        <w:t xml:space="preserve"> Both the interruption of the trans-Caribbean slave trade, and</w:t>
      </w:r>
      <w:r w:rsidR="00334B5B">
        <w:t xml:space="preserve"> </w:t>
      </w:r>
      <w:r w:rsidR="00205FF2">
        <w:t xml:space="preserve">a British charge on Tampico intended to provoke a Mexican national revolt, </w:t>
      </w:r>
      <w:r w:rsidR="00476A8E">
        <w:t>helped</w:t>
      </w:r>
      <w:r w:rsidR="00032F34">
        <w:t xml:space="preserve"> very nearly lead to Webster losing re-election in </w:t>
      </w:r>
      <w:r w:rsidR="0020596D">
        <w:t xml:space="preserve">1848 – but he didn’t. </w:t>
      </w:r>
    </w:p>
    <w:p w14:paraId="77B92D9B" w14:textId="37418077" w:rsidR="00744B20" w:rsidRDefault="00C44E2D" w:rsidP="0012366B">
      <w:r>
        <w:t>The Second Nullification Crisis</w:t>
      </w:r>
      <w:r w:rsidR="009E5B54">
        <w:t xml:space="preserve">, where South Carolina jumped the gun and nullified the Tariff of 1845, was partially provoked by that state’s long memories of the Sack of Charleston, and given the British Isles’ new foreign policy, </w:t>
      </w:r>
      <w:r w:rsidR="00764166">
        <w:t xml:space="preserve">many feared it </w:t>
      </w:r>
      <w:r w:rsidR="009E5B54">
        <w:t xml:space="preserve">might </w:t>
      </w:r>
      <w:r w:rsidR="005F5FC4">
        <w:t>sack Charleston again, and within the Union</w:t>
      </w:r>
      <w:r w:rsidR="00B70B80">
        <w:t>,</w:t>
      </w:r>
      <w:r w:rsidR="005F5FC4">
        <w:t xml:space="preserve"> with the full support of the Anglophilic Democrat</w:t>
      </w:r>
      <w:r w:rsidR="006F2926">
        <w:t>ic Party</w:t>
      </w:r>
      <w:r w:rsidR="001E6645">
        <w:t xml:space="preserve">. </w:t>
      </w:r>
      <w:r w:rsidR="00A670D7">
        <w:t xml:space="preserve">That the rest of the South did not join South Carolina, was in part because </w:t>
      </w:r>
      <w:r w:rsidR="00344F01">
        <w:t xml:space="preserve">it regarded the Union a useful shield against the increasingly-abolitionist </w:t>
      </w:r>
      <w:r w:rsidR="00456290">
        <w:t>British Isles</w:t>
      </w:r>
      <w:r w:rsidR="00F57AA3">
        <w:t xml:space="preserve">. This only reflected </w:t>
      </w:r>
      <w:r w:rsidR="00073FD1">
        <w:t xml:space="preserve">a great national divergence over the New </w:t>
      </w:r>
      <w:proofErr w:type="spellStart"/>
      <w:r w:rsidR="00073FD1">
        <w:t>Granadine</w:t>
      </w:r>
      <w:proofErr w:type="spellEnd"/>
      <w:r w:rsidR="00073FD1">
        <w:t xml:space="preserve"> War of Independence – the South </w:t>
      </w:r>
      <w:r w:rsidR="001D11EF">
        <w:t xml:space="preserve">opposed the British, viewing them as </w:t>
      </w:r>
      <w:r w:rsidR="00515E91">
        <w:t>dangerous abolitionists</w:t>
      </w:r>
      <w:r w:rsidR="005C5E83">
        <w:t xml:space="preserve"> who would separate them from </w:t>
      </w:r>
      <w:r w:rsidR="0097109C">
        <w:t>their slave markets in the Caribbean</w:t>
      </w:r>
      <w:r w:rsidR="00515E91">
        <w:t>; while in contrast much of the North supported them, viewing them as brothers</w:t>
      </w:r>
      <w:r w:rsidR="005C5E83">
        <w:t xml:space="preserve"> in fighting for freedom in the </w:t>
      </w:r>
      <w:r w:rsidR="005C5E83">
        <w:lastRenderedPageBreak/>
        <w:t>Americas, and it looked</w:t>
      </w:r>
      <w:r w:rsidR="00744B20">
        <w:t xml:space="preserve"> to turn them into valuable trade partners</w:t>
      </w:r>
      <w:r w:rsidR="005068D5">
        <w:rPr>
          <w:rStyle w:val="EndnoteReference"/>
        </w:rPr>
        <w:endnoteReference w:id="198"/>
      </w:r>
      <w:r w:rsidR="000F0AF7">
        <w:t>.</w:t>
      </w:r>
      <w:r w:rsidR="00744B20">
        <w:t xml:space="preserve"> Additionally, Henry Clay was one of those who supported the New </w:t>
      </w:r>
      <w:proofErr w:type="spellStart"/>
      <w:r w:rsidR="00744B20">
        <w:t>Granadine</w:t>
      </w:r>
      <w:proofErr w:type="spellEnd"/>
      <w:r w:rsidR="00744B20">
        <w:t xml:space="preserve"> War of Independence, and indeed he went so far as to advocate the United States declare war on the Spanish.</w:t>
      </w:r>
      <w:r w:rsidR="000F0AF7">
        <w:t xml:space="preserve"> </w:t>
      </w:r>
      <w:r w:rsidR="00841E85">
        <w:t xml:space="preserve">In this view, he was out of lockstep of the South, including even </w:t>
      </w:r>
      <w:r w:rsidR="00161F8A">
        <w:t>his own Kentucky whose traditional Democratic leanings were eroding in this era</w:t>
      </w:r>
      <w:r w:rsidR="009E05AA">
        <w:rPr>
          <w:rStyle w:val="EndnoteReference"/>
        </w:rPr>
        <w:endnoteReference w:id="199"/>
      </w:r>
      <w:r w:rsidR="00161F8A">
        <w:t xml:space="preserve">. </w:t>
      </w:r>
    </w:p>
    <w:p w14:paraId="520AA83D" w14:textId="7DE51FC5" w:rsidR="0091334B" w:rsidRDefault="0034344B" w:rsidP="0091334B">
      <w:r>
        <w:t>But</w:t>
      </w:r>
      <w:r w:rsidR="00744B20">
        <w:t xml:space="preserve"> </w:t>
      </w:r>
      <w:r w:rsidR="00DC5378">
        <w:t xml:space="preserve">despite Democratic Party Anglophilia, </w:t>
      </w:r>
      <w:r w:rsidR="00744B20">
        <w:t xml:space="preserve">Webster made allowance for the </w:t>
      </w:r>
      <w:r w:rsidR="001839DA">
        <w:t xml:space="preserve">South’s fierce anti-British stance, and his foreign policy on the war reflected his desire to </w:t>
      </w:r>
      <w:r w:rsidR="00A16FD5">
        <w:t>seek some sort of compromise bringing it to an end on good terms.</w:t>
      </w:r>
      <w:r>
        <w:t xml:space="preserve"> </w:t>
      </w:r>
      <w:r w:rsidR="00A16FD5">
        <w:t>F</w:t>
      </w:r>
      <w:r>
        <w:t xml:space="preserve">or the </w:t>
      </w:r>
      <w:r w:rsidR="003A458A">
        <w:t>several</w:t>
      </w:r>
      <w:r>
        <w:t xml:space="preserve"> years</w:t>
      </w:r>
      <w:r w:rsidR="003A458A">
        <w:t xml:space="preserve"> of the war</w:t>
      </w:r>
      <w:r>
        <w:t xml:space="preserve">, the South pressured the </w:t>
      </w:r>
      <w:r w:rsidR="00F94C65">
        <w:t>federal</w:t>
      </w:r>
      <w:r w:rsidR="00DA6293">
        <w:t xml:space="preserve"> government into </w:t>
      </w:r>
      <w:r w:rsidR="00F94C65">
        <w:t>trying to prevent British encroachment on nearby Spanish territories</w:t>
      </w:r>
      <w:r w:rsidR="00D44998">
        <w:t xml:space="preserve">, potentially even a war </w:t>
      </w:r>
      <w:r w:rsidR="002F053B">
        <w:t>on the Spanish side</w:t>
      </w:r>
      <w:r w:rsidR="00A274FD">
        <w:t xml:space="preserve">; to satisfy them, </w:t>
      </w:r>
      <w:r w:rsidR="00223437">
        <w:t xml:space="preserve">Webster would routinely have </w:t>
      </w:r>
      <w:r w:rsidR="00B949CD">
        <w:t>the British Consul-General</w:t>
      </w:r>
      <w:r w:rsidR="008D485B">
        <w:t xml:space="preserve"> </w:t>
      </w:r>
      <w:r w:rsidR="00B469C5">
        <w:t xml:space="preserve">to Washington </w:t>
      </w:r>
      <w:r w:rsidR="008D485B">
        <w:t xml:space="preserve">over to </w:t>
      </w:r>
      <w:r w:rsidR="00392B8C">
        <w:t>get him to stop</w:t>
      </w:r>
      <w:r w:rsidR="00F9668D">
        <w:t xml:space="preserve"> attacks on Spanish soil near</w:t>
      </w:r>
      <w:r w:rsidR="00B469C5">
        <w:t xml:space="preserve"> the US</w:t>
      </w:r>
      <w:r w:rsidR="006F43B4">
        <w:t>. And given that Prime Minister Dundonald sent massive</w:t>
      </w:r>
      <w:r w:rsidR="004F71D6">
        <w:t xml:space="preserve"> fleets with the goal of cracking the entire Spanish Empire, </w:t>
      </w:r>
      <w:r w:rsidR="003F182C">
        <w:t>a lot of them ended up close to the United States</w:t>
      </w:r>
      <w:r w:rsidR="002B4F46">
        <w:t>, and they caused several national uproars as a result</w:t>
      </w:r>
      <w:r w:rsidR="00392B8C">
        <w:t xml:space="preserve">. </w:t>
      </w:r>
      <w:r w:rsidR="009453B8">
        <w:t xml:space="preserve">When the British briefly took Tampico, </w:t>
      </w:r>
      <w:r w:rsidR="00542031">
        <w:t>the Webster administration</w:t>
      </w:r>
      <w:r w:rsidR="000465DC">
        <w:t xml:space="preserve"> </w:t>
      </w:r>
      <w:r w:rsidR="00542031">
        <w:t>successfully negotiated</w:t>
      </w:r>
      <w:r w:rsidR="00D4736E">
        <w:t xml:space="preserve"> British departure, although given the desired Mexican revolt failed to </w:t>
      </w:r>
      <w:r w:rsidR="0042099F">
        <w:t xml:space="preserve">materialize, </w:t>
      </w:r>
      <w:r w:rsidR="00F1696F">
        <w:t>the British</w:t>
      </w:r>
      <w:r w:rsidR="0042099F">
        <w:t xml:space="preserve"> </w:t>
      </w:r>
      <w:r w:rsidR="00F1696F">
        <w:t>were planning to depart anyways.</w:t>
      </w:r>
      <w:r w:rsidR="005B5AE4">
        <w:t xml:space="preserve"> Additionally, in 1851, the </w:t>
      </w:r>
      <w:r w:rsidR="007315F1">
        <w:t>British took Monterrey, on the coast of Spanish North California</w:t>
      </w:r>
      <w:r w:rsidR="0057315B">
        <w:t xml:space="preserve">, with the clear plan to </w:t>
      </w:r>
      <w:r w:rsidR="00B572CC">
        <w:t>turn</w:t>
      </w:r>
      <w:r w:rsidR="0057315B">
        <w:t xml:space="preserve"> </w:t>
      </w:r>
      <w:r w:rsidR="00B2219B">
        <w:t xml:space="preserve">the Californias </w:t>
      </w:r>
      <w:proofErr w:type="gramStart"/>
      <w:r w:rsidR="00B2219B">
        <w:t>as a whole into</w:t>
      </w:r>
      <w:proofErr w:type="gramEnd"/>
      <w:r w:rsidR="00B2219B">
        <w:t xml:space="preserve"> </w:t>
      </w:r>
      <w:r w:rsidR="00BC3421">
        <w:t>a British client republic</w:t>
      </w:r>
      <w:r w:rsidR="007315F1">
        <w:t xml:space="preserve">; the ensuing </w:t>
      </w:r>
      <w:r w:rsidR="00DC44AD">
        <w:t>panic this caused in the United States</w:t>
      </w:r>
      <w:r w:rsidR="00CB54AD">
        <w:t xml:space="preserve">, that a province with such potential on America’s border might become </w:t>
      </w:r>
      <w:r w:rsidR="005C2566">
        <w:t>a British client,</w:t>
      </w:r>
      <w:r w:rsidR="00DC44AD">
        <w:t xml:space="preserve"> resulted in </w:t>
      </w:r>
      <w:r w:rsidR="00BC7FA7">
        <w:t xml:space="preserve">yet another call for war. </w:t>
      </w:r>
      <w:r w:rsidR="00FF1796">
        <w:t xml:space="preserve">This, </w:t>
      </w:r>
      <w:r w:rsidR="0044072F">
        <w:t xml:space="preserve">President </w:t>
      </w:r>
      <w:r w:rsidR="00FF1796">
        <w:t>Webster once more resolved through deft</w:t>
      </w:r>
      <w:r w:rsidR="00EC7F1C">
        <w:t xml:space="preserve"> negotiation which saw the British agree to depart, in return for a general American agreement that they’d bar Spanish settlement in the Columbia River </w:t>
      </w:r>
      <w:r w:rsidR="000D515F">
        <w:t>watershed</w:t>
      </w:r>
      <w:r w:rsidR="00EC7F1C">
        <w:t xml:space="preserve">. </w:t>
      </w:r>
    </w:p>
    <w:p w14:paraId="1C6D8A90" w14:textId="58F77A13" w:rsidR="00FC32E3" w:rsidRDefault="00FC32E3" w:rsidP="0012366B">
      <w:r>
        <w:lastRenderedPageBreak/>
        <w:t xml:space="preserve">And at the same time, Webster sought to </w:t>
      </w:r>
      <w:r w:rsidR="00D346B2">
        <w:t xml:space="preserve">bring the British and Spanish over to the table to bring the war to an end. He saw that </w:t>
      </w:r>
      <w:r w:rsidR="00FB6E52">
        <w:t>the very specter of war</w:t>
      </w:r>
      <w:r w:rsidR="00D346B2">
        <w:t xml:space="preserve"> opened a cleavage between North and South, and he wanted it shut</w:t>
      </w:r>
      <w:r w:rsidR="00433DCC">
        <w:rPr>
          <w:rStyle w:val="EndnoteReference"/>
        </w:rPr>
        <w:endnoteReference w:id="200"/>
      </w:r>
      <w:r w:rsidR="00D346B2">
        <w:t xml:space="preserve">. </w:t>
      </w:r>
      <w:r w:rsidR="00EE26EB">
        <w:t xml:space="preserve">For some time, his attempts to </w:t>
      </w:r>
      <w:r w:rsidR="00BE18CF">
        <w:t>end the war</w:t>
      </w:r>
      <w:r w:rsidR="0018476B">
        <w:t xml:space="preserve"> </w:t>
      </w:r>
      <w:r w:rsidR="00BE18CF">
        <w:t>through negotiation</w:t>
      </w:r>
      <w:r w:rsidR="0018476B">
        <w:t xml:space="preserve"> failed, but he kept the option open, and he issued several reports proposing </w:t>
      </w:r>
      <w:r w:rsidR="001D5B61">
        <w:t>compromises</w:t>
      </w:r>
      <w:r w:rsidR="00035D31">
        <w:t xml:space="preserve"> which he thought might serve as working drafts for </w:t>
      </w:r>
      <w:r w:rsidR="00FF0DA1">
        <w:t>a final treaty</w:t>
      </w:r>
      <w:r w:rsidR="00D26460">
        <w:t xml:space="preserve">. </w:t>
      </w:r>
      <w:r w:rsidR="00C1518E">
        <w:t>F</w:t>
      </w:r>
      <w:r w:rsidR="00061106">
        <w:t>or some time, the British were unwilling to</w:t>
      </w:r>
      <w:r w:rsidR="00D26460">
        <w:t xml:space="preserve"> </w:t>
      </w:r>
      <w:r w:rsidR="00F273F9">
        <w:t>be brought to the table, the Dundonald administration</w:t>
      </w:r>
      <w:r w:rsidR="00694A19">
        <w:t xml:space="preserve"> being too busy trying to make the entire Spanish Empire into </w:t>
      </w:r>
      <w:r w:rsidR="00C1518E">
        <w:t>client republics of the British Isles</w:t>
      </w:r>
      <w:r w:rsidR="00616A88">
        <w:t xml:space="preserve">; but come </w:t>
      </w:r>
      <w:r w:rsidR="0073012C">
        <w:t>1852, British support of the war was beginning to erode</w:t>
      </w:r>
      <w:r w:rsidR="00705350">
        <w:t xml:space="preserve"> and</w:t>
      </w:r>
      <w:r w:rsidR="00BB65C5">
        <w:t xml:space="preserve"> the antiwar movement under the classical radical extraordinaire </w:t>
      </w:r>
      <w:r w:rsidR="000915E8">
        <w:t>Richard Cobden</w:t>
      </w:r>
      <w:r w:rsidR="00FA3784">
        <w:t xml:space="preserve"> won growing influence in </w:t>
      </w:r>
      <w:r w:rsidR="00C90612">
        <w:t>Parliament</w:t>
      </w:r>
      <w:r w:rsidR="00B41F9C">
        <w:rPr>
          <w:rStyle w:val="EndnoteReference"/>
        </w:rPr>
        <w:endnoteReference w:id="201"/>
      </w:r>
      <w:r w:rsidR="00C90612">
        <w:t>.</w:t>
      </w:r>
      <w:r w:rsidR="0073012C">
        <w:t xml:space="preserve"> </w:t>
      </w:r>
      <w:r w:rsidR="00152675">
        <w:t>W</w:t>
      </w:r>
      <w:r w:rsidR="0073012C">
        <w:t xml:space="preserve">ith </w:t>
      </w:r>
      <w:r w:rsidR="00152675">
        <w:t>the offer</w:t>
      </w:r>
      <w:r w:rsidR="0073012C">
        <w:t xml:space="preserve"> being on the table</w:t>
      </w:r>
      <w:r w:rsidR="00A722F1">
        <w:t>, and with the war having proceeded quite well for the British</w:t>
      </w:r>
      <w:r w:rsidR="0073012C">
        <w:t xml:space="preserve">, </w:t>
      </w:r>
      <w:r w:rsidR="003E033C">
        <w:t>Dundonald increasingly found himself pressured into accepting the Webster administration’s offer on the subject</w:t>
      </w:r>
      <w:r w:rsidR="00DA444A">
        <w:t xml:space="preserve"> – or else he might find himself</w:t>
      </w:r>
      <w:r w:rsidR="00BD0950">
        <w:t xml:space="preserve"> losing the support of his own party</w:t>
      </w:r>
      <w:r w:rsidR="003E033C">
        <w:t xml:space="preserve">. </w:t>
      </w:r>
      <w:r w:rsidR="006C6B78">
        <w:t>And thus, the British signalled to Washington that they’d be willing to accept American mediation</w:t>
      </w:r>
      <w:r w:rsidR="00D911B7">
        <w:t xml:space="preserve">, and Webster successfully also brought the </w:t>
      </w:r>
      <w:r w:rsidR="00C3254C">
        <w:t xml:space="preserve">Spanish to the table. </w:t>
      </w:r>
    </w:p>
    <w:p w14:paraId="1D26571C" w14:textId="6B184645" w:rsidR="003516E9" w:rsidRDefault="003516E9" w:rsidP="0012366B">
      <w:r>
        <w:t xml:space="preserve">The ensuing </w:t>
      </w:r>
      <w:r w:rsidR="00220ACA">
        <w:t xml:space="preserve">negotiation for the Treaty of Washington was a </w:t>
      </w:r>
      <w:r w:rsidR="007F68AB">
        <w:t>chaotic affair</w:t>
      </w:r>
      <w:r w:rsidR="009D1E74">
        <w:t xml:space="preserve">. Accepting a British delegation under William Molesworth and a Spanish delegation under </w:t>
      </w:r>
      <w:r w:rsidR="009D1E74" w:rsidRPr="009D1E74">
        <w:t>Ramón Cabrera</w:t>
      </w:r>
      <w:r w:rsidR="009D1E74">
        <w:t xml:space="preserve">, </w:t>
      </w:r>
      <w:r w:rsidR="00C10985">
        <w:t xml:space="preserve">he immediately got them to work on </w:t>
      </w:r>
      <w:r w:rsidR="00EB3450">
        <w:t xml:space="preserve">bringing them towards </w:t>
      </w:r>
      <w:r w:rsidR="00D7767B">
        <w:t xml:space="preserve">peace. </w:t>
      </w:r>
      <w:r w:rsidR="00A44DF5">
        <w:t>Overall, the two agreed that New Granada would become an independent state</w:t>
      </w:r>
      <w:r w:rsidR="00AD3FC8">
        <w:t xml:space="preserve">, but its precise borders would be </w:t>
      </w:r>
      <w:r w:rsidR="00251009">
        <w:t xml:space="preserve">a topic of debate. </w:t>
      </w:r>
      <w:r w:rsidR="00BE21B9">
        <w:t xml:space="preserve">Additionally, the British sought to turn its </w:t>
      </w:r>
      <w:r w:rsidR="000E09EE">
        <w:t>conquests</w:t>
      </w:r>
      <w:r w:rsidR="00AD683E">
        <w:t xml:space="preserve"> in Manila into an independent Filipino state, although it seems clear from the outset that </w:t>
      </w:r>
      <w:r w:rsidR="000E09EE">
        <w:t>the British sought to use it</w:t>
      </w:r>
      <w:r w:rsidR="00AD683E">
        <w:t xml:space="preserve"> as a bargaining chip. </w:t>
      </w:r>
      <w:r w:rsidR="004E7EFE">
        <w:t>The negotiations were managed by America’s Secretary of State, Nicholas Biddle</w:t>
      </w:r>
      <w:r w:rsidR="00342BA1">
        <w:t xml:space="preserve">, but above </w:t>
      </w:r>
      <w:proofErr w:type="gramStart"/>
      <w:r w:rsidR="00342BA1">
        <w:t>it</w:t>
      </w:r>
      <w:proofErr w:type="gramEnd"/>
      <w:r w:rsidR="00342BA1">
        <w:t xml:space="preserve"> Webster managed Biddle’s conduct</w:t>
      </w:r>
      <w:r w:rsidR="000B1782">
        <w:t xml:space="preserve">. </w:t>
      </w:r>
      <w:r w:rsidR="00307F04">
        <w:t>The sticking point of the entire negotiation</w:t>
      </w:r>
      <w:r w:rsidR="00C01350">
        <w:t xml:space="preserve"> was where the border between New Granada and </w:t>
      </w:r>
      <w:r w:rsidR="00242D1C">
        <w:t>the Spanish</w:t>
      </w:r>
      <w:r w:rsidR="00D84A22">
        <w:t xml:space="preserve"> domain of Quito was to be set; the British sought something which would give New Granada access to the Pacific, preferably through the Isthmus of </w:t>
      </w:r>
      <w:r w:rsidR="00D84A22">
        <w:lastRenderedPageBreak/>
        <w:t xml:space="preserve">Panama, while in contrast the Spanish sought to deny New Granada even a Pacific coast. The United States also wanted to deny </w:t>
      </w:r>
      <w:r w:rsidR="001F4B00">
        <w:t xml:space="preserve">New Granada access to the Pacific, viewing it as a British client and such an arrangement as compromising </w:t>
      </w:r>
      <w:r w:rsidR="00472ABD">
        <w:t>its</w:t>
      </w:r>
      <w:r w:rsidR="00EB74EE">
        <w:t xml:space="preserve"> dreams of dominating the Americas – but it became clear that </w:t>
      </w:r>
      <w:r w:rsidR="00251465">
        <w:t xml:space="preserve">Molesworth </w:t>
      </w:r>
      <w:r w:rsidR="007731E5">
        <w:t xml:space="preserve">would not agree to ceding New Granada’s access to the Pacific. </w:t>
      </w:r>
      <w:r w:rsidR="00144DBD">
        <w:t xml:space="preserve">Instead, Biddle and </w:t>
      </w:r>
      <w:r w:rsidR="005F14A3">
        <w:t xml:space="preserve">Webster focused their efforts on limiting </w:t>
      </w:r>
      <w:r w:rsidR="00194754">
        <w:t xml:space="preserve">it. </w:t>
      </w:r>
    </w:p>
    <w:p w14:paraId="6D582FAF" w14:textId="276D277D" w:rsidR="00184DB6" w:rsidRDefault="00184DB6" w:rsidP="0012366B">
      <w:r>
        <w:t xml:space="preserve">The bulk of British </w:t>
      </w:r>
      <w:r w:rsidR="002B6483">
        <w:t xml:space="preserve">efforts were focused on </w:t>
      </w:r>
      <w:r w:rsidR="00E034DC">
        <w:t xml:space="preserve">securing the Isthmus of Panama for </w:t>
      </w:r>
      <w:r w:rsidR="00D23BE6">
        <w:t xml:space="preserve">New Granada. Being within </w:t>
      </w:r>
      <w:r w:rsidR="005802F1">
        <w:t xml:space="preserve">the borders of the Spanish Viceroyalty, </w:t>
      </w:r>
      <w:r w:rsidR="000A0D9F">
        <w:t xml:space="preserve">British efforts to take it had largely failed, as had efforts from New Granada northwards; </w:t>
      </w:r>
      <w:r w:rsidR="007918D5">
        <w:t>despite it, that it was so narrow a canal connecting the Atlantic and Pacific</w:t>
      </w:r>
      <w:r w:rsidR="001A4158">
        <w:t xml:space="preserve"> looked quite viable, </w:t>
      </w:r>
      <w:r w:rsidR="004E7178">
        <w:t xml:space="preserve">and the British wanted it. </w:t>
      </w:r>
      <w:r w:rsidR="0074209E">
        <w:t xml:space="preserve">But the Spanish wanted to build a canal of their own, and </w:t>
      </w:r>
      <w:r w:rsidR="00D33AC5">
        <w:t xml:space="preserve">the issue came close several times to toppling the entire negotiation process. </w:t>
      </w:r>
      <w:r w:rsidR="00297C35">
        <w:t xml:space="preserve">Several times, Biddle and Webster had to work their diplomatic magic to </w:t>
      </w:r>
      <w:r w:rsidR="005775DA">
        <w:t>prevent a fatal breach – but they ultimately succeeded</w:t>
      </w:r>
      <w:r w:rsidR="00875F0F">
        <w:t xml:space="preserve">. But when it looked like the British might be successfully able to trade Manila for </w:t>
      </w:r>
      <w:r w:rsidR="00FB3290">
        <w:t xml:space="preserve">New </w:t>
      </w:r>
      <w:proofErr w:type="spellStart"/>
      <w:r w:rsidR="00FB3290">
        <w:t>Granadine</w:t>
      </w:r>
      <w:proofErr w:type="spellEnd"/>
      <w:r w:rsidR="00FB3290">
        <w:t xml:space="preserve"> control over Panama</w:t>
      </w:r>
      <w:r w:rsidR="00D62C3C">
        <w:t xml:space="preserve">, Webster decided to scuttle it. This he did by </w:t>
      </w:r>
      <w:r w:rsidR="00856969">
        <w:t>mailing anonymously</w:t>
      </w:r>
      <w:r w:rsidR="00D62C3C">
        <w:t xml:space="preserve"> to Cabrera a report made by the Smithsonian – a report he had prepared for just this purpose – on the feasibility of constructing a canal on mainland New Granada across the </w:t>
      </w:r>
      <w:proofErr w:type="spellStart"/>
      <w:r w:rsidR="00D62C3C">
        <w:t>Atrato</w:t>
      </w:r>
      <w:proofErr w:type="spellEnd"/>
      <w:r w:rsidR="00D62C3C">
        <w:t xml:space="preserve"> River to connect the Atlantic and Pacific. </w:t>
      </w:r>
      <w:r w:rsidR="0083448F">
        <w:t xml:space="preserve">In the eyes of the Spanish, this made it seem like the British were plotting to monopolize the trade by taking not only Panama, not only the Mosquito Coast, but also </w:t>
      </w:r>
      <w:r w:rsidR="000423B1">
        <w:t xml:space="preserve">this path. </w:t>
      </w:r>
      <w:r w:rsidR="00813FD9">
        <w:t xml:space="preserve">Thus, predictably Cabrera was furious, and when </w:t>
      </w:r>
      <w:r w:rsidR="004A40A7">
        <w:t>Molesworth pointed his finger</w:t>
      </w:r>
      <w:r w:rsidR="0006012C">
        <w:t xml:space="preserve"> at them having done this deliberately</w:t>
      </w:r>
      <w:r w:rsidR="004A40A7">
        <w:t xml:space="preserve">, Webster and Biddle threw up their hands at what they called an unavoidable leak. </w:t>
      </w:r>
      <w:r w:rsidR="00B56D43">
        <w:t xml:space="preserve">But nevertheless, in the end </w:t>
      </w:r>
      <w:r w:rsidR="00AC7D83">
        <w:t xml:space="preserve">the British were willing to concede, and negotiations proceeded. </w:t>
      </w:r>
    </w:p>
    <w:p w14:paraId="4E34C448" w14:textId="194A5BE8" w:rsidR="00CF26C7" w:rsidRPr="0012366B" w:rsidRDefault="00CF26C7" w:rsidP="0012366B">
      <w:r>
        <w:t xml:space="preserve">In the end, </w:t>
      </w:r>
      <w:r w:rsidR="00003D70">
        <w:t xml:space="preserve">Webster and Biddle were able to mediate for and make the Treaty of Washington. </w:t>
      </w:r>
      <w:r w:rsidR="00A552A1">
        <w:t xml:space="preserve">And though its final signing had something of a pallor, Webster having died during negotiations, the </w:t>
      </w:r>
      <w:r w:rsidR="00A552A1">
        <w:lastRenderedPageBreak/>
        <w:t>treaty was quite a fear; it gave to New Granada borders that nevertheless denied it Panama, while at the same time it also ensured for American commerce free access to the new country on the same terms as the British.</w:t>
      </w:r>
      <w:r w:rsidR="00F96DCF">
        <w:t xml:space="preserve"> And there was very little Lord Dundonald could do to scuttle the treaty, and with its ratification by both the Spanish monarchy and the British Parliament</w:t>
      </w:r>
      <w:r w:rsidR="00B739F4">
        <w:t xml:space="preserve"> –</w:t>
      </w:r>
      <w:r w:rsidR="00F96DCF">
        <w:t xml:space="preserve"> </w:t>
      </w:r>
      <w:r w:rsidR="00B739F4">
        <w:t xml:space="preserve">the Treaty of Washington was ultimately </w:t>
      </w:r>
      <w:r w:rsidR="00037A9C">
        <w:t xml:space="preserve">Daniel </w:t>
      </w:r>
      <w:r w:rsidR="00B739F4">
        <w:t>Webster’s last victory</w:t>
      </w:r>
      <w:r w:rsidR="00741260">
        <w:t xml:space="preserve">. </w:t>
      </w:r>
    </w:p>
    <w:p w14:paraId="133F022E" w14:textId="77777777" w:rsidR="00D4736E" w:rsidRDefault="00D4736E" w:rsidP="00D4736E">
      <w:r>
        <w:br w:type="page"/>
      </w:r>
    </w:p>
    <w:p w14:paraId="482C24CF" w14:textId="77777777" w:rsidR="00FE4D6C" w:rsidRDefault="00FE4D6C" w:rsidP="00FE4D6C"/>
    <w:p w14:paraId="1BC1678F" w14:textId="77777777" w:rsidR="00D4736E" w:rsidRDefault="00D4736E" w:rsidP="00FE4D6C">
      <w:pPr>
        <w:sectPr w:rsidR="00D4736E" w:rsidSect="00FE4D6C">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65AEA5E6" w14:textId="77777777" w:rsidR="00FE4D6C" w:rsidRDefault="00FE4D6C" w:rsidP="00FE4D6C">
      <w:r>
        <w:br w:type="page"/>
      </w:r>
    </w:p>
    <w:p w14:paraId="315D62B9" w14:textId="07375B4A" w:rsidR="001529D0" w:rsidRDefault="00F93DCA" w:rsidP="001529D0">
      <w:pPr>
        <w:pStyle w:val="Heading1"/>
      </w:pPr>
      <w:bookmarkStart w:id="51" w:name="_Toc202006239"/>
      <w:r>
        <w:lastRenderedPageBreak/>
        <w:t>40</w:t>
      </w:r>
      <w:r w:rsidR="001529D0">
        <w:t>. The National Apprehension</w:t>
      </w:r>
      <w:bookmarkEnd w:id="51"/>
    </w:p>
    <w:p w14:paraId="0234985B" w14:textId="110D799D" w:rsidR="001529D0" w:rsidRDefault="00CE2495" w:rsidP="001529D0">
      <w:r>
        <w:t xml:space="preserve">The 1852 election was held in a most curious </w:t>
      </w:r>
      <w:r w:rsidR="00F45B8B">
        <w:t xml:space="preserve">atmosphere. On the one hand, </w:t>
      </w:r>
      <w:r w:rsidR="00B84EA3">
        <w:t xml:space="preserve">Daniel Webster had certainly accomplished what </w:t>
      </w:r>
      <w:r w:rsidR="00515B8A">
        <w:t xml:space="preserve">he had set out to do. </w:t>
      </w:r>
      <w:r w:rsidR="00033503">
        <w:t xml:space="preserve">He had </w:t>
      </w:r>
      <w:r w:rsidR="00B92C7C">
        <w:t>saved</w:t>
      </w:r>
      <w:r w:rsidR="00033503">
        <w:t xml:space="preserve"> the economy</w:t>
      </w:r>
      <w:r w:rsidR="00B92C7C">
        <w:t xml:space="preserve"> from total ruin, and the </w:t>
      </w:r>
      <w:r w:rsidR="00717921">
        <w:t>national</w:t>
      </w:r>
      <w:r w:rsidR="00B92C7C">
        <w:t xml:space="preserve"> decay which had </w:t>
      </w:r>
      <w:r w:rsidR="00717921">
        <w:t>reigned in the nation in 1845 had passed</w:t>
      </w:r>
      <w:r w:rsidR="00B77AC0">
        <w:t>; in its place came a massive economic boom and the emergence of the telegraph and railroad</w:t>
      </w:r>
      <w:r w:rsidR="003D5EA7">
        <w:t xml:space="preserve"> as national infrastructure</w:t>
      </w:r>
      <w:r w:rsidR="00033503">
        <w:t xml:space="preserve">. </w:t>
      </w:r>
      <w:r w:rsidR="00DD7BB4">
        <w:t xml:space="preserve">He had eroded the </w:t>
      </w:r>
      <w:r w:rsidR="00DB04D0">
        <w:t xml:space="preserve">onslaught of the Planter Ascendancy </w:t>
      </w:r>
      <w:r w:rsidR="00F464FF">
        <w:t>without alienating the South entirely, and he had seen the triumph of the Union over its enemies</w:t>
      </w:r>
      <w:r w:rsidR="009E14F1">
        <w:t xml:space="preserve">; instead, free-soil </w:t>
      </w:r>
      <w:r w:rsidR="008606F3">
        <w:t xml:space="preserve">and </w:t>
      </w:r>
      <w:r w:rsidR="009E14F1">
        <w:t xml:space="preserve">progress made its headway </w:t>
      </w:r>
      <w:proofErr w:type="gramStart"/>
      <w:r w:rsidR="009E14F1">
        <w:t>all across</w:t>
      </w:r>
      <w:proofErr w:type="gramEnd"/>
      <w:r w:rsidR="009E14F1">
        <w:t xml:space="preserve"> the nation</w:t>
      </w:r>
      <w:r w:rsidR="00F464FF">
        <w:t xml:space="preserve">. </w:t>
      </w:r>
      <w:r w:rsidR="008606F3">
        <w:t xml:space="preserve">But there were many reasons to be discontented. </w:t>
      </w:r>
      <w:r w:rsidR="007D3D23">
        <w:t>For the</w:t>
      </w:r>
      <w:r w:rsidR="003D5EA7">
        <w:t xml:space="preserve"> rise of industry came at the expense of much of America’s </w:t>
      </w:r>
      <w:r w:rsidR="00990143">
        <w:t xml:space="preserve">traditional social fabric; no longer was the United States a land of </w:t>
      </w:r>
      <w:r w:rsidR="00000E15">
        <w:t xml:space="preserve">autonomous producers, where any white man could </w:t>
      </w:r>
      <w:r w:rsidR="007358C3">
        <w:t xml:space="preserve">go from an employee to a prosperous producing yeoman-farmer, but instead a massive number of white people </w:t>
      </w:r>
      <w:r w:rsidR="00745620">
        <w:t>ended up</w:t>
      </w:r>
      <w:r w:rsidR="007358C3">
        <w:t xml:space="preserve"> </w:t>
      </w:r>
      <w:r w:rsidR="00D96641">
        <w:t xml:space="preserve">workers in a </w:t>
      </w:r>
      <w:r w:rsidR="005F42BA">
        <w:t>massive corporate apparatus centered around the National Bank</w:t>
      </w:r>
      <w:r w:rsidR="00D96641">
        <w:t xml:space="preserve">. </w:t>
      </w:r>
      <w:r w:rsidR="00A939B7">
        <w:t xml:space="preserve">In the South, the </w:t>
      </w:r>
      <w:r w:rsidR="000274F6">
        <w:t xml:space="preserve">different between planter and slave became starker and more rigid than ever, and a large portion of whites, too poor to own slaves, ended up </w:t>
      </w:r>
      <w:r w:rsidR="00793FA4">
        <w:t>forced</w:t>
      </w:r>
      <w:r w:rsidR="000274F6">
        <w:t xml:space="preserve"> </w:t>
      </w:r>
      <w:r w:rsidR="00793FA4">
        <w:t>into the margins of Southern society</w:t>
      </w:r>
      <w:r w:rsidR="00191201">
        <w:t>,</w:t>
      </w:r>
      <w:r w:rsidR="00793FA4">
        <w:t xml:space="preserve"> and </w:t>
      </w:r>
      <w:r w:rsidR="00191201">
        <w:t>their only hopes of making a livelihood was to</w:t>
      </w:r>
      <w:r w:rsidR="00793FA4">
        <w:t xml:space="preserve"> migrate northwards. </w:t>
      </w:r>
      <w:r w:rsidR="005B1BED">
        <w:t>And it was grossly clear that Webster and the rest of the national network of industry</w:t>
      </w:r>
      <w:r w:rsidR="00756C92">
        <w:t xml:space="preserve"> was guilty of gross and extreme corruption. </w:t>
      </w:r>
      <w:r w:rsidR="00812AAB">
        <w:t>Thus, the nation was shaken by a strange combination of</w:t>
      </w:r>
      <w:r w:rsidR="00CA005D">
        <w:t xml:space="preserve"> cheers and trepidation</w:t>
      </w:r>
      <w:r w:rsidR="004A52F9">
        <w:t xml:space="preserve">, and this decisively mixed national mood would shape the coming election year. </w:t>
      </w:r>
    </w:p>
    <w:p w14:paraId="339A41C8" w14:textId="01F5B160" w:rsidR="00212E56" w:rsidRDefault="001D1A3F" w:rsidP="001529D0">
      <w:r>
        <w:t xml:space="preserve">The Republican Party was decidedly shaken </w:t>
      </w:r>
      <w:r w:rsidR="00E0153A">
        <w:t>in this year</w:t>
      </w:r>
      <w:r w:rsidR="00255DBE">
        <w:rPr>
          <w:rStyle w:val="EndnoteReference"/>
        </w:rPr>
        <w:endnoteReference w:id="202"/>
      </w:r>
      <w:r w:rsidR="00E0153A">
        <w:t xml:space="preserve">. </w:t>
      </w:r>
      <w:r w:rsidR="000D2707">
        <w:t xml:space="preserve">Divided over the Second Nullification and Juniper Crises, it was </w:t>
      </w:r>
      <w:r w:rsidR="00DE3B28">
        <w:t xml:space="preserve">decisively </w:t>
      </w:r>
      <w:r w:rsidR="00166F4F">
        <w:t>at war with itself</w:t>
      </w:r>
      <w:r w:rsidR="000D2707">
        <w:t xml:space="preserve">; nevertheless, </w:t>
      </w:r>
      <w:r w:rsidR="00166F4F">
        <w:t>it was united i</w:t>
      </w:r>
      <w:r w:rsidR="000505D0">
        <w:t xml:space="preserve">n condemning </w:t>
      </w:r>
      <w:r w:rsidR="00621D96">
        <w:t>Webster as a corrupt</w:t>
      </w:r>
      <w:r w:rsidR="003351D6">
        <w:t xml:space="preserve"> plutocrat</w:t>
      </w:r>
      <w:r w:rsidR="001C5B59">
        <w:t xml:space="preserve">. </w:t>
      </w:r>
      <w:r w:rsidR="00725492">
        <w:t>Seeking to nominate no type of sectionalist, it</w:t>
      </w:r>
      <w:r w:rsidR="00007719">
        <w:t xml:space="preserve"> did nevertheless want to </w:t>
      </w:r>
      <w:r w:rsidR="0097529E">
        <w:t>appeal to Northern voters</w:t>
      </w:r>
      <w:r w:rsidR="00B36858">
        <w:t xml:space="preserve"> who had clearly broken for Webster out of sectionalism,</w:t>
      </w:r>
      <w:r w:rsidR="00890DB6">
        <w:t xml:space="preserve"> w</w:t>
      </w:r>
      <w:r w:rsidR="00B36858">
        <w:t>ithout alienating and creating a</w:t>
      </w:r>
      <w:r w:rsidR="00890DB6">
        <w:t xml:space="preserve"> Southern splinter</w:t>
      </w:r>
      <w:r w:rsidR="0097529E">
        <w:t xml:space="preserve">. </w:t>
      </w:r>
      <w:r w:rsidR="00820103">
        <w:t xml:space="preserve">Despite this, the </w:t>
      </w:r>
      <w:r w:rsidR="00FF2011">
        <w:t xml:space="preserve">Republican </w:t>
      </w:r>
      <w:r w:rsidR="00FF2011">
        <w:lastRenderedPageBreak/>
        <w:t xml:space="preserve">convention was a raucous event, which </w:t>
      </w:r>
      <w:r w:rsidR="00F37732">
        <w:t>saw several candidates win and lose support</w:t>
      </w:r>
      <w:r w:rsidR="00A52007">
        <w:t xml:space="preserve">, </w:t>
      </w:r>
      <w:proofErr w:type="gramStart"/>
      <w:r w:rsidR="00A52007">
        <w:t>none able</w:t>
      </w:r>
      <w:proofErr w:type="gramEnd"/>
      <w:r w:rsidR="00A52007">
        <w:t xml:space="preserve"> to win </w:t>
      </w:r>
      <w:r w:rsidR="005F5067">
        <w:t>the support of a majority</w:t>
      </w:r>
      <w:r w:rsidR="00234FD6">
        <w:t xml:space="preserve">. </w:t>
      </w:r>
      <w:r w:rsidR="00F82FCF">
        <w:t>It was only on the twelfth ballot</w:t>
      </w:r>
      <w:r w:rsidR="00234FD6">
        <w:t xml:space="preserve"> </w:t>
      </w:r>
      <w:r w:rsidR="00F82FCF">
        <w:t xml:space="preserve">that </w:t>
      </w:r>
      <w:r w:rsidR="008F27EE">
        <w:t>one Robert F. Stockton wo</w:t>
      </w:r>
      <w:r w:rsidR="00FD0F68">
        <w:t xml:space="preserve">n the nomination of </w:t>
      </w:r>
      <w:r w:rsidR="00FD7F8F">
        <w:t xml:space="preserve">the Republican Party. </w:t>
      </w:r>
    </w:p>
    <w:p w14:paraId="63085BE1" w14:textId="38FF0ACD" w:rsidR="001D1A3F" w:rsidRDefault="00481994" w:rsidP="001529D0">
      <w:r>
        <w:t xml:space="preserve">The grandson of a signer of the Declaration of Independence, Stockton was a scion of </w:t>
      </w:r>
      <w:r w:rsidR="00D8341B">
        <w:t xml:space="preserve">virtual </w:t>
      </w:r>
      <w:r>
        <w:t>New Jersey</w:t>
      </w:r>
      <w:r w:rsidR="00D8341B">
        <w:t xml:space="preserve"> royalty. </w:t>
      </w:r>
      <w:r w:rsidR="008650F3">
        <w:t xml:space="preserve">Joining the Navy during Burr’s </w:t>
      </w:r>
      <w:r w:rsidR="00977926">
        <w:t>sponsorship</w:t>
      </w:r>
      <w:r w:rsidR="008650F3">
        <w:t xml:space="preserve"> of naval expansion</w:t>
      </w:r>
      <w:r w:rsidR="00AD71D7">
        <w:t xml:space="preserve">, he became one of the foremost figures of the </w:t>
      </w:r>
      <w:r w:rsidR="004818EF">
        <w:t xml:space="preserve">American Colonization Society, </w:t>
      </w:r>
      <w:r w:rsidR="004212A8">
        <w:t xml:space="preserve">leading a naval expedition which kept Cape Montserrado from falling to </w:t>
      </w:r>
      <w:r w:rsidR="00FD52AF">
        <w:t>Kru invasion</w:t>
      </w:r>
      <w:r w:rsidR="00BC4504">
        <w:t>; this represented that, though he did oppose slavery, he sought its gradual abolition through deportation to Africa</w:t>
      </w:r>
      <w:r w:rsidR="008024E8">
        <w:t>, rather than action which might bring the ire of the Planter Ascendancy</w:t>
      </w:r>
      <w:r w:rsidR="00BC4504">
        <w:t xml:space="preserve">. </w:t>
      </w:r>
      <w:r w:rsidR="004A76F1">
        <w:t>During the Luisiana War, he</w:t>
      </w:r>
      <w:r w:rsidR="00965CC9">
        <w:t xml:space="preserve"> served quite well as an officer, </w:t>
      </w:r>
      <w:proofErr w:type="gramStart"/>
      <w:r w:rsidR="00965CC9">
        <w:t>rising up</w:t>
      </w:r>
      <w:proofErr w:type="gramEnd"/>
      <w:r w:rsidR="00965CC9">
        <w:t xml:space="preserve"> the ranks and ultimately, as Captain, he was part of the grand success of the </w:t>
      </w:r>
      <w:r w:rsidR="00941389">
        <w:t xml:space="preserve">Battle of Sandy Hook. </w:t>
      </w:r>
      <w:r w:rsidR="00C34E5A">
        <w:t>This gave him a national sheen; in the 1830s, Stockton invested heavily in real estate, most especially a gold mine in Georgia</w:t>
      </w:r>
      <w:r w:rsidR="00B72101">
        <w:t>, as well as the Raritan and Delaware Canal project</w:t>
      </w:r>
      <w:r w:rsidR="00C34E5A">
        <w:t xml:space="preserve">. With the outbreak of the Second Quasi War, </w:t>
      </w:r>
      <w:r w:rsidR="00C37E7E">
        <w:t xml:space="preserve">Stockton went back to the navy, and here he proved successful; </w:t>
      </w:r>
      <w:r w:rsidR="00A471B0">
        <w:t xml:space="preserve">after capturing several ships over the coast of Guadeloupe, he received national plaudits, and it did not take long for him to be promoted to the title history knows him as, Commodore. </w:t>
      </w:r>
      <w:r w:rsidR="006F2041">
        <w:t xml:space="preserve">With the end of the war, as part of his shuffling of his cabinet, Pike appointed Stockton as his Secretary of the Navy, and here, he led aggressive efforts </w:t>
      </w:r>
      <w:r w:rsidR="00212E56">
        <w:t>for</w:t>
      </w:r>
      <w:r w:rsidR="006F2041">
        <w:t xml:space="preserve"> military buildup and modernization</w:t>
      </w:r>
      <w:r w:rsidR="001E015F">
        <w:t xml:space="preserve">, </w:t>
      </w:r>
      <w:r w:rsidR="007B3BBF">
        <w:t>building</w:t>
      </w:r>
      <w:r w:rsidR="001E015F">
        <w:t xml:space="preserve"> several </w:t>
      </w:r>
      <w:r w:rsidR="007B3BBF">
        <w:t xml:space="preserve">steamships with quite powerful </w:t>
      </w:r>
      <w:r w:rsidR="005568DF">
        <w:t>guns</w:t>
      </w:r>
      <w:r w:rsidR="006F2041">
        <w:t xml:space="preserve">. </w:t>
      </w:r>
      <w:r w:rsidR="002475C8">
        <w:t xml:space="preserve">With the election of Daniel Webster, </w:t>
      </w:r>
      <w:r w:rsidR="003D3945">
        <w:t>Stockton successfully arranged for his election as</w:t>
      </w:r>
      <w:r w:rsidR="00AB759F">
        <w:t xml:space="preserve"> senator for New Jersey. Here, he represented the growth of a new movement within the Republican Party. Though still </w:t>
      </w:r>
      <w:r w:rsidR="00DE3B28">
        <w:t>a doughface for the Planter Ascendancy, he was not just that; in opposing President Webster, Stockton did not want to return to an agrarian economy of producers but rather a New Republicanism of modernity</w:t>
      </w:r>
      <w:r w:rsidR="003E0CB5">
        <w:t>, and he personally invested in the new infrastructure and industrial projects</w:t>
      </w:r>
      <w:r w:rsidR="009261F8">
        <w:t xml:space="preserve">. Though he wanted a trimmed-down National Bank, he still wanted it to support industry albeit through loans rather than </w:t>
      </w:r>
      <w:r w:rsidR="009261F8">
        <w:lastRenderedPageBreak/>
        <w:t>equity, and he still wanted a loose currency</w:t>
      </w:r>
      <w:r w:rsidR="00723248">
        <w:t xml:space="preserve"> which would ensure national prosperity. </w:t>
      </w:r>
      <w:r w:rsidR="00C65C65">
        <w:t xml:space="preserve">And though he opposed government ownership of shares in corporations, he still wanted to support them with </w:t>
      </w:r>
      <w:r w:rsidR="00203AC4">
        <w:t>loans and land grants</w:t>
      </w:r>
      <w:r w:rsidR="00A054F6">
        <w:t>. It was all, he said, much less vulnerable to corruption than the existing system</w:t>
      </w:r>
      <w:r w:rsidR="00203AC4">
        <w:t xml:space="preserve">. </w:t>
      </w:r>
      <w:r w:rsidR="00E46594">
        <w:t xml:space="preserve">This all came with a wave of </w:t>
      </w:r>
      <w:r w:rsidR="00441B84">
        <w:t xml:space="preserve">patriotism </w:t>
      </w:r>
      <w:r w:rsidR="00E46594">
        <w:t xml:space="preserve">national optimism; he supported </w:t>
      </w:r>
      <w:r w:rsidR="00273FA4">
        <w:t>international republican revolution with all the enthusiasm of Henry Clay</w:t>
      </w:r>
      <w:r w:rsidR="00763A08">
        <w:t>, with the hopes of expanding American influence all around the world</w:t>
      </w:r>
      <w:r w:rsidR="00273FA4">
        <w:t xml:space="preserve">. </w:t>
      </w:r>
      <w:r w:rsidR="00763A08">
        <w:t>It was a platform which gave the Republicans an</w:t>
      </w:r>
      <w:r w:rsidR="00A054F6">
        <w:t xml:space="preserve"> answer to </w:t>
      </w:r>
      <w:proofErr w:type="spellStart"/>
      <w:r w:rsidR="00A054F6">
        <w:t>Websterism</w:t>
      </w:r>
      <w:proofErr w:type="spellEnd"/>
      <w:r w:rsidR="00A054F6">
        <w:t>, and it was enough to have him win the nomination in 1852</w:t>
      </w:r>
      <w:r w:rsidR="00C92235">
        <w:t>, despite some southern revulsion at his resemblance, as a supporter of republican revolution and a naval man supportive of modernization, to Lord Dundonald</w:t>
      </w:r>
      <w:r w:rsidR="00A054F6">
        <w:t xml:space="preserve">. </w:t>
      </w:r>
    </w:p>
    <w:p w14:paraId="16FB1415" w14:textId="554B8770" w:rsidR="00D4222F" w:rsidRDefault="00D4222F" w:rsidP="001529D0">
      <w:r>
        <w:t xml:space="preserve">In contrast, the Democrats were somewhat worn out. Should they stick with </w:t>
      </w:r>
      <w:proofErr w:type="spellStart"/>
      <w:r>
        <w:t>Websterism</w:t>
      </w:r>
      <w:proofErr w:type="spellEnd"/>
      <w:r>
        <w:t xml:space="preserve"> </w:t>
      </w:r>
      <w:proofErr w:type="gramStart"/>
      <w:r>
        <w:t>on the basis of</w:t>
      </w:r>
      <w:proofErr w:type="gramEnd"/>
      <w:r>
        <w:t xml:space="preserve"> national recovery, or should they repudiate it to avoid being</w:t>
      </w:r>
      <w:r w:rsidR="00D434BF">
        <w:t xml:space="preserve"> saddled with </w:t>
      </w:r>
      <w:r w:rsidR="00FE5BC9">
        <w:t xml:space="preserve">corruption? </w:t>
      </w:r>
      <w:r w:rsidR="0029600E">
        <w:t xml:space="preserve">The result was a convention strongly divided between Edward Everett, who served as Webster’s </w:t>
      </w:r>
      <w:r w:rsidR="00782F9F">
        <w:t>successor, and Henry Clay, who despite his advanced age</w:t>
      </w:r>
      <w:r w:rsidR="00645C32">
        <w:t xml:space="preserve"> </w:t>
      </w:r>
      <w:r w:rsidR="00782F9F">
        <w:t xml:space="preserve">still wanted the presidency. </w:t>
      </w:r>
      <w:r w:rsidR="00464A0D">
        <w:t xml:space="preserve">In the end, despite </w:t>
      </w:r>
      <w:r w:rsidR="00881E50">
        <w:t>the strong federalism of Webster</w:t>
      </w:r>
      <w:r w:rsidR="00464A0D">
        <w:t xml:space="preserve"> having decidedly won over Clay’s compromising politics, the desire to </w:t>
      </w:r>
      <w:r w:rsidR="00645C32">
        <w:t xml:space="preserve">repudiate Webster’s </w:t>
      </w:r>
      <w:r w:rsidR="000E747E">
        <w:t xml:space="preserve">corruption meant his nomination. </w:t>
      </w:r>
      <w:proofErr w:type="gramStart"/>
      <w:r w:rsidR="00C66212">
        <w:t>Thus</w:t>
      </w:r>
      <w:proofErr w:type="gramEnd"/>
      <w:r w:rsidR="00C66212">
        <w:t xml:space="preserve"> it was that the Democrats nominated a </w:t>
      </w:r>
      <w:proofErr w:type="gramStart"/>
      <w:r w:rsidR="00C66212">
        <w:t>seventy-five year old</w:t>
      </w:r>
      <w:proofErr w:type="gramEnd"/>
      <w:r w:rsidR="00C66212">
        <w:t xml:space="preserve"> man</w:t>
      </w:r>
      <w:r w:rsidR="0089013C">
        <w:t xml:space="preserve">, an ancient </w:t>
      </w:r>
      <w:r w:rsidR="00D81E70">
        <w:t>figure</w:t>
      </w:r>
      <w:r w:rsidR="0089013C">
        <w:t xml:space="preserve"> whose career</w:t>
      </w:r>
      <w:r w:rsidR="00D81E70">
        <w:t xml:space="preserve"> stretched past the age of the median American. </w:t>
      </w:r>
    </w:p>
    <w:p w14:paraId="7D372E05" w14:textId="0BDFFE7C" w:rsidR="00204DDD" w:rsidRDefault="00204DDD" w:rsidP="001529D0">
      <w:r>
        <w:t xml:space="preserve">The </w:t>
      </w:r>
      <w:r w:rsidR="00BC1738">
        <w:t>Clay candidacy</w:t>
      </w:r>
      <w:r>
        <w:t xml:space="preserve"> would almost immediately </w:t>
      </w:r>
      <w:r w:rsidR="00BC1738">
        <w:t xml:space="preserve">collapse, in a most </w:t>
      </w:r>
      <w:r w:rsidR="001B67F8">
        <w:t>tragic</w:t>
      </w:r>
      <w:r w:rsidR="00BC1738">
        <w:t xml:space="preserve"> manner. Planning a</w:t>
      </w:r>
      <w:r w:rsidR="00B631F1">
        <w:t xml:space="preserve"> tour of the nation, </w:t>
      </w:r>
      <w:r w:rsidR="00DF3119">
        <w:t xml:space="preserve">he </w:t>
      </w:r>
      <w:proofErr w:type="gramStart"/>
      <w:r w:rsidR="00DF3119">
        <w:t>suddenly collapsed</w:t>
      </w:r>
      <w:proofErr w:type="gramEnd"/>
      <w:r w:rsidR="00DF3119">
        <w:t xml:space="preserve"> in his native Lexing</w:t>
      </w:r>
      <w:r w:rsidR="00EB4DF9">
        <w:t>t</w:t>
      </w:r>
      <w:r w:rsidR="00DF3119">
        <w:t>on, Kentucky</w:t>
      </w:r>
      <w:r w:rsidR="00EB4DF9">
        <w:t xml:space="preserve">, due to a heart attack, and he died; most strangely, he also died on July 4 – Independence Day. </w:t>
      </w:r>
      <w:r w:rsidR="00A3775B">
        <w:t xml:space="preserve">By an even more strange coincidence, so too </w:t>
      </w:r>
      <w:r w:rsidR="00875CAA">
        <w:t>died</w:t>
      </w:r>
      <w:r w:rsidR="00A3775B">
        <w:t xml:space="preserve"> Daniel Webster</w:t>
      </w:r>
      <w:r w:rsidR="00BA77BB">
        <w:t xml:space="preserve"> on that same day</w:t>
      </w:r>
      <w:r w:rsidR="00A3775B">
        <w:t xml:space="preserve">, although in his case it was due to cirrhosis of the liver, </w:t>
      </w:r>
      <w:r w:rsidR="00E33030">
        <w:t xml:space="preserve">caused by his gluttony and love of drink. </w:t>
      </w:r>
      <w:r w:rsidR="00142ED2">
        <w:t xml:space="preserve">It was a strange coincidence that immediately </w:t>
      </w:r>
      <w:proofErr w:type="gramStart"/>
      <w:r w:rsidR="00142ED2">
        <w:t>brought to mind</w:t>
      </w:r>
      <w:proofErr w:type="gramEnd"/>
      <w:r w:rsidR="00142ED2">
        <w:t xml:space="preserve"> the death of two other sometime-allies sometime-enemies, Adams </w:t>
      </w:r>
      <w:r w:rsidR="00142ED2">
        <w:lastRenderedPageBreak/>
        <w:t>and Jefferson, on July 4, 1826</w:t>
      </w:r>
      <w:r w:rsidR="00EF27B6">
        <w:t xml:space="preserve">. Edward Everett, considered the greatest orator of his day, </w:t>
      </w:r>
      <w:r w:rsidR="00956152">
        <w:t xml:space="preserve">gave a joint eulogy which, nevertheless, </w:t>
      </w:r>
      <w:r w:rsidR="001B7CE6">
        <w:t xml:space="preserve">served as a capstone for Webster’s great nationalist career. </w:t>
      </w:r>
      <w:r w:rsidR="003D4610">
        <w:t xml:space="preserve">Their deaths immediately brought the nation into a period of grieving, as two figures who had defined its history for several decades were now dead. They were both fierce protectionists and </w:t>
      </w:r>
      <w:r w:rsidR="00A31BD5">
        <w:t>modernizers,</w:t>
      </w:r>
      <w:r w:rsidR="003D4610">
        <w:t xml:space="preserve"> but Clay’s compromise politics were </w:t>
      </w:r>
      <w:r w:rsidR="00A31BD5">
        <w:t>out</w:t>
      </w:r>
      <w:r w:rsidR="003D4610">
        <w:t xml:space="preserve">matched by </w:t>
      </w:r>
      <w:r w:rsidR="00A31BD5">
        <w:t xml:space="preserve">Webster’s stony nationalism. </w:t>
      </w:r>
      <w:r w:rsidR="00E61B1D">
        <w:t xml:space="preserve">Both Clay and Webster received the honor of laying in state at Rotunda Hall, and in the months that followed, their coffins toured the nation to receive mourners of every stripe. It was, however, also clear that Webster received far more mourners than </w:t>
      </w:r>
      <w:r w:rsidR="00C339B2">
        <w:t xml:space="preserve">Clay, his success in upholding national unity having made him a hero across party lines, and that their deaths were more a capstone for his national cohesion than Clay’s unity through compromise. </w:t>
      </w:r>
      <w:r w:rsidR="002B4ACF">
        <w:t xml:space="preserve">It is Daniel Webster who is the enduring symbol of the era, not Henry Clay; it is Daniel Webster’s speeches, not Henry Clay’s, which are taught in schools today; and it is Daniel Webster, not Henry Clay, who thousands of children dress up as, complete with cravats and potbellies. </w:t>
      </w:r>
      <w:r w:rsidR="006D3437">
        <w:t xml:space="preserve">In his life, Daniel Webster left the nation dizzied with his glory; and in death, he never stopped. </w:t>
      </w:r>
      <w:r w:rsidR="00A17403">
        <w:t xml:space="preserve">Even today, </w:t>
      </w:r>
      <w:r w:rsidR="00FC78A4">
        <w:t xml:space="preserve">the Free Democratic Party proudly declares itself the </w:t>
      </w:r>
      <w:r w:rsidR="00770D5F">
        <w:t xml:space="preserve">party of Aaron Burr and Daniel Webster. </w:t>
      </w:r>
    </w:p>
    <w:p w14:paraId="514BD890" w14:textId="6DF8F4D8" w:rsidR="004912EF" w:rsidRDefault="004912EF" w:rsidP="001529D0">
      <w:r>
        <w:t xml:space="preserve">More immediately, however, this forced </w:t>
      </w:r>
      <w:r w:rsidR="002C3A00">
        <w:t xml:space="preserve">the Democratic Party to nominate a new presidential candidate. They talked of nominating James L. </w:t>
      </w:r>
      <w:proofErr w:type="spellStart"/>
      <w:r w:rsidR="002C3A00">
        <w:t>Petigru</w:t>
      </w:r>
      <w:proofErr w:type="spellEnd"/>
      <w:r w:rsidR="002C3A00">
        <w:t xml:space="preserve">, who had ascended to the presidency </w:t>
      </w:r>
      <w:r w:rsidR="005B1AA7">
        <w:t>and was widely respected;</w:t>
      </w:r>
      <w:r w:rsidR="002C3A00">
        <w:t xml:space="preserve"> </w:t>
      </w:r>
      <w:r w:rsidR="005B1AA7">
        <w:t xml:space="preserve">however, he was something of a party of one </w:t>
      </w:r>
      <w:r w:rsidR="0036510E">
        <w:t xml:space="preserve">as a South Carolina Democrat. </w:t>
      </w:r>
      <w:r w:rsidR="005B20F6">
        <w:t>But he didn’t want it</w:t>
      </w:r>
      <w:r w:rsidR="00FA63F6">
        <w:t>; he wanted to serve as a caretaker president then leave</w:t>
      </w:r>
      <w:r w:rsidR="005B20F6">
        <w:t xml:space="preserve">. </w:t>
      </w:r>
      <w:r w:rsidR="00605009">
        <w:t xml:space="preserve">They also talked of nominating Edward Everett, who had the sheen of his </w:t>
      </w:r>
      <w:r w:rsidR="00460D79">
        <w:t>great double eulogy; but he</w:t>
      </w:r>
      <w:r w:rsidR="009D007E">
        <w:t xml:space="preserve"> also refused, perhaps seeing that a Democratic defeat was imminent. </w:t>
      </w:r>
      <w:r w:rsidR="004347B3">
        <w:t>Thus, the Democratic National Committee instead named</w:t>
      </w:r>
      <w:r w:rsidR="001319EC">
        <w:t xml:space="preserve"> John J. Crittenden, who had served as Clay’s loyal deputy, for the presidency, and they </w:t>
      </w:r>
      <w:r w:rsidR="00EF3360">
        <w:t>convened a “Little Convention”</w:t>
      </w:r>
      <w:r w:rsidR="00D55230">
        <w:t>, of one-fourth of the delegates of the regular one</w:t>
      </w:r>
      <w:r w:rsidR="00EF3360">
        <w:t xml:space="preserve"> to confirm it, which they did unanimously. </w:t>
      </w:r>
      <w:r w:rsidR="007814F4">
        <w:t>However, this forced the Democrats</w:t>
      </w:r>
      <w:r w:rsidR="00926203">
        <w:t xml:space="preserve"> to open a campaign from scratch </w:t>
      </w:r>
      <w:r w:rsidR="00926203">
        <w:lastRenderedPageBreak/>
        <w:t xml:space="preserve">by which point </w:t>
      </w:r>
      <w:r w:rsidR="000C291D">
        <w:t xml:space="preserve">Stockton was already embarking on a national tour, which he had only briefly paused to make do for the double funerals of Webster and Clay. </w:t>
      </w:r>
      <w:r w:rsidR="00213F41">
        <w:t xml:space="preserve">This put Crittenden at a strong disadvantage, and </w:t>
      </w:r>
      <w:r w:rsidR="00D71717">
        <w:t xml:space="preserve">it </w:t>
      </w:r>
      <w:r w:rsidR="00213F41">
        <w:t xml:space="preserve">made the </w:t>
      </w:r>
      <w:r w:rsidR="006E7246">
        <w:t xml:space="preserve">conclusion of the election inevitable. </w:t>
      </w:r>
      <w:r w:rsidR="001A6A30">
        <w:t xml:space="preserve">Additionally, it forced the Democrats into a complicated process to replace Clay with Crittenden on all the </w:t>
      </w:r>
      <w:proofErr w:type="gramStart"/>
      <w:r w:rsidR="001A6A30">
        <w:t>ballots, and</w:t>
      </w:r>
      <w:proofErr w:type="gramEnd"/>
      <w:r w:rsidR="001A6A30">
        <w:t xml:space="preserve"> given that in this era each state held a different election, </w:t>
      </w:r>
      <w:r w:rsidR="006B3E6E">
        <w:t>the Democratic National Committee needed to engage in a long process</w:t>
      </w:r>
      <w:r w:rsidR="001A6A30">
        <w:t xml:space="preserve">. </w:t>
      </w:r>
      <w:r w:rsidR="00634421">
        <w:t xml:space="preserve">And though it did replace the names in all the states, it was a long process which </w:t>
      </w:r>
      <w:r w:rsidR="0049742A">
        <w:t xml:space="preserve">only further hampered the </w:t>
      </w:r>
      <w:r w:rsidR="00AA0E87">
        <w:t xml:space="preserve">Crittenden campaign. </w:t>
      </w:r>
    </w:p>
    <w:p w14:paraId="3C58E351" w14:textId="2BA9B668" w:rsidR="00CF4821" w:rsidRDefault="008002C0" w:rsidP="001529D0">
      <w:r>
        <w:t xml:space="preserve">Both Stockton and </w:t>
      </w:r>
      <w:r w:rsidR="000C3CDF">
        <w:t>Crittenden launched tours of the nation</w:t>
      </w:r>
      <w:r w:rsidR="009218E3">
        <w:t>, Webster having established this as a firm precedent</w:t>
      </w:r>
      <w:r w:rsidR="000C3CDF">
        <w:t>; nevertheless, as it was</w:t>
      </w:r>
      <w:r w:rsidR="00712C25">
        <w:t xml:space="preserve">, the momentum was clearly with Stockton. </w:t>
      </w:r>
      <w:r w:rsidR="00AC6AC7">
        <w:t xml:space="preserve">This was not only because of the need to replace Henry Clay, but it was also because Stockton </w:t>
      </w:r>
      <w:r w:rsidR="00EB0335">
        <w:t xml:space="preserve">had a positive platform in a way that Crittenden did not. </w:t>
      </w:r>
      <w:r w:rsidR="00A90B5A">
        <w:t xml:space="preserve">Additionally, though neither of them </w:t>
      </w:r>
      <w:proofErr w:type="gramStart"/>
      <w:r w:rsidR="00A90B5A">
        <w:t>were</w:t>
      </w:r>
      <w:proofErr w:type="gramEnd"/>
      <w:r w:rsidR="00A90B5A">
        <w:t xml:space="preserve"> the grand orators that </w:t>
      </w:r>
      <w:r w:rsidR="00517746">
        <w:t xml:space="preserve">Clay and Webster were, </w:t>
      </w:r>
      <w:r w:rsidR="00B01CCE">
        <w:t xml:space="preserve">Stockton’s speeches were more clearly </w:t>
      </w:r>
      <w:r w:rsidR="00801C45">
        <w:t xml:space="preserve">with the national mood than </w:t>
      </w:r>
      <w:r w:rsidR="00AD2A6A">
        <w:t>Crittenden’s</w:t>
      </w:r>
      <w:r w:rsidR="000A22B5">
        <w:t>; additionally, for much of the North, Stockton’s seeming resemblance to Lord Dundonald was a plus, as he seemed a man who may give the nation new glories</w:t>
      </w:r>
      <w:r w:rsidR="00AD2A6A">
        <w:t>. Supporters of economic growth and industrialization could stand proudly that Stockton was a firm supporter</w:t>
      </w:r>
      <w:r w:rsidR="00010E93">
        <w:t xml:space="preserve"> of</w:t>
      </w:r>
      <w:r w:rsidR="00AD2A6A">
        <w:t xml:space="preserve">, even an investor in, </w:t>
      </w:r>
      <w:r w:rsidR="00010E93">
        <w:t xml:space="preserve">industrial schemes; those discontented with the rise of </w:t>
      </w:r>
      <w:proofErr w:type="spellStart"/>
      <w:r w:rsidR="00010E93">
        <w:t>Websterism</w:t>
      </w:r>
      <w:proofErr w:type="spellEnd"/>
      <w:r w:rsidR="00010E93">
        <w:t xml:space="preserve"> could be happy that Stockton did not support the same web of corruption that </w:t>
      </w:r>
      <w:r w:rsidR="00C65BA4">
        <w:t>Webster established</w:t>
      </w:r>
      <w:r w:rsidR="009B3875">
        <w:t>, even if he supported the US’s transition away from being an agrarian republic of producers</w:t>
      </w:r>
      <w:r w:rsidR="00866007">
        <w:t xml:space="preserve">. In contrast, Crittenden found himself both mired with questions over </w:t>
      </w:r>
      <w:proofErr w:type="spellStart"/>
      <w:r w:rsidR="00866007">
        <w:t>Websterite</w:t>
      </w:r>
      <w:proofErr w:type="spellEnd"/>
      <w:r w:rsidR="00866007">
        <w:t xml:space="preserve"> corruption, as well as over his opposition to Webster’s pro-growth policies; he answered such questions only haltingly</w:t>
      </w:r>
      <w:r w:rsidR="00C65BA4">
        <w:t xml:space="preserve">. </w:t>
      </w:r>
    </w:p>
    <w:p w14:paraId="5D7C2A59" w14:textId="40F573A7" w:rsidR="0063631F" w:rsidRDefault="00866007" w:rsidP="001529D0">
      <w:r>
        <w:t xml:space="preserve">Additionally, the abolitionist movement, regrouping after </w:t>
      </w:r>
      <w:proofErr w:type="spellStart"/>
      <w:r>
        <w:t>Websterism</w:t>
      </w:r>
      <w:proofErr w:type="spellEnd"/>
      <w:r>
        <w:t xml:space="preserve"> had stolen many of its clothes, re-established itself as “Young America”, clearly inspired by </w:t>
      </w:r>
      <w:r w:rsidR="006F1076">
        <w:t xml:space="preserve">Giuseppe Mazzini’s Young </w:t>
      </w:r>
      <w:r w:rsidR="006F1076">
        <w:lastRenderedPageBreak/>
        <w:t xml:space="preserve">Italy movement and its contemporary success in taking hold of and unifying Italy; his avowed hatred of slavery had turned him into a hero among American abolitionists, and the new rebrand of the Equal Rights Party was to make the party more modern and appealing to voters. </w:t>
      </w:r>
      <w:r w:rsidR="00134D5E">
        <w:t>Despite its nomination</w:t>
      </w:r>
      <w:r w:rsidR="00B2607A">
        <w:t xml:space="preserve"> of</w:t>
      </w:r>
      <w:r w:rsidR="00134D5E">
        <w:t xml:space="preserve"> John P. Hale, a former Republican, it clearly sought for and </w:t>
      </w:r>
      <w:r w:rsidR="00B2607A">
        <w:t>got many ex-Webster voters in the North, among</w:t>
      </w:r>
      <w:r w:rsidR="0042354D">
        <w:t xml:space="preserve"> those discontented with </w:t>
      </w:r>
      <w:r w:rsidR="00D143D5">
        <w:t>the Democrats nominating a Southerner</w:t>
      </w:r>
      <w:r w:rsidR="004D52CA">
        <w:t>, and that Stockton was a doughface meant it was not the Republicans but rather Young America who benefited from this</w:t>
      </w:r>
      <w:r w:rsidR="00D143D5">
        <w:t xml:space="preserve">. </w:t>
      </w:r>
      <w:r w:rsidR="00CF4821">
        <w:t>In contrast, Crittenden’s attempts to stop this bleeding, most regarded as waffling</w:t>
      </w:r>
      <w:r w:rsidR="00424BE4">
        <w:t xml:space="preserve">, and it did nothing to prevent Stockton’s </w:t>
      </w:r>
      <w:r w:rsidR="00A00357">
        <w:t>success</w:t>
      </w:r>
      <w:r w:rsidR="00424BE4">
        <w:t xml:space="preserve">. </w:t>
      </w:r>
    </w:p>
    <w:p w14:paraId="56A23AA5" w14:textId="46ECEB3F" w:rsidR="00A125E8" w:rsidRPr="001529D0" w:rsidRDefault="00A125E8" w:rsidP="001529D0">
      <w:r>
        <w:t xml:space="preserve">Thus, the 1852 election </w:t>
      </w:r>
      <w:r w:rsidR="00636A92">
        <w:t xml:space="preserve">ended with Stockton winning by a lopsided margin, </w:t>
      </w:r>
      <w:r w:rsidR="009E46AD">
        <w:t xml:space="preserve">which demonstrated that he had presented </w:t>
      </w:r>
      <w:r w:rsidR="00E276F8">
        <w:t xml:space="preserve">an agenda that both </w:t>
      </w:r>
      <w:r w:rsidR="008D25AA">
        <w:t xml:space="preserve">served as a continuation of </w:t>
      </w:r>
      <w:proofErr w:type="spellStart"/>
      <w:r w:rsidR="008D25AA">
        <w:t>Websterist</w:t>
      </w:r>
      <w:proofErr w:type="spellEnd"/>
      <w:r w:rsidR="008D25AA">
        <w:t xml:space="preserve"> economic </w:t>
      </w:r>
      <w:proofErr w:type="gramStart"/>
      <w:r w:rsidR="008D25AA">
        <w:t>growth, and</w:t>
      </w:r>
      <w:proofErr w:type="gramEnd"/>
      <w:r w:rsidR="008D25AA">
        <w:t xml:space="preserve"> </w:t>
      </w:r>
      <w:r w:rsidR="0059629D">
        <w:t>would seem to avoid</w:t>
      </w:r>
      <w:r w:rsidR="008D25AA">
        <w:t xml:space="preserve"> the severe corruption scandals that marred it</w:t>
      </w:r>
      <w:r w:rsidR="001A3408">
        <w:rPr>
          <w:rStyle w:val="EndnoteReference"/>
        </w:rPr>
        <w:endnoteReference w:id="203"/>
      </w:r>
      <w:r w:rsidR="008D25AA">
        <w:t xml:space="preserve">. </w:t>
      </w:r>
    </w:p>
    <w:p w14:paraId="5B0ED3DA" w14:textId="77777777" w:rsidR="00F37732" w:rsidRDefault="00F37732" w:rsidP="00F37732">
      <w:r>
        <w:br w:type="page"/>
      </w:r>
    </w:p>
    <w:p w14:paraId="1161265E" w14:textId="44216C84" w:rsidR="00AB0F70" w:rsidRDefault="00AB0F70" w:rsidP="00AB0F70">
      <w:pPr>
        <w:pStyle w:val="Caption"/>
      </w:pPr>
      <w:bookmarkStart w:id="52" w:name="_Toc202006269"/>
      <w:r>
        <w:lastRenderedPageBreak/>
        <w:t xml:space="preserve">Figure </w:t>
      </w:r>
      <w:fldSimple w:instr=" SEQ Figure \* ARABIC ">
        <w:r w:rsidR="00567D66">
          <w:rPr>
            <w:noProof/>
          </w:rPr>
          <w:t>13</w:t>
        </w:r>
      </w:fldSimple>
      <w:r>
        <w:t>: The 1852 election, by state</w:t>
      </w:r>
      <w:bookmarkEnd w:id="52"/>
    </w:p>
    <w:tbl>
      <w:tblPr>
        <w:tblW w:w="9291" w:type="dxa"/>
        <w:tblLook w:val="04A0" w:firstRow="1" w:lastRow="0" w:firstColumn="1" w:lastColumn="0" w:noHBand="0" w:noVBand="1"/>
      </w:tblPr>
      <w:tblGrid>
        <w:gridCol w:w="2557"/>
        <w:gridCol w:w="2228"/>
        <w:gridCol w:w="1502"/>
        <w:gridCol w:w="1502"/>
        <w:gridCol w:w="1502"/>
      </w:tblGrid>
      <w:tr w:rsidR="00AB0F70" w:rsidRPr="007C5E6A" w14:paraId="7EC73D24" w14:textId="77777777" w:rsidTr="00AB0F70">
        <w:trPr>
          <w:trHeight w:val="284"/>
        </w:trPr>
        <w:tc>
          <w:tcPr>
            <w:tcW w:w="2557" w:type="dxa"/>
            <w:tcBorders>
              <w:top w:val="nil"/>
              <w:left w:val="nil"/>
              <w:bottom w:val="single" w:sz="4" w:space="0" w:color="auto"/>
              <w:right w:val="single" w:sz="4" w:space="0" w:color="auto"/>
            </w:tcBorders>
            <w:shd w:val="clear" w:color="auto" w:fill="auto"/>
            <w:noWrap/>
            <w:vAlign w:val="bottom"/>
            <w:hideMark/>
          </w:tcPr>
          <w:p w14:paraId="3BD4718A" w14:textId="7C06DB88" w:rsidR="00A125E8" w:rsidRPr="007C5E6A" w:rsidRDefault="00A125E8" w:rsidP="00AF4CAA">
            <w:pPr>
              <w:pStyle w:val="NoSpacing"/>
              <w:rPr>
                <w:b/>
                <w:bCs/>
                <w:lang w:eastAsia="en-CA"/>
              </w:rPr>
            </w:pPr>
            <w:r w:rsidRPr="007C5E6A">
              <w:rPr>
                <w:b/>
                <w:bCs/>
                <w:lang w:eastAsia="en-CA"/>
              </w:rPr>
              <w:t>States</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14:paraId="60148E4D" w14:textId="099DA2FB" w:rsidR="00A125E8" w:rsidRPr="007C5E6A" w:rsidRDefault="00A125E8" w:rsidP="00AF4CAA">
            <w:pPr>
              <w:pStyle w:val="NoSpacing"/>
              <w:rPr>
                <w:b/>
                <w:bCs/>
                <w:lang w:eastAsia="en-CA"/>
              </w:rPr>
            </w:pPr>
            <w:r w:rsidRPr="007C5E6A">
              <w:rPr>
                <w:b/>
                <w:bCs/>
                <w:lang w:eastAsia="en-CA"/>
              </w:rPr>
              <w:t>Electoral Votes</w:t>
            </w:r>
          </w:p>
        </w:tc>
        <w:tc>
          <w:tcPr>
            <w:tcW w:w="1502" w:type="dxa"/>
            <w:tcBorders>
              <w:top w:val="nil"/>
              <w:left w:val="single" w:sz="4" w:space="0" w:color="auto"/>
              <w:bottom w:val="single" w:sz="4" w:space="0" w:color="auto"/>
              <w:right w:val="nil"/>
            </w:tcBorders>
            <w:shd w:val="clear" w:color="auto" w:fill="auto"/>
            <w:noWrap/>
            <w:vAlign w:val="bottom"/>
            <w:hideMark/>
          </w:tcPr>
          <w:p w14:paraId="0FA411A4" w14:textId="77777777" w:rsidR="00A125E8" w:rsidRPr="007C5E6A" w:rsidRDefault="00A125E8" w:rsidP="00AF4CAA">
            <w:pPr>
              <w:pStyle w:val="NoSpacing"/>
              <w:rPr>
                <w:b/>
                <w:bCs/>
                <w:lang w:eastAsia="en-CA"/>
              </w:rPr>
            </w:pPr>
            <w:r w:rsidRPr="007C5E6A">
              <w:rPr>
                <w:b/>
                <w:bCs/>
                <w:lang w:eastAsia="en-CA"/>
              </w:rPr>
              <w:t>Stockton</w:t>
            </w:r>
          </w:p>
        </w:tc>
        <w:tc>
          <w:tcPr>
            <w:tcW w:w="1502" w:type="dxa"/>
            <w:tcBorders>
              <w:top w:val="nil"/>
              <w:left w:val="nil"/>
              <w:bottom w:val="single" w:sz="4" w:space="0" w:color="auto"/>
              <w:right w:val="nil"/>
            </w:tcBorders>
            <w:shd w:val="clear" w:color="auto" w:fill="auto"/>
            <w:noWrap/>
            <w:vAlign w:val="bottom"/>
            <w:hideMark/>
          </w:tcPr>
          <w:p w14:paraId="2445891C" w14:textId="77777777" w:rsidR="00A125E8" w:rsidRPr="007C5E6A" w:rsidRDefault="00A125E8" w:rsidP="00AF4CAA">
            <w:pPr>
              <w:pStyle w:val="NoSpacing"/>
              <w:rPr>
                <w:b/>
                <w:bCs/>
                <w:lang w:eastAsia="en-CA"/>
              </w:rPr>
            </w:pPr>
            <w:r w:rsidRPr="007C5E6A">
              <w:rPr>
                <w:b/>
                <w:bCs/>
                <w:lang w:eastAsia="en-CA"/>
              </w:rPr>
              <w:t>Crittenden</w:t>
            </w:r>
          </w:p>
        </w:tc>
        <w:tc>
          <w:tcPr>
            <w:tcW w:w="1502" w:type="dxa"/>
            <w:tcBorders>
              <w:top w:val="nil"/>
              <w:left w:val="nil"/>
              <w:bottom w:val="single" w:sz="4" w:space="0" w:color="auto"/>
              <w:right w:val="nil"/>
            </w:tcBorders>
            <w:shd w:val="clear" w:color="auto" w:fill="auto"/>
            <w:noWrap/>
            <w:vAlign w:val="bottom"/>
            <w:hideMark/>
          </w:tcPr>
          <w:p w14:paraId="1AA9CA6B" w14:textId="77777777" w:rsidR="00A125E8" w:rsidRPr="007C5E6A" w:rsidRDefault="00A125E8" w:rsidP="00AF4CAA">
            <w:pPr>
              <w:pStyle w:val="NoSpacing"/>
              <w:rPr>
                <w:b/>
                <w:bCs/>
                <w:lang w:eastAsia="en-CA"/>
              </w:rPr>
            </w:pPr>
            <w:r w:rsidRPr="007C5E6A">
              <w:rPr>
                <w:b/>
                <w:bCs/>
                <w:lang w:eastAsia="en-CA"/>
              </w:rPr>
              <w:t>Hale</w:t>
            </w:r>
          </w:p>
        </w:tc>
      </w:tr>
      <w:tr w:rsidR="00AB0F70" w:rsidRPr="00A125E8" w14:paraId="271BA5CA" w14:textId="77777777" w:rsidTr="00AB0F70">
        <w:trPr>
          <w:trHeight w:val="284"/>
        </w:trPr>
        <w:tc>
          <w:tcPr>
            <w:tcW w:w="2557" w:type="dxa"/>
            <w:tcBorders>
              <w:top w:val="single" w:sz="4" w:space="0" w:color="auto"/>
              <w:left w:val="nil"/>
              <w:bottom w:val="nil"/>
              <w:right w:val="single" w:sz="4" w:space="0" w:color="auto"/>
            </w:tcBorders>
            <w:shd w:val="clear" w:color="auto" w:fill="auto"/>
            <w:noWrap/>
            <w:vAlign w:val="bottom"/>
            <w:hideMark/>
          </w:tcPr>
          <w:p w14:paraId="3C8178DA" w14:textId="7CB99949" w:rsidR="00A125E8" w:rsidRPr="00A125E8" w:rsidRDefault="00A125E8" w:rsidP="00AF4CAA">
            <w:pPr>
              <w:pStyle w:val="NoSpacing"/>
              <w:rPr>
                <w:lang w:eastAsia="en-CA"/>
              </w:rPr>
            </w:pPr>
            <w:r w:rsidRPr="00A125E8">
              <w:rPr>
                <w:lang w:eastAsia="en-CA"/>
              </w:rPr>
              <w:t>Massachusetts</w:t>
            </w:r>
          </w:p>
        </w:tc>
        <w:tc>
          <w:tcPr>
            <w:tcW w:w="2228" w:type="dxa"/>
            <w:tcBorders>
              <w:top w:val="single" w:sz="4" w:space="0" w:color="auto"/>
              <w:left w:val="single" w:sz="4" w:space="0" w:color="auto"/>
              <w:bottom w:val="nil"/>
              <w:right w:val="single" w:sz="4" w:space="0" w:color="auto"/>
            </w:tcBorders>
            <w:shd w:val="clear" w:color="auto" w:fill="auto"/>
            <w:noWrap/>
            <w:vAlign w:val="bottom"/>
            <w:hideMark/>
          </w:tcPr>
          <w:p w14:paraId="4E0616E4" w14:textId="77777777" w:rsidR="00A125E8" w:rsidRPr="00A125E8" w:rsidRDefault="00A125E8" w:rsidP="00AF4CAA">
            <w:pPr>
              <w:pStyle w:val="NoSpacing"/>
              <w:rPr>
                <w:lang w:eastAsia="en-CA"/>
              </w:rPr>
            </w:pPr>
            <w:r w:rsidRPr="00A125E8">
              <w:rPr>
                <w:lang w:eastAsia="en-CA"/>
              </w:rPr>
              <w:t>24</w:t>
            </w:r>
          </w:p>
        </w:tc>
        <w:tc>
          <w:tcPr>
            <w:tcW w:w="1502" w:type="dxa"/>
            <w:tcBorders>
              <w:top w:val="single" w:sz="4" w:space="0" w:color="auto"/>
              <w:left w:val="single" w:sz="4" w:space="0" w:color="auto"/>
              <w:bottom w:val="nil"/>
              <w:right w:val="nil"/>
            </w:tcBorders>
            <w:shd w:val="clear" w:color="auto" w:fill="auto"/>
            <w:noWrap/>
            <w:vAlign w:val="bottom"/>
            <w:hideMark/>
          </w:tcPr>
          <w:p w14:paraId="5AA8FE8B" w14:textId="77777777" w:rsidR="00A125E8" w:rsidRPr="00A125E8" w:rsidRDefault="00A125E8" w:rsidP="00AF4CAA">
            <w:pPr>
              <w:pStyle w:val="NoSpacing"/>
              <w:rPr>
                <w:lang w:eastAsia="en-CA"/>
              </w:rPr>
            </w:pPr>
            <w:r w:rsidRPr="00A125E8">
              <w:rPr>
                <w:lang w:eastAsia="en-CA"/>
              </w:rPr>
              <w:t>12</w:t>
            </w:r>
          </w:p>
        </w:tc>
        <w:tc>
          <w:tcPr>
            <w:tcW w:w="1502" w:type="dxa"/>
            <w:tcBorders>
              <w:top w:val="single" w:sz="4" w:space="0" w:color="auto"/>
              <w:left w:val="nil"/>
              <w:bottom w:val="nil"/>
              <w:right w:val="nil"/>
            </w:tcBorders>
            <w:shd w:val="clear" w:color="auto" w:fill="auto"/>
            <w:noWrap/>
            <w:vAlign w:val="bottom"/>
            <w:hideMark/>
          </w:tcPr>
          <w:p w14:paraId="203A12E8" w14:textId="77777777" w:rsidR="00A125E8" w:rsidRPr="00A125E8" w:rsidRDefault="00A125E8" w:rsidP="00AF4CAA">
            <w:pPr>
              <w:pStyle w:val="NoSpacing"/>
              <w:rPr>
                <w:lang w:eastAsia="en-CA"/>
              </w:rPr>
            </w:pPr>
            <w:r w:rsidRPr="00A125E8">
              <w:rPr>
                <w:lang w:eastAsia="en-CA"/>
              </w:rPr>
              <w:t>12</w:t>
            </w:r>
          </w:p>
        </w:tc>
        <w:tc>
          <w:tcPr>
            <w:tcW w:w="1502" w:type="dxa"/>
            <w:tcBorders>
              <w:top w:val="single" w:sz="4" w:space="0" w:color="auto"/>
              <w:left w:val="nil"/>
              <w:bottom w:val="nil"/>
              <w:right w:val="nil"/>
            </w:tcBorders>
            <w:shd w:val="clear" w:color="auto" w:fill="auto"/>
            <w:noWrap/>
            <w:vAlign w:val="bottom"/>
            <w:hideMark/>
          </w:tcPr>
          <w:p w14:paraId="6EF42426" w14:textId="77777777" w:rsidR="00A125E8" w:rsidRPr="00A125E8" w:rsidRDefault="00A125E8" w:rsidP="00AF4CAA">
            <w:pPr>
              <w:pStyle w:val="NoSpacing"/>
              <w:rPr>
                <w:lang w:eastAsia="en-CA"/>
              </w:rPr>
            </w:pPr>
            <w:r w:rsidRPr="00A125E8">
              <w:rPr>
                <w:lang w:eastAsia="en-CA"/>
              </w:rPr>
              <w:t>0</w:t>
            </w:r>
          </w:p>
        </w:tc>
      </w:tr>
      <w:tr w:rsidR="00AB0F70" w:rsidRPr="00A125E8" w14:paraId="11063EAD"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6AB40415" w14:textId="2F2FE7BE" w:rsidR="00A125E8" w:rsidRPr="00A125E8" w:rsidRDefault="00A125E8" w:rsidP="00AF4CAA">
            <w:pPr>
              <w:pStyle w:val="NoSpacing"/>
              <w:rPr>
                <w:lang w:eastAsia="en-CA"/>
              </w:rPr>
            </w:pPr>
            <w:r w:rsidRPr="00A125E8">
              <w:rPr>
                <w:lang w:eastAsia="en-CA"/>
              </w:rPr>
              <w:t>New Hamp</w:t>
            </w:r>
            <w:r w:rsidR="00AB0F70">
              <w:rPr>
                <w:lang w:eastAsia="en-CA"/>
              </w:rPr>
              <w:t>shire</w:t>
            </w:r>
          </w:p>
        </w:tc>
        <w:tc>
          <w:tcPr>
            <w:tcW w:w="2228" w:type="dxa"/>
            <w:tcBorders>
              <w:top w:val="nil"/>
              <w:left w:val="single" w:sz="4" w:space="0" w:color="auto"/>
              <w:bottom w:val="nil"/>
              <w:right w:val="single" w:sz="4" w:space="0" w:color="auto"/>
            </w:tcBorders>
            <w:shd w:val="clear" w:color="auto" w:fill="auto"/>
            <w:noWrap/>
            <w:vAlign w:val="bottom"/>
            <w:hideMark/>
          </w:tcPr>
          <w:p w14:paraId="170D8155" w14:textId="77777777" w:rsidR="00A125E8" w:rsidRPr="00A125E8" w:rsidRDefault="00A125E8" w:rsidP="00AF4CAA">
            <w:pPr>
              <w:pStyle w:val="NoSpacing"/>
              <w:rPr>
                <w:lang w:eastAsia="en-CA"/>
              </w:rPr>
            </w:pPr>
            <w:r w:rsidRPr="00A125E8">
              <w:rPr>
                <w:lang w:eastAsia="en-CA"/>
              </w:rPr>
              <w:t>6</w:t>
            </w:r>
          </w:p>
        </w:tc>
        <w:tc>
          <w:tcPr>
            <w:tcW w:w="1502" w:type="dxa"/>
            <w:tcBorders>
              <w:top w:val="nil"/>
              <w:left w:val="single" w:sz="4" w:space="0" w:color="auto"/>
              <w:bottom w:val="nil"/>
              <w:right w:val="nil"/>
            </w:tcBorders>
            <w:shd w:val="clear" w:color="auto" w:fill="auto"/>
            <w:noWrap/>
            <w:vAlign w:val="bottom"/>
            <w:hideMark/>
          </w:tcPr>
          <w:p w14:paraId="7C275C56" w14:textId="77777777" w:rsidR="00A125E8" w:rsidRPr="00A125E8" w:rsidRDefault="00A125E8" w:rsidP="00AF4CAA">
            <w:pPr>
              <w:pStyle w:val="NoSpacing"/>
              <w:rPr>
                <w:lang w:eastAsia="en-CA"/>
              </w:rPr>
            </w:pPr>
            <w:r w:rsidRPr="00A125E8">
              <w:rPr>
                <w:lang w:eastAsia="en-CA"/>
              </w:rPr>
              <w:t>5</w:t>
            </w:r>
          </w:p>
        </w:tc>
        <w:tc>
          <w:tcPr>
            <w:tcW w:w="1502" w:type="dxa"/>
            <w:tcBorders>
              <w:top w:val="nil"/>
              <w:left w:val="nil"/>
              <w:bottom w:val="nil"/>
              <w:right w:val="nil"/>
            </w:tcBorders>
            <w:shd w:val="clear" w:color="auto" w:fill="auto"/>
            <w:noWrap/>
            <w:vAlign w:val="bottom"/>
            <w:hideMark/>
          </w:tcPr>
          <w:p w14:paraId="0D0E53DE"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79B4329A" w14:textId="77777777" w:rsidR="00A125E8" w:rsidRPr="00A125E8" w:rsidRDefault="00A125E8" w:rsidP="00AF4CAA">
            <w:pPr>
              <w:pStyle w:val="NoSpacing"/>
              <w:rPr>
                <w:lang w:eastAsia="en-CA"/>
              </w:rPr>
            </w:pPr>
            <w:r w:rsidRPr="00A125E8">
              <w:rPr>
                <w:lang w:eastAsia="en-CA"/>
              </w:rPr>
              <w:t>1</w:t>
            </w:r>
          </w:p>
        </w:tc>
      </w:tr>
      <w:tr w:rsidR="00AB0F70" w:rsidRPr="00A125E8" w14:paraId="5650363E"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379F28B9" w14:textId="77777777" w:rsidR="00A125E8" w:rsidRPr="00A125E8" w:rsidRDefault="00A125E8" w:rsidP="00AF4CAA">
            <w:pPr>
              <w:pStyle w:val="NoSpacing"/>
              <w:rPr>
                <w:lang w:eastAsia="en-CA"/>
              </w:rPr>
            </w:pPr>
            <w:r w:rsidRPr="00A125E8">
              <w:rPr>
                <w:lang w:eastAsia="en-CA"/>
              </w:rPr>
              <w:t>Vermont</w:t>
            </w:r>
          </w:p>
        </w:tc>
        <w:tc>
          <w:tcPr>
            <w:tcW w:w="2228" w:type="dxa"/>
            <w:tcBorders>
              <w:top w:val="nil"/>
              <w:left w:val="single" w:sz="4" w:space="0" w:color="auto"/>
              <w:bottom w:val="nil"/>
              <w:right w:val="single" w:sz="4" w:space="0" w:color="auto"/>
            </w:tcBorders>
            <w:shd w:val="clear" w:color="auto" w:fill="auto"/>
            <w:noWrap/>
            <w:vAlign w:val="bottom"/>
            <w:hideMark/>
          </w:tcPr>
          <w:p w14:paraId="6FEA0BAF" w14:textId="77777777" w:rsidR="00A125E8" w:rsidRPr="00A125E8" w:rsidRDefault="00A125E8" w:rsidP="00AF4CAA">
            <w:pPr>
              <w:pStyle w:val="NoSpacing"/>
              <w:rPr>
                <w:lang w:eastAsia="en-CA"/>
              </w:rPr>
            </w:pPr>
            <w:r w:rsidRPr="00A125E8">
              <w:rPr>
                <w:lang w:eastAsia="en-CA"/>
              </w:rPr>
              <w:t>5</w:t>
            </w:r>
          </w:p>
        </w:tc>
        <w:tc>
          <w:tcPr>
            <w:tcW w:w="1502" w:type="dxa"/>
            <w:tcBorders>
              <w:top w:val="nil"/>
              <w:left w:val="single" w:sz="4" w:space="0" w:color="auto"/>
              <w:bottom w:val="nil"/>
              <w:right w:val="nil"/>
            </w:tcBorders>
            <w:shd w:val="clear" w:color="auto" w:fill="auto"/>
            <w:noWrap/>
            <w:vAlign w:val="bottom"/>
            <w:hideMark/>
          </w:tcPr>
          <w:p w14:paraId="00CF278C"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262CD9C9"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nil"/>
              <w:bottom w:val="nil"/>
              <w:right w:val="nil"/>
            </w:tcBorders>
            <w:shd w:val="clear" w:color="auto" w:fill="auto"/>
            <w:noWrap/>
            <w:vAlign w:val="bottom"/>
            <w:hideMark/>
          </w:tcPr>
          <w:p w14:paraId="21ABC924" w14:textId="77777777" w:rsidR="00A125E8" w:rsidRPr="00A125E8" w:rsidRDefault="00A125E8" w:rsidP="00AF4CAA">
            <w:pPr>
              <w:pStyle w:val="NoSpacing"/>
              <w:rPr>
                <w:lang w:eastAsia="en-CA"/>
              </w:rPr>
            </w:pPr>
            <w:r w:rsidRPr="00A125E8">
              <w:rPr>
                <w:lang w:eastAsia="en-CA"/>
              </w:rPr>
              <w:t>0</w:t>
            </w:r>
          </w:p>
        </w:tc>
      </w:tr>
      <w:tr w:rsidR="00AB0F70" w:rsidRPr="00A125E8" w14:paraId="1FC6AAC5"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5E3DC7A5" w14:textId="7F20A39A" w:rsidR="00A125E8" w:rsidRPr="00A125E8" w:rsidRDefault="00A125E8" w:rsidP="00AF4CAA">
            <w:pPr>
              <w:pStyle w:val="NoSpacing"/>
              <w:rPr>
                <w:lang w:eastAsia="en-CA"/>
              </w:rPr>
            </w:pPr>
            <w:r w:rsidRPr="00A125E8">
              <w:rPr>
                <w:lang w:eastAsia="en-CA"/>
              </w:rPr>
              <w:t>Rhode Is</w:t>
            </w:r>
            <w:r w:rsidR="00AB0F70">
              <w:rPr>
                <w:lang w:eastAsia="en-CA"/>
              </w:rPr>
              <w:t>land</w:t>
            </w:r>
          </w:p>
        </w:tc>
        <w:tc>
          <w:tcPr>
            <w:tcW w:w="2228" w:type="dxa"/>
            <w:tcBorders>
              <w:top w:val="nil"/>
              <w:left w:val="single" w:sz="4" w:space="0" w:color="auto"/>
              <w:bottom w:val="nil"/>
              <w:right w:val="single" w:sz="4" w:space="0" w:color="auto"/>
            </w:tcBorders>
            <w:shd w:val="clear" w:color="auto" w:fill="auto"/>
            <w:noWrap/>
            <w:vAlign w:val="bottom"/>
            <w:hideMark/>
          </w:tcPr>
          <w:p w14:paraId="0320E24E"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single" w:sz="4" w:space="0" w:color="auto"/>
              <w:bottom w:val="nil"/>
              <w:right w:val="nil"/>
            </w:tcBorders>
            <w:shd w:val="clear" w:color="auto" w:fill="auto"/>
            <w:noWrap/>
            <w:vAlign w:val="bottom"/>
            <w:hideMark/>
          </w:tcPr>
          <w:p w14:paraId="1F968A41"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6D4290C4"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nil"/>
              <w:bottom w:val="nil"/>
              <w:right w:val="nil"/>
            </w:tcBorders>
            <w:shd w:val="clear" w:color="auto" w:fill="auto"/>
            <w:noWrap/>
            <w:vAlign w:val="bottom"/>
            <w:hideMark/>
          </w:tcPr>
          <w:p w14:paraId="2DB8A60A" w14:textId="77777777" w:rsidR="00A125E8" w:rsidRPr="00A125E8" w:rsidRDefault="00A125E8" w:rsidP="00AF4CAA">
            <w:pPr>
              <w:pStyle w:val="NoSpacing"/>
              <w:rPr>
                <w:lang w:eastAsia="en-CA"/>
              </w:rPr>
            </w:pPr>
            <w:r w:rsidRPr="00A125E8">
              <w:rPr>
                <w:lang w:eastAsia="en-CA"/>
              </w:rPr>
              <w:t>0</w:t>
            </w:r>
          </w:p>
        </w:tc>
      </w:tr>
      <w:tr w:rsidR="00AB0F70" w:rsidRPr="00A125E8" w14:paraId="43BC99BB"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239218F1" w14:textId="3A1C5B11" w:rsidR="00A125E8" w:rsidRPr="00A125E8" w:rsidRDefault="00A125E8" w:rsidP="00AF4CAA">
            <w:pPr>
              <w:pStyle w:val="NoSpacing"/>
              <w:rPr>
                <w:lang w:eastAsia="en-CA"/>
              </w:rPr>
            </w:pPr>
            <w:r w:rsidRPr="00A125E8">
              <w:rPr>
                <w:lang w:eastAsia="en-CA"/>
              </w:rPr>
              <w:t>Conn</w:t>
            </w:r>
            <w:r w:rsidR="00AB0F70">
              <w:rPr>
                <w:lang w:eastAsia="en-CA"/>
              </w:rPr>
              <w:t>ecticut</w:t>
            </w:r>
          </w:p>
        </w:tc>
        <w:tc>
          <w:tcPr>
            <w:tcW w:w="2228" w:type="dxa"/>
            <w:tcBorders>
              <w:top w:val="nil"/>
              <w:left w:val="single" w:sz="4" w:space="0" w:color="auto"/>
              <w:bottom w:val="nil"/>
              <w:right w:val="single" w:sz="4" w:space="0" w:color="auto"/>
            </w:tcBorders>
            <w:shd w:val="clear" w:color="auto" w:fill="auto"/>
            <w:noWrap/>
            <w:vAlign w:val="bottom"/>
            <w:hideMark/>
          </w:tcPr>
          <w:p w14:paraId="36D39311"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vAlign w:val="bottom"/>
            <w:hideMark/>
          </w:tcPr>
          <w:p w14:paraId="6DBDD1E2"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2629BBB8" w14:textId="77777777" w:rsidR="00A125E8" w:rsidRPr="00A125E8" w:rsidRDefault="00A125E8" w:rsidP="00AF4CAA">
            <w:pPr>
              <w:pStyle w:val="NoSpacing"/>
              <w:rPr>
                <w:lang w:eastAsia="en-CA"/>
              </w:rPr>
            </w:pPr>
            <w:r w:rsidRPr="00A125E8">
              <w:rPr>
                <w:lang w:eastAsia="en-CA"/>
              </w:rPr>
              <w:t>6</w:t>
            </w:r>
          </w:p>
        </w:tc>
        <w:tc>
          <w:tcPr>
            <w:tcW w:w="1502" w:type="dxa"/>
            <w:tcBorders>
              <w:top w:val="nil"/>
              <w:left w:val="nil"/>
              <w:bottom w:val="nil"/>
              <w:right w:val="nil"/>
            </w:tcBorders>
            <w:shd w:val="clear" w:color="auto" w:fill="auto"/>
            <w:noWrap/>
            <w:vAlign w:val="bottom"/>
            <w:hideMark/>
          </w:tcPr>
          <w:p w14:paraId="2A135BFC" w14:textId="77777777" w:rsidR="00A125E8" w:rsidRPr="00A125E8" w:rsidRDefault="00A125E8" w:rsidP="00AF4CAA">
            <w:pPr>
              <w:pStyle w:val="NoSpacing"/>
              <w:rPr>
                <w:lang w:eastAsia="en-CA"/>
              </w:rPr>
            </w:pPr>
            <w:r w:rsidRPr="00A125E8">
              <w:rPr>
                <w:lang w:eastAsia="en-CA"/>
              </w:rPr>
              <w:t>0</w:t>
            </w:r>
          </w:p>
        </w:tc>
      </w:tr>
      <w:tr w:rsidR="00AB0F70" w:rsidRPr="00A125E8" w14:paraId="51906774"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356263D7" w14:textId="77777777" w:rsidR="00A125E8" w:rsidRPr="00A125E8" w:rsidRDefault="00A125E8" w:rsidP="00AF4CAA">
            <w:pPr>
              <w:pStyle w:val="NoSpacing"/>
              <w:rPr>
                <w:lang w:eastAsia="en-CA"/>
              </w:rPr>
            </w:pPr>
            <w:r w:rsidRPr="00A125E8">
              <w:rPr>
                <w:lang w:eastAsia="en-CA"/>
              </w:rPr>
              <w:t>New York</w:t>
            </w:r>
          </w:p>
        </w:tc>
        <w:tc>
          <w:tcPr>
            <w:tcW w:w="2228" w:type="dxa"/>
            <w:tcBorders>
              <w:top w:val="nil"/>
              <w:left w:val="single" w:sz="4" w:space="0" w:color="auto"/>
              <w:bottom w:val="nil"/>
              <w:right w:val="single" w:sz="4" w:space="0" w:color="auto"/>
            </w:tcBorders>
            <w:shd w:val="clear" w:color="auto" w:fill="auto"/>
            <w:noWrap/>
            <w:vAlign w:val="bottom"/>
            <w:hideMark/>
          </w:tcPr>
          <w:p w14:paraId="1A9CFED5" w14:textId="77777777" w:rsidR="00A125E8" w:rsidRPr="00A125E8" w:rsidRDefault="00A125E8" w:rsidP="00AF4CAA">
            <w:pPr>
              <w:pStyle w:val="NoSpacing"/>
              <w:rPr>
                <w:lang w:eastAsia="en-CA"/>
              </w:rPr>
            </w:pPr>
            <w:r w:rsidRPr="00A125E8">
              <w:rPr>
                <w:lang w:eastAsia="en-CA"/>
              </w:rPr>
              <w:t>41</w:t>
            </w:r>
          </w:p>
        </w:tc>
        <w:tc>
          <w:tcPr>
            <w:tcW w:w="1502" w:type="dxa"/>
            <w:tcBorders>
              <w:top w:val="nil"/>
              <w:left w:val="single" w:sz="4" w:space="0" w:color="auto"/>
              <w:bottom w:val="nil"/>
              <w:right w:val="nil"/>
            </w:tcBorders>
            <w:shd w:val="clear" w:color="auto" w:fill="auto"/>
            <w:noWrap/>
            <w:vAlign w:val="bottom"/>
            <w:hideMark/>
          </w:tcPr>
          <w:p w14:paraId="13E8EF0C" w14:textId="77777777" w:rsidR="00A125E8" w:rsidRPr="00A125E8" w:rsidRDefault="00A125E8" w:rsidP="00AF4CAA">
            <w:pPr>
              <w:pStyle w:val="NoSpacing"/>
              <w:rPr>
                <w:lang w:eastAsia="en-CA"/>
              </w:rPr>
            </w:pPr>
            <w:r w:rsidRPr="00A125E8">
              <w:rPr>
                <w:lang w:eastAsia="en-CA"/>
              </w:rPr>
              <w:t>30</w:t>
            </w:r>
          </w:p>
        </w:tc>
        <w:tc>
          <w:tcPr>
            <w:tcW w:w="1502" w:type="dxa"/>
            <w:tcBorders>
              <w:top w:val="nil"/>
              <w:left w:val="nil"/>
              <w:bottom w:val="nil"/>
              <w:right w:val="nil"/>
            </w:tcBorders>
            <w:shd w:val="clear" w:color="auto" w:fill="auto"/>
            <w:noWrap/>
            <w:vAlign w:val="bottom"/>
            <w:hideMark/>
          </w:tcPr>
          <w:p w14:paraId="6A2765A4" w14:textId="77777777" w:rsidR="00A125E8" w:rsidRPr="00A125E8" w:rsidRDefault="00A125E8" w:rsidP="00AF4CAA">
            <w:pPr>
              <w:pStyle w:val="NoSpacing"/>
              <w:rPr>
                <w:lang w:eastAsia="en-CA"/>
              </w:rPr>
            </w:pPr>
            <w:r w:rsidRPr="00A125E8">
              <w:rPr>
                <w:lang w:eastAsia="en-CA"/>
              </w:rPr>
              <w:t>11</w:t>
            </w:r>
          </w:p>
        </w:tc>
        <w:tc>
          <w:tcPr>
            <w:tcW w:w="1502" w:type="dxa"/>
            <w:tcBorders>
              <w:top w:val="nil"/>
              <w:left w:val="nil"/>
              <w:bottom w:val="nil"/>
              <w:right w:val="nil"/>
            </w:tcBorders>
            <w:shd w:val="clear" w:color="auto" w:fill="auto"/>
            <w:noWrap/>
            <w:vAlign w:val="bottom"/>
            <w:hideMark/>
          </w:tcPr>
          <w:p w14:paraId="04732CF5" w14:textId="77777777" w:rsidR="00A125E8" w:rsidRPr="00A125E8" w:rsidRDefault="00A125E8" w:rsidP="00AF4CAA">
            <w:pPr>
              <w:pStyle w:val="NoSpacing"/>
              <w:rPr>
                <w:lang w:eastAsia="en-CA"/>
              </w:rPr>
            </w:pPr>
            <w:r w:rsidRPr="00A125E8">
              <w:rPr>
                <w:lang w:eastAsia="en-CA"/>
              </w:rPr>
              <w:t>0</w:t>
            </w:r>
          </w:p>
        </w:tc>
      </w:tr>
      <w:tr w:rsidR="00AB0F70" w:rsidRPr="00A125E8" w14:paraId="666C2627"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2BDDACAD" w14:textId="43F96B25" w:rsidR="00A125E8" w:rsidRPr="00A125E8" w:rsidRDefault="00A125E8" w:rsidP="00AF4CAA">
            <w:pPr>
              <w:pStyle w:val="NoSpacing"/>
              <w:rPr>
                <w:lang w:eastAsia="en-CA"/>
              </w:rPr>
            </w:pPr>
            <w:r w:rsidRPr="00A125E8">
              <w:rPr>
                <w:lang w:eastAsia="en-CA"/>
              </w:rPr>
              <w:t>Penn</w:t>
            </w:r>
            <w:r w:rsidR="00AB0F70">
              <w:rPr>
                <w:lang w:eastAsia="en-CA"/>
              </w:rPr>
              <w:t>sylvania</w:t>
            </w:r>
          </w:p>
        </w:tc>
        <w:tc>
          <w:tcPr>
            <w:tcW w:w="2228" w:type="dxa"/>
            <w:tcBorders>
              <w:top w:val="nil"/>
              <w:left w:val="single" w:sz="4" w:space="0" w:color="auto"/>
              <w:bottom w:val="nil"/>
              <w:right w:val="single" w:sz="4" w:space="0" w:color="auto"/>
            </w:tcBorders>
            <w:shd w:val="clear" w:color="auto" w:fill="auto"/>
            <w:noWrap/>
            <w:vAlign w:val="bottom"/>
            <w:hideMark/>
          </w:tcPr>
          <w:p w14:paraId="72363306" w14:textId="77777777" w:rsidR="00A125E8" w:rsidRPr="00A125E8" w:rsidRDefault="00A125E8" w:rsidP="00AF4CAA">
            <w:pPr>
              <w:pStyle w:val="NoSpacing"/>
              <w:rPr>
                <w:lang w:eastAsia="en-CA"/>
              </w:rPr>
            </w:pPr>
            <w:r w:rsidRPr="00A125E8">
              <w:rPr>
                <w:lang w:eastAsia="en-CA"/>
              </w:rPr>
              <w:t>28</w:t>
            </w:r>
          </w:p>
        </w:tc>
        <w:tc>
          <w:tcPr>
            <w:tcW w:w="1502" w:type="dxa"/>
            <w:tcBorders>
              <w:top w:val="nil"/>
              <w:left w:val="single" w:sz="4" w:space="0" w:color="auto"/>
              <w:bottom w:val="nil"/>
              <w:right w:val="nil"/>
            </w:tcBorders>
            <w:shd w:val="clear" w:color="auto" w:fill="auto"/>
            <w:noWrap/>
            <w:vAlign w:val="bottom"/>
            <w:hideMark/>
          </w:tcPr>
          <w:p w14:paraId="245066A4" w14:textId="77777777" w:rsidR="00A125E8" w:rsidRPr="00A125E8" w:rsidRDefault="00A125E8" w:rsidP="00AF4CAA">
            <w:pPr>
              <w:pStyle w:val="NoSpacing"/>
              <w:rPr>
                <w:lang w:eastAsia="en-CA"/>
              </w:rPr>
            </w:pPr>
            <w:r w:rsidRPr="00A125E8">
              <w:rPr>
                <w:lang w:eastAsia="en-CA"/>
              </w:rPr>
              <w:t>20</w:t>
            </w:r>
          </w:p>
        </w:tc>
        <w:tc>
          <w:tcPr>
            <w:tcW w:w="1502" w:type="dxa"/>
            <w:tcBorders>
              <w:top w:val="nil"/>
              <w:left w:val="nil"/>
              <w:bottom w:val="nil"/>
              <w:right w:val="nil"/>
            </w:tcBorders>
            <w:shd w:val="clear" w:color="auto" w:fill="auto"/>
            <w:noWrap/>
            <w:vAlign w:val="bottom"/>
            <w:hideMark/>
          </w:tcPr>
          <w:p w14:paraId="3B7E65FD" w14:textId="77777777" w:rsidR="00A125E8" w:rsidRPr="00A125E8" w:rsidRDefault="00A125E8" w:rsidP="00AF4CAA">
            <w:pPr>
              <w:pStyle w:val="NoSpacing"/>
              <w:rPr>
                <w:lang w:eastAsia="en-CA"/>
              </w:rPr>
            </w:pPr>
            <w:r w:rsidRPr="00A125E8">
              <w:rPr>
                <w:lang w:eastAsia="en-CA"/>
              </w:rPr>
              <w:t>8</w:t>
            </w:r>
          </w:p>
        </w:tc>
        <w:tc>
          <w:tcPr>
            <w:tcW w:w="1502" w:type="dxa"/>
            <w:tcBorders>
              <w:top w:val="nil"/>
              <w:left w:val="nil"/>
              <w:bottom w:val="nil"/>
              <w:right w:val="nil"/>
            </w:tcBorders>
            <w:shd w:val="clear" w:color="auto" w:fill="auto"/>
            <w:noWrap/>
            <w:vAlign w:val="bottom"/>
            <w:hideMark/>
          </w:tcPr>
          <w:p w14:paraId="7B1B6E87" w14:textId="77777777" w:rsidR="00A125E8" w:rsidRPr="00A125E8" w:rsidRDefault="00A125E8" w:rsidP="00AF4CAA">
            <w:pPr>
              <w:pStyle w:val="NoSpacing"/>
              <w:rPr>
                <w:lang w:eastAsia="en-CA"/>
              </w:rPr>
            </w:pPr>
            <w:r w:rsidRPr="00A125E8">
              <w:rPr>
                <w:lang w:eastAsia="en-CA"/>
              </w:rPr>
              <w:t>0</w:t>
            </w:r>
          </w:p>
        </w:tc>
      </w:tr>
      <w:tr w:rsidR="00AB0F70" w:rsidRPr="00A125E8" w14:paraId="7E893371"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5E00A2C6" w14:textId="77777777" w:rsidR="00A125E8" w:rsidRPr="00A125E8" w:rsidRDefault="00A125E8" w:rsidP="00AF4CAA">
            <w:pPr>
              <w:pStyle w:val="NoSpacing"/>
              <w:rPr>
                <w:lang w:eastAsia="en-CA"/>
              </w:rPr>
            </w:pPr>
            <w:r w:rsidRPr="00A125E8">
              <w:rPr>
                <w:lang w:eastAsia="en-CA"/>
              </w:rPr>
              <w:t>New Jersey</w:t>
            </w:r>
          </w:p>
        </w:tc>
        <w:tc>
          <w:tcPr>
            <w:tcW w:w="2228" w:type="dxa"/>
            <w:tcBorders>
              <w:top w:val="nil"/>
              <w:left w:val="single" w:sz="4" w:space="0" w:color="auto"/>
              <w:bottom w:val="nil"/>
              <w:right w:val="single" w:sz="4" w:space="0" w:color="auto"/>
            </w:tcBorders>
            <w:shd w:val="clear" w:color="auto" w:fill="auto"/>
            <w:noWrap/>
            <w:vAlign w:val="bottom"/>
            <w:hideMark/>
          </w:tcPr>
          <w:p w14:paraId="59716264" w14:textId="77777777" w:rsidR="00A125E8" w:rsidRPr="00A125E8" w:rsidRDefault="00A125E8" w:rsidP="00AF4CAA">
            <w:pPr>
              <w:pStyle w:val="NoSpacing"/>
              <w:rPr>
                <w:lang w:eastAsia="en-CA"/>
              </w:rPr>
            </w:pPr>
            <w:r w:rsidRPr="00A125E8">
              <w:rPr>
                <w:lang w:eastAsia="en-CA"/>
              </w:rPr>
              <w:t>8</w:t>
            </w:r>
          </w:p>
        </w:tc>
        <w:tc>
          <w:tcPr>
            <w:tcW w:w="1502" w:type="dxa"/>
            <w:tcBorders>
              <w:top w:val="nil"/>
              <w:left w:val="single" w:sz="4" w:space="0" w:color="auto"/>
              <w:bottom w:val="nil"/>
              <w:right w:val="nil"/>
            </w:tcBorders>
            <w:shd w:val="clear" w:color="auto" w:fill="auto"/>
            <w:noWrap/>
            <w:vAlign w:val="bottom"/>
            <w:hideMark/>
          </w:tcPr>
          <w:p w14:paraId="6DD875B6" w14:textId="77777777" w:rsidR="00A125E8" w:rsidRPr="00A125E8" w:rsidRDefault="00A125E8" w:rsidP="00AF4CAA">
            <w:pPr>
              <w:pStyle w:val="NoSpacing"/>
              <w:rPr>
                <w:lang w:eastAsia="en-CA"/>
              </w:rPr>
            </w:pPr>
            <w:r w:rsidRPr="00A125E8">
              <w:rPr>
                <w:lang w:eastAsia="en-CA"/>
              </w:rPr>
              <w:t>8</w:t>
            </w:r>
          </w:p>
        </w:tc>
        <w:tc>
          <w:tcPr>
            <w:tcW w:w="1502" w:type="dxa"/>
            <w:tcBorders>
              <w:top w:val="nil"/>
              <w:left w:val="nil"/>
              <w:bottom w:val="nil"/>
              <w:right w:val="nil"/>
            </w:tcBorders>
            <w:shd w:val="clear" w:color="auto" w:fill="auto"/>
            <w:noWrap/>
            <w:vAlign w:val="bottom"/>
            <w:hideMark/>
          </w:tcPr>
          <w:p w14:paraId="2428A9BA"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4703F98B" w14:textId="77777777" w:rsidR="00A125E8" w:rsidRPr="00A125E8" w:rsidRDefault="00A125E8" w:rsidP="00AF4CAA">
            <w:pPr>
              <w:pStyle w:val="NoSpacing"/>
              <w:rPr>
                <w:lang w:eastAsia="en-CA"/>
              </w:rPr>
            </w:pPr>
            <w:r w:rsidRPr="00A125E8">
              <w:rPr>
                <w:lang w:eastAsia="en-CA"/>
              </w:rPr>
              <w:t>0</w:t>
            </w:r>
          </w:p>
        </w:tc>
      </w:tr>
      <w:tr w:rsidR="00AB0F70" w:rsidRPr="00A125E8" w14:paraId="3FF5E46D"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7087701B" w14:textId="77777777" w:rsidR="00A125E8" w:rsidRPr="00A125E8" w:rsidRDefault="00A125E8" w:rsidP="00AF4CAA">
            <w:pPr>
              <w:pStyle w:val="NoSpacing"/>
              <w:rPr>
                <w:lang w:eastAsia="en-CA"/>
              </w:rPr>
            </w:pPr>
            <w:r w:rsidRPr="00A125E8">
              <w:rPr>
                <w:lang w:eastAsia="en-CA"/>
              </w:rPr>
              <w:t>Delaware</w:t>
            </w:r>
          </w:p>
        </w:tc>
        <w:tc>
          <w:tcPr>
            <w:tcW w:w="2228" w:type="dxa"/>
            <w:tcBorders>
              <w:top w:val="nil"/>
              <w:left w:val="single" w:sz="4" w:space="0" w:color="auto"/>
              <w:bottom w:val="nil"/>
              <w:right w:val="single" w:sz="4" w:space="0" w:color="auto"/>
            </w:tcBorders>
            <w:shd w:val="clear" w:color="auto" w:fill="auto"/>
            <w:noWrap/>
            <w:vAlign w:val="bottom"/>
            <w:hideMark/>
          </w:tcPr>
          <w:p w14:paraId="16E4B7F8" w14:textId="77777777" w:rsidR="00A125E8" w:rsidRPr="00A125E8" w:rsidRDefault="00A125E8" w:rsidP="00AF4CAA">
            <w:pPr>
              <w:pStyle w:val="NoSpacing"/>
              <w:rPr>
                <w:lang w:eastAsia="en-CA"/>
              </w:rPr>
            </w:pPr>
            <w:r w:rsidRPr="00A125E8">
              <w:rPr>
                <w:lang w:eastAsia="en-CA"/>
              </w:rPr>
              <w:t>3</w:t>
            </w:r>
          </w:p>
        </w:tc>
        <w:tc>
          <w:tcPr>
            <w:tcW w:w="1502" w:type="dxa"/>
            <w:tcBorders>
              <w:top w:val="nil"/>
              <w:left w:val="single" w:sz="4" w:space="0" w:color="auto"/>
              <w:bottom w:val="nil"/>
              <w:right w:val="nil"/>
            </w:tcBorders>
            <w:shd w:val="clear" w:color="auto" w:fill="auto"/>
            <w:noWrap/>
            <w:vAlign w:val="bottom"/>
            <w:hideMark/>
          </w:tcPr>
          <w:p w14:paraId="5F7257D2" w14:textId="77777777" w:rsidR="00A125E8" w:rsidRPr="00A125E8" w:rsidRDefault="00A125E8" w:rsidP="00AF4CAA">
            <w:pPr>
              <w:pStyle w:val="NoSpacing"/>
              <w:rPr>
                <w:lang w:eastAsia="en-CA"/>
              </w:rPr>
            </w:pPr>
            <w:r w:rsidRPr="00A125E8">
              <w:rPr>
                <w:lang w:eastAsia="en-CA"/>
              </w:rPr>
              <w:t>3</w:t>
            </w:r>
          </w:p>
        </w:tc>
        <w:tc>
          <w:tcPr>
            <w:tcW w:w="1502" w:type="dxa"/>
            <w:tcBorders>
              <w:top w:val="nil"/>
              <w:left w:val="nil"/>
              <w:bottom w:val="nil"/>
              <w:right w:val="nil"/>
            </w:tcBorders>
            <w:shd w:val="clear" w:color="auto" w:fill="auto"/>
            <w:noWrap/>
            <w:vAlign w:val="bottom"/>
            <w:hideMark/>
          </w:tcPr>
          <w:p w14:paraId="409FEC01"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522DBE99" w14:textId="77777777" w:rsidR="00A125E8" w:rsidRPr="00A125E8" w:rsidRDefault="00A125E8" w:rsidP="00AF4CAA">
            <w:pPr>
              <w:pStyle w:val="NoSpacing"/>
              <w:rPr>
                <w:lang w:eastAsia="en-CA"/>
              </w:rPr>
            </w:pPr>
            <w:r w:rsidRPr="00A125E8">
              <w:rPr>
                <w:lang w:eastAsia="en-CA"/>
              </w:rPr>
              <w:t>0</w:t>
            </w:r>
          </w:p>
        </w:tc>
      </w:tr>
      <w:tr w:rsidR="00AB0F70" w:rsidRPr="00A125E8" w14:paraId="04C006F5"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5748F234" w14:textId="77777777" w:rsidR="00A125E8" w:rsidRPr="00A125E8" w:rsidRDefault="00A125E8" w:rsidP="00AF4CAA">
            <w:pPr>
              <w:pStyle w:val="NoSpacing"/>
              <w:rPr>
                <w:lang w:eastAsia="en-CA"/>
              </w:rPr>
            </w:pPr>
            <w:r w:rsidRPr="00A125E8">
              <w:rPr>
                <w:lang w:eastAsia="en-CA"/>
              </w:rPr>
              <w:t>Maryland</w:t>
            </w:r>
          </w:p>
        </w:tc>
        <w:tc>
          <w:tcPr>
            <w:tcW w:w="2228" w:type="dxa"/>
            <w:tcBorders>
              <w:top w:val="nil"/>
              <w:left w:val="single" w:sz="4" w:space="0" w:color="auto"/>
              <w:bottom w:val="nil"/>
              <w:right w:val="single" w:sz="4" w:space="0" w:color="auto"/>
            </w:tcBorders>
            <w:shd w:val="clear" w:color="auto" w:fill="auto"/>
            <w:noWrap/>
            <w:vAlign w:val="bottom"/>
            <w:hideMark/>
          </w:tcPr>
          <w:p w14:paraId="24808F1B"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vAlign w:val="bottom"/>
            <w:hideMark/>
          </w:tcPr>
          <w:p w14:paraId="72FECCF5" w14:textId="77777777" w:rsidR="00A125E8" w:rsidRPr="00A125E8" w:rsidRDefault="00A125E8" w:rsidP="00AF4CAA">
            <w:pPr>
              <w:pStyle w:val="NoSpacing"/>
              <w:rPr>
                <w:lang w:eastAsia="en-CA"/>
              </w:rPr>
            </w:pPr>
            <w:r w:rsidRPr="00A125E8">
              <w:rPr>
                <w:lang w:eastAsia="en-CA"/>
              </w:rPr>
              <w:t>6</w:t>
            </w:r>
          </w:p>
        </w:tc>
        <w:tc>
          <w:tcPr>
            <w:tcW w:w="1502" w:type="dxa"/>
            <w:tcBorders>
              <w:top w:val="nil"/>
              <w:left w:val="nil"/>
              <w:bottom w:val="nil"/>
              <w:right w:val="nil"/>
            </w:tcBorders>
            <w:shd w:val="clear" w:color="auto" w:fill="auto"/>
            <w:noWrap/>
            <w:vAlign w:val="bottom"/>
            <w:hideMark/>
          </w:tcPr>
          <w:p w14:paraId="3409BE27"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74D0AE6A" w14:textId="77777777" w:rsidR="00A125E8" w:rsidRPr="00A125E8" w:rsidRDefault="00A125E8" w:rsidP="00AF4CAA">
            <w:pPr>
              <w:pStyle w:val="NoSpacing"/>
              <w:rPr>
                <w:lang w:eastAsia="en-CA"/>
              </w:rPr>
            </w:pPr>
            <w:r w:rsidRPr="00A125E8">
              <w:rPr>
                <w:lang w:eastAsia="en-CA"/>
              </w:rPr>
              <w:t>0</w:t>
            </w:r>
          </w:p>
        </w:tc>
      </w:tr>
      <w:tr w:rsidR="00AB0F70" w:rsidRPr="00A125E8" w14:paraId="33CDF33A"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55D78E97" w14:textId="77777777" w:rsidR="00A125E8" w:rsidRPr="00A125E8" w:rsidRDefault="00A125E8" w:rsidP="00AF4CAA">
            <w:pPr>
              <w:pStyle w:val="NoSpacing"/>
              <w:rPr>
                <w:lang w:eastAsia="en-CA"/>
              </w:rPr>
            </w:pPr>
            <w:r w:rsidRPr="00A125E8">
              <w:rPr>
                <w:lang w:eastAsia="en-CA"/>
              </w:rPr>
              <w:t>Ohio</w:t>
            </w:r>
          </w:p>
        </w:tc>
        <w:tc>
          <w:tcPr>
            <w:tcW w:w="2228" w:type="dxa"/>
            <w:tcBorders>
              <w:top w:val="nil"/>
              <w:left w:val="single" w:sz="4" w:space="0" w:color="auto"/>
              <w:bottom w:val="nil"/>
              <w:right w:val="single" w:sz="4" w:space="0" w:color="auto"/>
            </w:tcBorders>
            <w:shd w:val="clear" w:color="auto" w:fill="auto"/>
            <w:noWrap/>
            <w:vAlign w:val="bottom"/>
            <w:hideMark/>
          </w:tcPr>
          <w:p w14:paraId="4986096D" w14:textId="5723DE6F" w:rsidR="00A125E8" w:rsidRPr="00A125E8" w:rsidRDefault="0012441B" w:rsidP="00AF4CAA">
            <w:pPr>
              <w:pStyle w:val="NoSpacing"/>
              <w:rPr>
                <w:lang w:eastAsia="en-CA"/>
              </w:rPr>
            </w:pPr>
            <w:r>
              <w:rPr>
                <w:lang w:eastAsia="en-CA"/>
              </w:rPr>
              <w:t>25</w:t>
            </w:r>
          </w:p>
        </w:tc>
        <w:tc>
          <w:tcPr>
            <w:tcW w:w="1502" w:type="dxa"/>
            <w:tcBorders>
              <w:top w:val="nil"/>
              <w:left w:val="single" w:sz="4" w:space="0" w:color="auto"/>
              <w:bottom w:val="nil"/>
              <w:right w:val="nil"/>
            </w:tcBorders>
            <w:shd w:val="clear" w:color="auto" w:fill="auto"/>
            <w:noWrap/>
            <w:vAlign w:val="bottom"/>
            <w:hideMark/>
          </w:tcPr>
          <w:p w14:paraId="36247AE2" w14:textId="71058DAE" w:rsidR="00A125E8" w:rsidRPr="00A125E8" w:rsidRDefault="0012441B" w:rsidP="00AF4CAA">
            <w:pPr>
              <w:pStyle w:val="NoSpacing"/>
              <w:rPr>
                <w:lang w:eastAsia="en-CA"/>
              </w:rPr>
            </w:pPr>
            <w:r>
              <w:rPr>
                <w:lang w:eastAsia="en-CA"/>
              </w:rPr>
              <w:t>18</w:t>
            </w:r>
          </w:p>
        </w:tc>
        <w:tc>
          <w:tcPr>
            <w:tcW w:w="1502" w:type="dxa"/>
            <w:tcBorders>
              <w:top w:val="nil"/>
              <w:left w:val="nil"/>
              <w:bottom w:val="nil"/>
              <w:right w:val="nil"/>
            </w:tcBorders>
            <w:shd w:val="clear" w:color="auto" w:fill="auto"/>
            <w:noWrap/>
            <w:vAlign w:val="bottom"/>
            <w:hideMark/>
          </w:tcPr>
          <w:p w14:paraId="308AF33D" w14:textId="4E41F414" w:rsidR="00A125E8" w:rsidRPr="00A125E8" w:rsidRDefault="0012441B" w:rsidP="00AF4CAA">
            <w:pPr>
              <w:pStyle w:val="NoSpacing"/>
              <w:rPr>
                <w:lang w:eastAsia="en-CA"/>
              </w:rPr>
            </w:pPr>
            <w:r>
              <w:rPr>
                <w:lang w:eastAsia="en-CA"/>
              </w:rPr>
              <w:t>7</w:t>
            </w:r>
          </w:p>
        </w:tc>
        <w:tc>
          <w:tcPr>
            <w:tcW w:w="1502" w:type="dxa"/>
            <w:tcBorders>
              <w:top w:val="nil"/>
              <w:left w:val="nil"/>
              <w:bottom w:val="nil"/>
              <w:right w:val="nil"/>
            </w:tcBorders>
            <w:shd w:val="clear" w:color="auto" w:fill="auto"/>
            <w:noWrap/>
            <w:vAlign w:val="bottom"/>
            <w:hideMark/>
          </w:tcPr>
          <w:p w14:paraId="5DA23B68" w14:textId="77777777" w:rsidR="00A125E8" w:rsidRPr="00A125E8" w:rsidRDefault="00A125E8" w:rsidP="00AF4CAA">
            <w:pPr>
              <w:pStyle w:val="NoSpacing"/>
              <w:rPr>
                <w:lang w:eastAsia="en-CA"/>
              </w:rPr>
            </w:pPr>
            <w:r w:rsidRPr="00A125E8">
              <w:rPr>
                <w:lang w:eastAsia="en-CA"/>
              </w:rPr>
              <w:t>0</w:t>
            </w:r>
          </w:p>
        </w:tc>
      </w:tr>
      <w:tr w:rsidR="00AB0F70" w:rsidRPr="00A125E8" w14:paraId="13B46040"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7EF8C7DE" w14:textId="7599B408" w:rsidR="00A125E8" w:rsidRPr="00A125E8" w:rsidRDefault="00AB0F70" w:rsidP="00AF4CAA">
            <w:pPr>
              <w:pStyle w:val="NoSpacing"/>
              <w:rPr>
                <w:lang w:eastAsia="en-CA"/>
              </w:rPr>
            </w:pPr>
            <w:r>
              <w:rPr>
                <w:lang w:eastAsia="en-CA"/>
              </w:rPr>
              <w:t>New Ireland</w:t>
            </w:r>
          </w:p>
        </w:tc>
        <w:tc>
          <w:tcPr>
            <w:tcW w:w="2228" w:type="dxa"/>
            <w:tcBorders>
              <w:top w:val="nil"/>
              <w:left w:val="single" w:sz="4" w:space="0" w:color="auto"/>
              <w:bottom w:val="nil"/>
              <w:right w:val="single" w:sz="4" w:space="0" w:color="auto"/>
            </w:tcBorders>
            <w:shd w:val="clear" w:color="auto" w:fill="auto"/>
            <w:noWrap/>
            <w:vAlign w:val="bottom"/>
            <w:hideMark/>
          </w:tcPr>
          <w:p w14:paraId="29187AA6"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vAlign w:val="bottom"/>
            <w:hideMark/>
          </w:tcPr>
          <w:p w14:paraId="2B25F478"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nil"/>
              <w:bottom w:val="nil"/>
              <w:right w:val="nil"/>
            </w:tcBorders>
            <w:shd w:val="clear" w:color="auto" w:fill="auto"/>
            <w:noWrap/>
            <w:vAlign w:val="bottom"/>
            <w:hideMark/>
          </w:tcPr>
          <w:p w14:paraId="6A2061FA" w14:textId="77777777" w:rsidR="00A125E8" w:rsidRPr="00A125E8" w:rsidRDefault="00A125E8" w:rsidP="00AF4CAA">
            <w:pPr>
              <w:pStyle w:val="NoSpacing"/>
              <w:rPr>
                <w:lang w:eastAsia="en-CA"/>
              </w:rPr>
            </w:pPr>
            <w:r w:rsidRPr="00A125E8">
              <w:rPr>
                <w:lang w:eastAsia="en-CA"/>
              </w:rPr>
              <w:t>2</w:t>
            </w:r>
          </w:p>
        </w:tc>
        <w:tc>
          <w:tcPr>
            <w:tcW w:w="1502" w:type="dxa"/>
            <w:tcBorders>
              <w:top w:val="nil"/>
              <w:left w:val="nil"/>
              <w:bottom w:val="nil"/>
              <w:right w:val="nil"/>
            </w:tcBorders>
            <w:shd w:val="clear" w:color="auto" w:fill="auto"/>
            <w:noWrap/>
            <w:vAlign w:val="bottom"/>
            <w:hideMark/>
          </w:tcPr>
          <w:p w14:paraId="775BB179" w14:textId="77777777" w:rsidR="00A125E8" w:rsidRPr="00A125E8" w:rsidRDefault="00A125E8" w:rsidP="00AF4CAA">
            <w:pPr>
              <w:pStyle w:val="NoSpacing"/>
              <w:rPr>
                <w:lang w:eastAsia="en-CA"/>
              </w:rPr>
            </w:pPr>
            <w:r w:rsidRPr="00A125E8">
              <w:rPr>
                <w:lang w:eastAsia="en-CA"/>
              </w:rPr>
              <w:t>0</w:t>
            </w:r>
          </w:p>
        </w:tc>
      </w:tr>
      <w:tr w:rsidR="00AB0F70" w:rsidRPr="00A125E8" w14:paraId="71EED496"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09DD434E" w14:textId="72B9813D" w:rsidR="00A125E8" w:rsidRPr="00A125E8" w:rsidRDefault="00AB0F70" w:rsidP="00AF4CAA">
            <w:pPr>
              <w:pStyle w:val="NoSpacing"/>
              <w:rPr>
                <w:lang w:eastAsia="en-CA"/>
              </w:rPr>
            </w:pPr>
            <w:r>
              <w:rPr>
                <w:lang w:eastAsia="en-CA"/>
              </w:rPr>
              <w:t>Huron</w:t>
            </w:r>
          </w:p>
        </w:tc>
        <w:tc>
          <w:tcPr>
            <w:tcW w:w="2228" w:type="dxa"/>
            <w:tcBorders>
              <w:top w:val="nil"/>
              <w:left w:val="single" w:sz="4" w:space="0" w:color="auto"/>
              <w:bottom w:val="nil"/>
              <w:right w:val="single" w:sz="4" w:space="0" w:color="auto"/>
            </w:tcBorders>
            <w:shd w:val="clear" w:color="auto" w:fill="auto"/>
            <w:noWrap/>
            <w:vAlign w:val="bottom"/>
            <w:hideMark/>
          </w:tcPr>
          <w:p w14:paraId="086BC8D4"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vAlign w:val="bottom"/>
            <w:hideMark/>
          </w:tcPr>
          <w:p w14:paraId="2A04170D"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nil"/>
              <w:bottom w:val="nil"/>
              <w:right w:val="nil"/>
            </w:tcBorders>
            <w:shd w:val="clear" w:color="auto" w:fill="auto"/>
            <w:noWrap/>
            <w:vAlign w:val="bottom"/>
            <w:hideMark/>
          </w:tcPr>
          <w:p w14:paraId="79F523BD"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4C68F794" w14:textId="77777777" w:rsidR="00A125E8" w:rsidRPr="00A125E8" w:rsidRDefault="00A125E8" w:rsidP="00AF4CAA">
            <w:pPr>
              <w:pStyle w:val="NoSpacing"/>
              <w:rPr>
                <w:lang w:eastAsia="en-CA"/>
              </w:rPr>
            </w:pPr>
            <w:r w:rsidRPr="00A125E8">
              <w:rPr>
                <w:lang w:eastAsia="en-CA"/>
              </w:rPr>
              <w:t>0</w:t>
            </w:r>
          </w:p>
        </w:tc>
      </w:tr>
      <w:tr w:rsidR="00AB0F70" w:rsidRPr="00A125E8" w14:paraId="5CCB1D77"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725E66F1" w14:textId="77777777" w:rsidR="00A125E8" w:rsidRPr="00A125E8" w:rsidRDefault="00A125E8" w:rsidP="00AF4CAA">
            <w:pPr>
              <w:pStyle w:val="NoSpacing"/>
              <w:rPr>
                <w:lang w:eastAsia="en-CA"/>
              </w:rPr>
            </w:pPr>
            <w:r w:rsidRPr="00A125E8">
              <w:rPr>
                <w:lang w:eastAsia="en-CA"/>
              </w:rPr>
              <w:t>Indiana</w:t>
            </w:r>
          </w:p>
        </w:tc>
        <w:tc>
          <w:tcPr>
            <w:tcW w:w="2228" w:type="dxa"/>
            <w:tcBorders>
              <w:top w:val="nil"/>
              <w:left w:val="single" w:sz="4" w:space="0" w:color="auto"/>
              <w:bottom w:val="nil"/>
              <w:right w:val="single" w:sz="4" w:space="0" w:color="auto"/>
            </w:tcBorders>
            <w:shd w:val="clear" w:color="auto" w:fill="auto"/>
            <w:noWrap/>
            <w:vAlign w:val="bottom"/>
            <w:hideMark/>
          </w:tcPr>
          <w:p w14:paraId="2AA00D7C" w14:textId="77777777" w:rsidR="00A125E8" w:rsidRPr="00A125E8" w:rsidRDefault="00A125E8" w:rsidP="00AF4CAA">
            <w:pPr>
              <w:pStyle w:val="NoSpacing"/>
              <w:rPr>
                <w:lang w:eastAsia="en-CA"/>
              </w:rPr>
            </w:pPr>
            <w:r w:rsidRPr="00A125E8">
              <w:rPr>
                <w:lang w:eastAsia="en-CA"/>
              </w:rPr>
              <w:t>13</w:t>
            </w:r>
          </w:p>
        </w:tc>
        <w:tc>
          <w:tcPr>
            <w:tcW w:w="1502" w:type="dxa"/>
            <w:tcBorders>
              <w:top w:val="nil"/>
              <w:left w:val="single" w:sz="4" w:space="0" w:color="auto"/>
              <w:bottom w:val="nil"/>
              <w:right w:val="nil"/>
            </w:tcBorders>
            <w:shd w:val="clear" w:color="auto" w:fill="auto"/>
            <w:noWrap/>
            <w:vAlign w:val="bottom"/>
            <w:hideMark/>
          </w:tcPr>
          <w:p w14:paraId="5932111B"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nil"/>
              <w:bottom w:val="nil"/>
              <w:right w:val="nil"/>
            </w:tcBorders>
            <w:shd w:val="clear" w:color="auto" w:fill="auto"/>
            <w:noWrap/>
            <w:vAlign w:val="bottom"/>
            <w:hideMark/>
          </w:tcPr>
          <w:p w14:paraId="70C72873" w14:textId="77777777" w:rsidR="00A125E8" w:rsidRPr="00A125E8" w:rsidRDefault="00A125E8" w:rsidP="00AF4CAA">
            <w:pPr>
              <w:pStyle w:val="NoSpacing"/>
              <w:rPr>
                <w:lang w:eastAsia="en-CA"/>
              </w:rPr>
            </w:pPr>
            <w:r w:rsidRPr="00A125E8">
              <w:rPr>
                <w:lang w:eastAsia="en-CA"/>
              </w:rPr>
              <w:t>3</w:t>
            </w:r>
          </w:p>
        </w:tc>
        <w:tc>
          <w:tcPr>
            <w:tcW w:w="1502" w:type="dxa"/>
            <w:tcBorders>
              <w:top w:val="nil"/>
              <w:left w:val="nil"/>
              <w:bottom w:val="nil"/>
              <w:right w:val="nil"/>
            </w:tcBorders>
            <w:shd w:val="clear" w:color="auto" w:fill="auto"/>
            <w:noWrap/>
            <w:vAlign w:val="bottom"/>
            <w:hideMark/>
          </w:tcPr>
          <w:p w14:paraId="2367B658" w14:textId="77777777" w:rsidR="00A125E8" w:rsidRPr="00A125E8" w:rsidRDefault="00A125E8" w:rsidP="00AF4CAA">
            <w:pPr>
              <w:pStyle w:val="NoSpacing"/>
              <w:rPr>
                <w:lang w:eastAsia="en-CA"/>
              </w:rPr>
            </w:pPr>
            <w:r w:rsidRPr="00A125E8">
              <w:rPr>
                <w:lang w:eastAsia="en-CA"/>
              </w:rPr>
              <w:t>0</w:t>
            </w:r>
          </w:p>
        </w:tc>
      </w:tr>
      <w:tr w:rsidR="00AB0F70" w:rsidRPr="00A125E8" w14:paraId="06F0403E"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773653B7" w14:textId="77777777" w:rsidR="00A125E8" w:rsidRPr="00A125E8" w:rsidRDefault="00A125E8" w:rsidP="00AF4CAA">
            <w:pPr>
              <w:pStyle w:val="NoSpacing"/>
              <w:rPr>
                <w:lang w:eastAsia="en-CA"/>
              </w:rPr>
            </w:pPr>
            <w:r w:rsidRPr="00A125E8">
              <w:rPr>
                <w:lang w:eastAsia="en-CA"/>
              </w:rPr>
              <w:t>Illinois</w:t>
            </w:r>
          </w:p>
        </w:tc>
        <w:tc>
          <w:tcPr>
            <w:tcW w:w="2228" w:type="dxa"/>
            <w:tcBorders>
              <w:top w:val="nil"/>
              <w:left w:val="single" w:sz="4" w:space="0" w:color="auto"/>
              <w:bottom w:val="nil"/>
              <w:right w:val="single" w:sz="4" w:space="0" w:color="auto"/>
            </w:tcBorders>
            <w:shd w:val="clear" w:color="auto" w:fill="auto"/>
            <w:noWrap/>
            <w:vAlign w:val="bottom"/>
            <w:hideMark/>
          </w:tcPr>
          <w:p w14:paraId="7A368C7D"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vAlign w:val="bottom"/>
            <w:hideMark/>
          </w:tcPr>
          <w:p w14:paraId="19B87EBD"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nil"/>
              <w:bottom w:val="nil"/>
              <w:right w:val="nil"/>
            </w:tcBorders>
            <w:shd w:val="clear" w:color="auto" w:fill="auto"/>
            <w:noWrap/>
            <w:vAlign w:val="bottom"/>
            <w:hideMark/>
          </w:tcPr>
          <w:p w14:paraId="55E2DEB8"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7B870C50" w14:textId="77777777" w:rsidR="00A125E8" w:rsidRPr="00A125E8" w:rsidRDefault="00A125E8" w:rsidP="00AF4CAA">
            <w:pPr>
              <w:pStyle w:val="NoSpacing"/>
              <w:rPr>
                <w:lang w:eastAsia="en-CA"/>
              </w:rPr>
            </w:pPr>
            <w:r w:rsidRPr="00A125E8">
              <w:rPr>
                <w:lang w:eastAsia="en-CA"/>
              </w:rPr>
              <w:t>0</w:t>
            </w:r>
          </w:p>
        </w:tc>
      </w:tr>
      <w:tr w:rsidR="00AB0F70" w:rsidRPr="00A125E8" w14:paraId="657A8F34"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49DD42A5" w14:textId="77777777" w:rsidR="00A125E8" w:rsidRPr="00A125E8" w:rsidRDefault="00A125E8" w:rsidP="00AF4CAA">
            <w:pPr>
              <w:pStyle w:val="NoSpacing"/>
              <w:rPr>
                <w:lang w:eastAsia="en-CA"/>
              </w:rPr>
            </w:pPr>
            <w:r w:rsidRPr="00A125E8">
              <w:rPr>
                <w:lang w:eastAsia="en-CA"/>
              </w:rPr>
              <w:t>Virginia</w:t>
            </w:r>
          </w:p>
        </w:tc>
        <w:tc>
          <w:tcPr>
            <w:tcW w:w="2228" w:type="dxa"/>
            <w:tcBorders>
              <w:top w:val="nil"/>
              <w:left w:val="single" w:sz="4" w:space="0" w:color="auto"/>
              <w:bottom w:val="nil"/>
              <w:right w:val="single" w:sz="4" w:space="0" w:color="auto"/>
            </w:tcBorders>
            <w:shd w:val="clear" w:color="auto" w:fill="auto"/>
            <w:noWrap/>
            <w:vAlign w:val="bottom"/>
            <w:hideMark/>
          </w:tcPr>
          <w:p w14:paraId="48528FA7" w14:textId="77777777" w:rsidR="00A125E8" w:rsidRPr="00A125E8" w:rsidRDefault="00A125E8" w:rsidP="00AF4CAA">
            <w:pPr>
              <w:pStyle w:val="NoSpacing"/>
              <w:rPr>
                <w:lang w:eastAsia="en-CA"/>
              </w:rPr>
            </w:pPr>
            <w:r w:rsidRPr="00A125E8">
              <w:rPr>
                <w:lang w:eastAsia="en-CA"/>
              </w:rPr>
              <w:t>21</w:t>
            </w:r>
          </w:p>
        </w:tc>
        <w:tc>
          <w:tcPr>
            <w:tcW w:w="1502" w:type="dxa"/>
            <w:tcBorders>
              <w:top w:val="nil"/>
              <w:left w:val="single" w:sz="4" w:space="0" w:color="auto"/>
              <w:bottom w:val="nil"/>
              <w:right w:val="nil"/>
            </w:tcBorders>
            <w:shd w:val="clear" w:color="auto" w:fill="auto"/>
            <w:noWrap/>
            <w:vAlign w:val="bottom"/>
            <w:hideMark/>
          </w:tcPr>
          <w:p w14:paraId="225DE019" w14:textId="77777777" w:rsidR="00A125E8" w:rsidRPr="00A125E8" w:rsidRDefault="00A125E8" w:rsidP="00AF4CAA">
            <w:pPr>
              <w:pStyle w:val="NoSpacing"/>
              <w:rPr>
                <w:lang w:eastAsia="en-CA"/>
              </w:rPr>
            </w:pPr>
            <w:r w:rsidRPr="00A125E8">
              <w:rPr>
                <w:lang w:eastAsia="en-CA"/>
              </w:rPr>
              <w:t>17</w:t>
            </w:r>
          </w:p>
        </w:tc>
        <w:tc>
          <w:tcPr>
            <w:tcW w:w="1502" w:type="dxa"/>
            <w:tcBorders>
              <w:top w:val="nil"/>
              <w:left w:val="nil"/>
              <w:bottom w:val="nil"/>
              <w:right w:val="nil"/>
            </w:tcBorders>
            <w:shd w:val="clear" w:color="auto" w:fill="auto"/>
            <w:noWrap/>
            <w:vAlign w:val="bottom"/>
            <w:hideMark/>
          </w:tcPr>
          <w:p w14:paraId="066ADE2D"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nil"/>
              <w:bottom w:val="nil"/>
              <w:right w:val="nil"/>
            </w:tcBorders>
            <w:shd w:val="clear" w:color="auto" w:fill="auto"/>
            <w:noWrap/>
            <w:vAlign w:val="bottom"/>
            <w:hideMark/>
          </w:tcPr>
          <w:p w14:paraId="4CDA1593" w14:textId="77777777" w:rsidR="00A125E8" w:rsidRPr="00A125E8" w:rsidRDefault="00A125E8" w:rsidP="00AF4CAA">
            <w:pPr>
              <w:pStyle w:val="NoSpacing"/>
              <w:rPr>
                <w:lang w:eastAsia="en-CA"/>
              </w:rPr>
            </w:pPr>
            <w:r w:rsidRPr="00A125E8">
              <w:rPr>
                <w:lang w:eastAsia="en-CA"/>
              </w:rPr>
              <w:t>0</w:t>
            </w:r>
          </w:p>
        </w:tc>
      </w:tr>
      <w:tr w:rsidR="00AB0F70" w:rsidRPr="00A125E8" w14:paraId="5DD81206"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29D49FD3" w14:textId="77777777" w:rsidR="00A125E8" w:rsidRPr="00A125E8" w:rsidRDefault="00A125E8" w:rsidP="00AF4CAA">
            <w:pPr>
              <w:pStyle w:val="NoSpacing"/>
              <w:rPr>
                <w:lang w:eastAsia="en-CA"/>
              </w:rPr>
            </w:pPr>
            <w:r w:rsidRPr="00A125E8">
              <w:rPr>
                <w:lang w:eastAsia="en-CA"/>
              </w:rPr>
              <w:t>Kentucky</w:t>
            </w:r>
          </w:p>
        </w:tc>
        <w:tc>
          <w:tcPr>
            <w:tcW w:w="2228" w:type="dxa"/>
            <w:tcBorders>
              <w:top w:val="nil"/>
              <w:left w:val="single" w:sz="4" w:space="0" w:color="auto"/>
              <w:bottom w:val="nil"/>
              <w:right w:val="single" w:sz="4" w:space="0" w:color="auto"/>
            </w:tcBorders>
            <w:shd w:val="clear" w:color="auto" w:fill="auto"/>
            <w:noWrap/>
            <w:vAlign w:val="bottom"/>
            <w:hideMark/>
          </w:tcPr>
          <w:p w14:paraId="5D0424A3" w14:textId="77777777" w:rsidR="00A125E8" w:rsidRPr="00A125E8" w:rsidRDefault="00A125E8" w:rsidP="00AF4CAA">
            <w:pPr>
              <w:pStyle w:val="NoSpacing"/>
              <w:rPr>
                <w:lang w:eastAsia="en-CA"/>
              </w:rPr>
            </w:pPr>
            <w:r w:rsidRPr="00A125E8">
              <w:rPr>
                <w:lang w:eastAsia="en-CA"/>
              </w:rPr>
              <w:t>13</w:t>
            </w:r>
          </w:p>
        </w:tc>
        <w:tc>
          <w:tcPr>
            <w:tcW w:w="1502" w:type="dxa"/>
            <w:tcBorders>
              <w:top w:val="nil"/>
              <w:left w:val="single" w:sz="4" w:space="0" w:color="auto"/>
              <w:bottom w:val="nil"/>
              <w:right w:val="nil"/>
            </w:tcBorders>
            <w:shd w:val="clear" w:color="auto" w:fill="auto"/>
            <w:noWrap/>
            <w:vAlign w:val="bottom"/>
            <w:hideMark/>
          </w:tcPr>
          <w:p w14:paraId="02FE69E5"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nil"/>
              <w:bottom w:val="nil"/>
              <w:right w:val="nil"/>
            </w:tcBorders>
            <w:shd w:val="clear" w:color="auto" w:fill="auto"/>
            <w:noWrap/>
            <w:vAlign w:val="bottom"/>
            <w:hideMark/>
          </w:tcPr>
          <w:p w14:paraId="75312026"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nil"/>
              <w:bottom w:val="nil"/>
              <w:right w:val="nil"/>
            </w:tcBorders>
            <w:shd w:val="clear" w:color="auto" w:fill="auto"/>
            <w:noWrap/>
            <w:vAlign w:val="bottom"/>
            <w:hideMark/>
          </w:tcPr>
          <w:p w14:paraId="78AB4737" w14:textId="77777777" w:rsidR="00A125E8" w:rsidRPr="00A125E8" w:rsidRDefault="00A125E8" w:rsidP="00AF4CAA">
            <w:pPr>
              <w:pStyle w:val="NoSpacing"/>
              <w:rPr>
                <w:lang w:eastAsia="en-CA"/>
              </w:rPr>
            </w:pPr>
            <w:r w:rsidRPr="00A125E8">
              <w:rPr>
                <w:lang w:eastAsia="en-CA"/>
              </w:rPr>
              <w:t>0</w:t>
            </w:r>
          </w:p>
        </w:tc>
      </w:tr>
      <w:tr w:rsidR="00AB0F70" w:rsidRPr="00A125E8" w14:paraId="1AC3F2F8"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4538528F" w14:textId="77777777" w:rsidR="00A125E8" w:rsidRPr="00A125E8" w:rsidRDefault="00A125E8" w:rsidP="00AF4CAA">
            <w:pPr>
              <w:pStyle w:val="NoSpacing"/>
              <w:rPr>
                <w:lang w:eastAsia="en-CA"/>
              </w:rPr>
            </w:pPr>
            <w:r w:rsidRPr="00A125E8">
              <w:rPr>
                <w:lang w:eastAsia="en-CA"/>
              </w:rPr>
              <w:t>Tennessee</w:t>
            </w:r>
          </w:p>
        </w:tc>
        <w:tc>
          <w:tcPr>
            <w:tcW w:w="2228" w:type="dxa"/>
            <w:tcBorders>
              <w:top w:val="nil"/>
              <w:left w:val="single" w:sz="4" w:space="0" w:color="auto"/>
              <w:bottom w:val="nil"/>
              <w:right w:val="single" w:sz="4" w:space="0" w:color="auto"/>
            </w:tcBorders>
            <w:shd w:val="clear" w:color="auto" w:fill="auto"/>
            <w:noWrap/>
            <w:vAlign w:val="bottom"/>
            <w:hideMark/>
          </w:tcPr>
          <w:p w14:paraId="1CC424BF" w14:textId="77777777" w:rsidR="00A125E8" w:rsidRPr="00A125E8" w:rsidRDefault="00A125E8" w:rsidP="00AF4CAA">
            <w:pPr>
              <w:pStyle w:val="NoSpacing"/>
              <w:rPr>
                <w:lang w:eastAsia="en-CA"/>
              </w:rPr>
            </w:pPr>
            <w:r w:rsidRPr="00A125E8">
              <w:rPr>
                <w:lang w:eastAsia="en-CA"/>
              </w:rPr>
              <w:t>12</w:t>
            </w:r>
          </w:p>
        </w:tc>
        <w:tc>
          <w:tcPr>
            <w:tcW w:w="1502" w:type="dxa"/>
            <w:tcBorders>
              <w:top w:val="nil"/>
              <w:left w:val="single" w:sz="4" w:space="0" w:color="auto"/>
              <w:bottom w:val="nil"/>
              <w:right w:val="nil"/>
            </w:tcBorders>
            <w:shd w:val="clear" w:color="auto" w:fill="auto"/>
            <w:noWrap/>
            <w:vAlign w:val="bottom"/>
            <w:hideMark/>
          </w:tcPr>
          <w:p w14:paraId="2BC28356"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nil"/>
              <w:bottom w:val="nil"/>
              <w:right w:val="nil"/>
            </w:tcBorders>
            <w:shd w:val="clear" w:color="auto" w:fill="auto"/>
            <w:noWrap/>
            <w:vAlign w:val="bottom"/>
            <w:hideMark/>
          </w:tcPr>
          <w:p w14:paraId="60354CD0" w14:textId="77777777" w:rsidR="00A125E8" w:rsidRPr="00A125E8" w:rsidRDefault="00A125E8" w:rsidP="00AF4CAA">
            <w:pPr>
              <w:pStyle w:val="NoSpacing"/>
              <w:rPr>
                <w:lang w:eastAsia="en-CA"/>
              </w:rPr>
            </w:pPr>
            <w:r w:rsidRPr="00A125E8">
              <w:rPr>
                <w:lang w:eastAsia="en-CA"/>
              </w:rPr>
              <w:t>2</w:t>
            </w:r>
          </w:p>
        </w:tc>
        <w:tc>
          <w:tcPr>
            <w:tcW w:w="1502" w:type="dxa"/>
            <w:tcBorders>
              <w:top w:val="nil"/>
              <w:left w:val="nil"/>
              <w:bottom w:val="nil"/>
              <w:right w:val="nil"/>
            </w:tcBorders>
            <w:shd w:val="clear" w:color="auto" w:fill="auto"/>
            <w:noWrap/>
            <w:vAlign w:val="bottom"/>
            <w:hideMark/>
          </w:tcPr>
          <w:p w14:paraId="77D0A7D8" w14:textId="77777777" w:rsidR="00A125E8" w:rsidRPr="00A125E8" w:rsidRDefault="00A125E8" w:rsidP="00AF4CAA">
            <w:pPr>
              <w:pStyle w:val="NoSpacing"/>
              <w:rPr>
                <w:lang w:eastAsia="en-CA"/>
              </w:rPr>
            </w:pPr>
            <w:r w:rsidRPr="00A125E8">
              <w:rPr>
                <w:lang w:eastAsia="en-CA"/>
              </w:rPr>
              <w:t>0</w:t>
            </w:r>
          </w:p>
        </w:tc>
      </w:tr>
      <w:tr w:rsidR="00AB0F70" w:rsidRPr="00A125E8" w14:paraId="79A04B3D"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6A4CE457" w14:textId="77777777" w:rsidR="00A125E8" w:rsidRPr="00A125E8" w:rsidRDefault="00A125E8" w:rsidP="00AF4CAA">
            <w:pPr>
              <w:pStyle w:val="NoSpacing"/>
              <w:rPr>
                <w:lang w:eastAsia="en-CA"/>
              </w:rPr>
            </w:pPr>
            <w:r w:rsidRPr="00A125E8">
              <w:rPr>
                <w:lang w:eastAsia="en-CA"/>
              </w:rPr>
              <w:t>North Carolina</w:t>
            </w:r>
          </w:p>
        </w:tc>
        <w:tc>
          <w:tcPr>
            <w:tcW w:w="2228" w:type="dxa"/>
            <w:tcBorders>
              <w:top w:val="nil"/>
              <w:left w:val="single" w:sz="4" w:space="0" w:color="auto"/>
              <w:bottom w:val="nil"/>
              <w:right w:val="single" w:sz="4" w:space="0" w:color="auto"/>
            </w:tcBorders>
            <w:shd w:val="clear" w:color="auto" w:fill="auto"/>
            <w:noWrap/>
            <w:vAlign w:val="bottom"/>
            <w:hideMark/>
          </w:tcPr>
          <w:p w14:paraId="22E0CC0D"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vAlign w:val="bottom"/>
            <w:hideMark/>
          </w:tcPr>
          <w:p w14:paraId="2500DE86" w14:textId="77777777" w:rsidR="00A125E8" w:rsidRPr="00A125E8" w:rsidRDefault="00A125E8" w:rsidP="00AF4CAA">
            <w:pPr>
              <w:pStyle w:val="NoSpacing"/>
              <w:rPr>
                <w:lang w:eastAsia="en-CA"/>
              </w:rPr>
            </w:pPr>
            <w:r w:rsidRPr="00A125E8">
              <w:rPr>
                <w:lang w:eastAsia="en-CA"/>
              </w:rPr>
              <w:t>8</w:t>
            </w:r>
          </w:p>
        </w:tc>
        <w:tc>
          <w:tcPr>
            <w:tcW w:w="1502" w:type="dxa"/>
            <w:tcBorders>
              <w:top w:val="nil"/>
              <w:left w:val="nil"/>
              <w:bottom w:val="nil"/>
              <w:right w:val="nil"/>
            </w:tcBorders>
            <w:shd w:val="clear" w:color="auto" w:fill="auto"/>
            <w:noWrap/>
            <w:vAlign w:val="bottom"/>
            <w:hideMark/>
          </w:tcPr>
          <w:p w14:paraId="2D657F51" w14:textId="77777777" w:rsidR="00A125E8" w:rsidRPr="00A125E8" w:rsidRDefault="00A125E8" w:rsidP="00AF4CAA">
            <w:pPr>
              <w:pStyle w:val="NoSpacing"/>
              <w:rPr>
                <w:lang w:eastAsia="en-CA"/>
              </w:rPr>
            </w:pPr>
            <w:r w:rsidRPr="00A125E8">
              <w:rPr>
                <w:lang w:eastAsia="en-CA"/>
              </w:rPr>
              <w:t>2</w:t>
            </w:r>
          </w:p>
        </w:tc>
        <w:tc>
          <w:tcPr>
            <w:tcW w:w="1502" w:type="dxa"/>
            <w:tcBorders>
              <w:top w:val="nil"/>
              <w:left w:val="nil"/>
              <w:bottom w:val="nil"/>
              <w:right w:val="nil"/>
            </w:tcBorders>
            <w:shd w:val="clear" w:color="auto" w:fill="auto"/>
            <w:noWrap/>
            <w:vAlign w:val="bottom"/>
            <w:hideMark/>
          </w:tcPr>
          <w:p w14:paraId="29D20897" w14:textId="77777777" w:rsidR="00A125E8" w:rsidRPr="00A125E8" w:rsidRDefault="00A125E8" w:rsidP="00AF4CAA">
            <w:pPr>
              <w:pStyle w:val="NoSpacing"/>
              <w:rPr>
                <w:lang w:eastAsia="en-CA"/>
              </w:rPr>
            </w:pPr>
            <w:r w:rsidRPr="00A125E8">
              <w:rPr>
                <w:lang w:eastAsia="en-CA"/>
              </w:rPr>
              <w:t>0</w:t>
            </w:r>
          </w:p>
        </w:tc>
      </w:tr>
      <w:tr w:rsidR="00AB0F70" w:rsidRPr="00A125E8" w14:paraId="056932A8"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157360D1" w14:textId="77777777" w:rsidR="00A125E8" w:rsidRPr="00A125E8" w:rsidRDefault="00A125E8" w:rsidP="00AF4CAA">
            <w:pPr>
              <w:pStyle w:val="NoSpacing"/>
              <w:rPr>
                <w:lang w:eastAsia="en-CA"/>
              </w:rPr>
            </w:pPr>
            <w:r w:rsidRPr="00A125E8">
              <w:rPr>
                <w:lang w:eastAsia="en-CA"/>
              </w:rPr>
              <w:t>South Carolina</w:t>
            </w:r>
          </w:p>
        </w:tc>
        <w:tc>
          <w:tcPr>
            <w:tcW w:w="2228" w:type="dxa"/>
            <w:tcBorders>
              <w:top w:val="nil"/>
              <w:left w:val="single" w:sz="4" w:space="0" w:color="auto"/>
              <w:bottom w:val="nil"/>
              <w:right w:val="single" w:sz="4" w:space="0" w:color="auto"/>
            </w:tcBorders>
            <w:shd w:val="clear" w:color="auto" w:fill="auto"/>
            <w:noWrap/>
            <w:vAlign w:val="bottom"/>
            <w:hideMark/>
          </w:tcPr>
          <w:p w14:paraId="0655FCEF"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vAlign w:val="bottom"/>
            <w:hideMark/>
          </w:tcPr>
          <w:p w14:paraId="2BD5097C"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nil"/>
              <w:bottom w:val="nil"/>
              <w:right w:val="nil"/>
            </w:tcBorders>
            <w:shd w:val="clear" w:color="auto" w:fill="auto"/>
            <w:noWrap/>
            <w:vAlign w:val="bottom"/>
            <w:hideMark/>
          </w:tcPr>
          <w:p w14:paraId="26D9976A" w14:textId="77777777" w:rsidR="00A125E8" w:rsidRPr="00A125E8" w:rsidRDefault="00A125E8" w:rsidP="00AF4CAA">
            <w:pPr>
              <w:pStyle w:val="NoSpacing"/>
              <w:rPr>
                <w:lang w:eastAsia="en-CA"/>
              </w:rPr>
            </w:pPr>
            <w:r w:rsidRPr="00A125E8">
              <w:rPr>
                <w:lang w:eastAsia="en-CA"/>
              </w:rPr>
              <w:t>0</w:t>
            </w:r>
          </w:p>
        </w:tc>
        <w:tc>
          <w:tcPr>
            <w:tcW w:w="1502" w:type="dxa"/>
            <w:tcBorders>
              <w:top w:val="nil"/>
              <w:left w:val="nil"/>
              <w:bottom w:val="nil"/>
              <w:right w:val="nil"/>
            </w:tcBorders>
            <w:shd w:val="clear" w:color="auto" w:fill="auto"/>
            <w:noWrap/>
            <w:vAlign w:val="bottom"/>
            <w:hideMark/>
          </w:tcPr>
          <w:p w14:paraId="04928E49" w14:textId="77777777" w:rsidR="00A125E8" w:rsidRPr="00A125E8" w:rsidRDefault="00A125E8" w:rsidP="00AF4CAA">
            <w:pPr>
              <w:pStyle w:val="NoSpacing"/>
              <w:rPr>
                <w:lang w:eastAsia="en-CA"/>
              </w:rPr>
            </w:pPr>
            <w:r w:rsidRPr="00A125E8">
              <w:rPr>
                <w:lang w:eastAsia="en-CA"/>
              </w:rPr>
              <w:t>0</w:t>
            </w:r>
          </w:p>
        </w:tc>
      </w:tr>
      <w:tr w:rsidR="00AB0F70" w:rsidRPr="00A125E8" w14:paraId="69C25302"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2FC909FC" w14:textId="77777777" w:rsidR="00A125E8" w:rsidRPr="00A125E8" w:rsidRDefault="00A125E8" w:rsidP="00AF4CAA">
            <w:pPr>
              <w:pStyle w:val="NoSpacing"/>
              <w:rPr>
                <w:lang w:eastAsia="en-CA"/>
              </w:rPr>
            </w:pPr>
            <w:r w:rsidRPr="00A125E8">
              <w:rPr>
                <w:lang w:eastAsia="en-CA"/>
              </w:rPr>
              <w:t>Georgia</w:t>
            </w:r>
          </w:p>
        </w:tc>
        <w:tc>
          <w:tcPr>
            <w:tcW w:w="2228" w:type="dxa"/>
            <w:tcBorders>
              <w:top w:val="nil"/>
              <w:left w:val="single" w:sz="4" w:space="0" w:color="auto"/>
              <w:bottom w:val="nil"/>
              <w:right w:val="single" w:sz="4" w:space="0" w:color="auto"/>
            </w:tcBorders>
            <w:shd w:val="clear" w:color="auto" w:fill="auto"/>
            <w:noWrap/>
            <w:vAlign w:val="bottom"/>
            <w:hideMark/>
          </w:tcPr>
          <w:p w14:paraId="4E90CFCE"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vAlign w:val="bottom"/>
            <w:hideMark/>
          </w:tcPr>
          <w:p w14:paraId="2480E1B6"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nil"/>
              <w:bottom w:val="nil"/>
              <w:right w:val="nil"/>
            </w:tcBorders>
            <w:shd w:val="clear" w:color="auto" w:fill="auto"/>
            <w:noWrap/>
            <w:vAlign w:val="bottom"/>
            <w:hideMark/>
          </w:tcPr>
          <w:p w14:paraId="7F5FCEB7"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198A4D40" w14:textId="77777777" w:rsidR="00A125E8" w:rsidRPr="00A125E8" w:rsidRDefault="00A125E8" w:rsidP="00AF4CAA">
            <w:pPr>
              <w:pStyle w:val="NoSpacing"/>
              <w:rPr>
                <w:lang w:eastAsia="en-CA"/>
              </w:rPr>
            </w:pPr>
            <w:r w:rsidRPr="00A125E8">
              <w:rPr>
                <w:lang w:eastAsia="en-CA"/>
              </w:rPr>
              <w:t>0</w:t>
            </w:r>
          </w:p>
        </w:tc>
      </w:tr>
      <w:tr w:rsidR="00AB0F70" w:rsidRPr="00A125E8" w14:paraId="52FDE4EB"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5EF76DDC" w14:textId="77777777" w:rsidR="00A125E8" w:rsidRPr="00A125E8" w:rsidRDefault="00A125E8" w:rsidP="00AF4CAA">
            <w:pPr>
              <w:pStyle w:val="NoSpacing"/>
              <w:rPr>
                <w:lang w:eastAsia="en-CA"/>
              </w:rPr>
            </w:pPr>
            <w:r w:rsidRPr="00A125E8">
              <w:rPr>
                <w:lang w:eastAsia="en-CA"/>
              </w:rPr>
              <w:t>Yazoo</w:t>
            </w:r>
          </w:p>
        </w:tc>
        <w:tc>
          <w:tcPr>
            <w:tcW w:w="2228" w:type="dxa"/>
            <w:tcBorders>
              <w:top w:val="nil"/>
              <w:left w:val="single" w:sz="4" w:space="0" w:color="auto"/>
              <w:bottom w:val="nil"/>
              <w:right w:val="single" w:sz="4" w:space="0" w:color="auto"/>
            </w:tcBorders>
            <w:shd w:val="clear" w:color="auto" w:fill="auto"/>
            <w:noWrap/>
            <w:vAlign w:val="bottom"/>
            <w:hideMark/>
          </w:tcPr>
          <w:p w14:paraId="553E6D9B" w14:textId="77777777" w:rsidR="00A125E8" w:rsidRPr="00A125E8" w:rsidRDefault="00A125E8" w:rsidP="00AF4CAA">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vAlign w:val="bottom"/>
            <w:hideMark/>
          </w:tcPr>
          <w:p w14:paraId="56FFC799"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nil"/>
              <w:bottom w:val="nil"/>
              <w:right w:val="nil"/>
            </w:tcBorders>
            <w:shd w:val="clear" w:color="auto" w:fill="auto"/>
            <w:noWrap/>
            <w:vAlign w:val="bottom"/>
            <w:hideMark/>
          </w:tcPr>
          <w:p w14:paraId="2D990ED3"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63DA911D" w14:textId="77777777" w:rsidR="00A125E8" w:rsidRPr="00A125E8" w:rsidRDefault="00A125E8" w:rsidP="00AF4CAA">
            <w:pPr>
              <w:pStyle w:val="NoSpacing"/>
              <w:rPr>
                <w:lang w:eastAsia="en-CA"/>
              </w:rPr>
            </w:pPr>
            <w:r w:rsidRPr="00A125E8">
              <w:rPr>
                <w:lang w:eastAsia="en-CA"/>
              </w:rPr>
              <w:t>0</w:t>
            </w:r>
          </w:p>
        </w:tc>
      </w:tr>
      <w:tr w:rsidR="00AB0F70" w:rsidRPr="00A125E8" w14:paraId="3047B441"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7143EDF9" w14:textId="77777777" w:rsidR="00A125E8" w:rsidRPr="00A125E8" w:rsidRDefault="00A125E8" w:rsidP="00AF4CAA">
            <w:pPr>
              <w:pStyle w:val="NoSpacing"/>
              <w:rPr>
                <w:lang w:eastAsia="en-CA"/>
              </w:rPr>
            </w:pPr>
            <w:r w:rsidRPr="00A125E8">
              <w:rPr>
                <w:lang w:eastAsia="en-CA"/>
              </w:rPr>
              <w:t>Mississippi</w:t>
            </w:r>
          </w:p>
        </w:tc>
        <w:tc>
          <w:tcPr>
            <w:tcW w:w="2228" w:type="dxa"/>
            <w:tcBorders>
              <w:top w:val="nil"/>
              <w:left w:val="single" w:sz="4" w:space="0" w:color="auto"/>
              <w:bottom w:val="nil"/>
              <w:right w:val="single" w:sz="4" w:space="0" w:color="auto"/>
            </w:tcBorders>
            <w:shd w:val="clear" w:color="auto" w:fill="auto"/>
            <w:noWrap/>
            <w:vAlign w:val="bottom"/>
            <w:hideMark/>
          </w:tcPr>
          <w:p w14:paraId="560D6B28" w14:textId="77777777" w:rsidR="00A125E8" w:rsidRPr="00A125E8" w:rsidRDefault="00A125E8" w:rsidP="00AF4CAA">
            <w:pPr>
              <w:pStyle w:val="NoSpacing"/>
              <w:rPr>
                <w:lang w:eastAsia="en-CA"/>
              </w:rPr>
            </w:pPr>
            <w:r w:rsidRPr="00A125E8">
              <w:rPr>
                <w:lang w:eastAsia="en-CA"/>
              </w:rPr>
              <w:t>5</w:t>
            </w:r>
          </w:p>
        </w:tc>
        <w:tc>
          <w:tcPr>
            <w:tcW w:w="1502" w:type="dxa"/>
            <w:tcBorders>
              <w:top w:val="nil"/>
              <w:left w:val="single" w:sz="4" w:space="0" w:color="auto"/>
              <w:bottom w:val="nil"/>
              <w:right w:val="nil"/>
            </w:tcBorders>
            <w:shd w:val="clear" w:color="auto" w:fill="auto"/>
            <w:noWrap/>
            <w:vAlign w:val="bottom"/>
            <w:hideMark/>
          </w:tcPr>
          <w:p w14:paraId="5BD4C78E" w14:textId="77777777" w:rsidR="00A125E8" w:rsidRPr="00A125E8" w:rsidRDefault="00A125E8" w:rsidP="00AF4CAA">
            <w:pPr>
              <w:pStyle w:val="NoSpacing"/>
              <w:rPr>
                <w:lang w:eastAsia="en-CA"/>
              </w:rPr>
            </w:pPr>
            <w:r w:rsidRPr="00A125E8">
              <w:rPr>
                <w:lang w:eastAsia="en-CA"/>
              </w:rPr>
              <w:t>4</w:t>
            </w:r>
          </w:p>
        </w:tc>
        <w:tc>
          <w:tcPr>
            <w:tcW w:w="1502" w:type="dxa"/>
            <w:tcBorders>
              <w:top w:val="nil"/>
              <w:left w:val="nil"/>
              <w:bottom w:val="nil"/>
              <w:right w:val="nil"/>
            </w:tcBorders>
            <w:shd w:val="clear" w:color="auto" w:fill="auto"/>
            <w:noWrap/>
            <w:vAlign w:val="bottom"/>
            <w:hideMark/>
          </w:tcPr>
          <w:p w14:paraId="0CF86D41"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nil"/>
              <w:right w:val="nil"/>
            </w:tcBorders>
            <w:shd w:val="clear" w:color="auto" w:fill="auto"/>
            <w:noWrap/>
            <w:vAlign w:val="bottom"/>
            <w:hideMark/>
          </w:tcPr>
          <w:p w14:paraId="318401D9" w14:textId="77777777" w:rsidR="00A125E8" w:rsidRPr="00A125E8" w:rsidRDefault="00A125E8" w:rsidP="00AF4CAA">
            <w:pPr>
              <w:pStyle w:val="NoSpacing"/>
              <w:rPr>
                <w:lang w:eastAsia="en-CA"/>
              </w:rPr>
            </w:pPr>
            <w:r w:rsidRPr="00A125E8">
              <w:rPr>
                <w:lang w:eastAsia="en-CA"/>
              </w:rPr>
              <w:t>0</w:t>
            </w:r>
          </w:p>
        </w:tc>
      </w:tr>
      <w:tr w:rsidR="00AB0F70" w:rsidRPr="00A125E8" w14:paraId="10EC36A5" w14:textId="77777777" w:rsidTr="00AB0F70">
        <w:trPr>
          <w:trHeight w:val="284"/>
        </w:trPr>
        <w:tc>
          <w:tcPr>
            <w:tcW w:w="2557" w:type="dxa"/>
            <w:tcBorders>
              <w:top w:val="nil"/>
              <w:left w:val="nil"/>
              <w:bottom w:val="nil"/>
              <w:right w:val="single" w:sz="4" w:space="0" w:color="auto"/>
            </w:tcBorders>
            <w:shd w:val="clear" w:color="auto" w:fill="auto"/>
            <w:noWrap/>
            <w:vAlign w:val="bottom"/>
            <w:hideMark/>
          </w:tcPr>
          <w:p w14:paraId="49DAF3F6" w14:textId="77777777" w:rsidR="00A125E8" w:rsidRPr="00A125E8" w:rsidRDefault="00A125E8" w:rsidP="00AF4CAA">
            <w:pPr>
              <w:pStyle w:val="NoSpacing"/>
              <w:rPr>
                <w:lang w:eastAsia="en-CA"/>
              </w:rPr>
            </w:pPr>
            <w:r w:rsidRPr="00A125E8">
              <w:rPr>
                <w:lang w:eastAsia="en-CA"/>
              </w:rPr>
              <w:t>Missouri</w:t>
            </w:r>
          </w:p>
        </w:tc>
        <w:tc>
          <w:tcPr>
            <w:tcW w:w="2228" w:type="dxa"/>
            <w:tcBorders>
              <w:top w:val="nil"/>
              <w:left w:val="single" w:sz="4" w:space="0" w:color="auto"/>
              <w:bottom w:val="nil"/>
              <w:right w:val="single" w:sz="4" w:space="0" w:color="auto"/>
            </w:tcBorders>
            <w:shd w:val="clear" w:color="auto" w:fill="auto"/>
            <w:noWrap/>
            <w:vAlign w:val="bottom"/>
            <w:hideMark/>
          </w:tcPr>
          <w:p w14:paraId="6FCDEFBE" w14:textId="77777777" w:rsidR="00A125E8" w:rsidRPr="00A125E8" w:rsidRDefault="00A125E8" w:rsidP="00AF4CAA">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vAlign w:val="bottom"/>
            <w:hideMark/>
          </w:tcPr>
          <w:p w14:paraId="4A7341E3" w14:textId="77777777" w:rsidR="00A125E8" w:rsidRPr="00A125E8" w:rsidRDefault="00A125E8" w:rsidP="00AF4CAA">
            <w:pPr>
              <w:pStyle w:val="NoSpacing"/>
              <w:rPr>
                <w:lang w:eastAsia="en-CA"/>
              </w:rPr>
            </w:pPr>
            <w:r w:rsidRPr="00A125E8">
              <w:rPr>
                <w:lang w:eastAsia="en-CA"/>
              </w:rPr>
              <w:t>2</w:t>
            </w:r>
          </w:p>
        </w:tc>
        <w:tc>
          <w:tcPr>
            <w:tcW w:w="1502" w:type="dxa"/>
            <w:tcBorders>
              <w:top w:val="nil"/>
              <w:left w:val="nil"/>
              <w:bottom w:val="nil"/>
              <w:right w:val="nil"/>
            </w:tcBorders>
            <w:shd w:val="clear" w:color="auto" w:fill="auto"/>
            <w:noWrap/>
            <w:vAlign w:val="bottom"/>
            <w:hideMark/>
          </w:tcPr>
          <w:p w14:paraId="42B370AA" w14:textId="77777777" w:rsidR="00A125E8" w:rsidRPr="00A125E8" w:rsidRDefault="00A125E8" w:rsidP="00AF4CAA">
            <w:pPr>
              <w:pStyle w:val="NoSpacing"/>
              <w:rPr>
                <w:lang w:eastAsia="en-CA"/>
              </w:rPr>
            </w:pPr>
            <w:r w:rsidRPr="00A125E8">
              <w:rPr>
                <w:lang w:eastAsia="en-CA"/>
              </w:rPr>
              <w:t>7</w:t>
            </w:r>
          </w:p>
        </w:tc>
        <w:tc>
          <w:tcPr>
            <w:tcW w:w="1502" w:type="dxa"/>
            <w:tcBorders>
              <w:top w:val="nil"/>
              <w:left w:val="nil"/>
              <w:bottom w:val="nil"/>
              <w:right w:val="nil"/>
            </w:tcBorders>
            <w:shd w:val="clear" w:color="auto" w:fill="auto"/>
            <w:noWrap/>
            <w:vAlign w:val="bottom"/>
            <w:hideMark/>
          </w:tcPr>
          <w:p w14:paraId="78F6035E" w14:textId="77777777" w:rsidR="00A125E8" w:rsidRPr="00A125E8" w:rsidRDefault="00A125E8" w:rsidP="00AF4CAA">
            <w:pPr>
              <w:pStyle w:val="NoSpacing"/>
              <w:rPr>
                <w:lang w:eastAsia="en-CA"/>
              </w:rPr>
            </w:pPr>
            <w:r w:rsidRPr="00A125E8">
              <w:rPr>
                <w:lang w:eastAsia="en-CA"/>
              </w:rPr>
              <w:t>0</w:t>
            </w:r>
          </w:p>
        </w:tc>
      </w:tr>
      <w:tr w:rsidR="00AB0F70" w:rsidRPr="00A125E8" w14:paraId="543855FC" w14:textId="77777777" w:rsidTr="00AB0F70">
        <w:trPr>
          <w:trHeight w:val="284"/>
        </w:trPr>
        <w:tc>
          <w:tcPr>
            <w:tcW w:w="2557" w:type="dxa"/>
            <w:tcBorders>
              <w:top w:val="nil"/>
              <w:left w:val="nil"/>
              <w:bottom w:val="single" w:sz="4" w:space="0" w:color="auto"/>
              <w:right w:val="single" w:sz="4" w:space="0" w:color="auto"/>
            </w:tcBorders>
            <w:shd w:val="clear" w:color="auto" w:fill="auto"/>
            <w:noWrap/>
            <w:vAlign w:val="bottom"/>
            <w:hideMark/>
          </w:tcPr>
          <w:p w14:paraId="50F91768" w14:textId="77777777" w:rsidR="00A125E8" w:rsidRPr="00A125E8" w:rsidRDefault="00A125E8" w:rsidP="00AF4CAA">
            <w:pPr>
              <w:pStyle w:val="NoSpacing"/>
              <w:rPr>
                <w:lang w:eastAsia="en-CA"/>
              </w:rPr>
            </w:pPr>
            <w:r w:rsidRPr="00A125E8">
              <w:rPr>
                <w:lang w:eastAsia="en-CA"/>
              </w:rPr>
              <w:t>Orleans</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14:paraId="7F03C4D9" w14:textId="77777777" w:rsidR="00A125E8" w:rsidRPr="00A125E8" w:rsidRDefault="00A125E8" w:rsidP="00AF4CAA">
            <w:pPr>
              <w:pStyle w:val="NoSpacing"/>
              <w:rPr>
                <w:lang w:eastAsia="en-CA"/>
              </w:rPr>
            </w:pPr>
            <w:r w:rsidRPr="00A125E8">
              <w:rPr>
                <w:lang w:eastAsia="en-CA"/>
              </w:rPr>
              <w:t>6</w:t>
            </w:r>
          </w:p>
        </w:tc>
        <w:tc>
          <w:tcPr>
            <w:tcW w:w="1502" w:type="dxa"/>
            <w:tcBorders>
              <w:top w:val="nil"/>
              <w:left w:val="single" w:sz="4" w:space="0" w:color="auto"/>
              <w:bottom w:val="single" w:sz="4" w:space="0" w:color="auto"/>
              <w:right w:val="nil"/>
            </w:tcBorders>
            <w:shd w:val="clear" w:color="auto" w:fill="auto"/>
            <w:noWrap/>
            <w:vAlign w:val="bottom"/>
            <w:hideMark/>
          </w:tcPr>
          <w:p w14:paraId="4EA3B164" w14:textId="77777777" w:rsidR="00A125E8" w:rsidRPr="00A125E8" w:rsidRDefault="00A125E8" w:rsidP="00AF4CAA">
            <w:pPr>
              <w:pStyle w:val="NoSpacing"/>
              <w:rPr>
                <w:lang w:eastAsia="en-CA"/>
              </w:rPr>
            </w:pPr>
            <w:r w:rsidRPr="00A125E8">
              <w:rPr>
                <w:lang w:eastAsia="en-CA"/>
              </w:rPr>
              <w:t>1</w:t>
            </w:r>
          </w:p>
        </w:tc>
        <w:tc>
          <w:tcPr>
            <w:tcW w:w="1502" w:type="dxa"/>
            <w:tcBorders>
              <w:top w:val="nil"/>
              <w:left w:val="nil"/>
              <w:bottom w:val="single" w:sz="4" w:space="0" w:color="auto"/>
              <w:right w:val="nil"/>
            </w:tcBorders>
            <w:shd w:val="clear" w:color="auto" w:fill="auto"/>
            <w:noWrap/>
            <w:vAlign w:val="bottom"/>
            <w:hideMark/>
          </w:tcPr>
          <w:p w14:paraId="78D92D34" w14:textId="77777777" w:rsidR="00A125E8" w:rsidRPr="00A125E8" w:rsidRDefault="00A125E8" w:rsidP="00AF4CAA">
            <w:pPr>
              <w:pStyle w:val="NoSpacing"/>
              <w:rPr>
                <w:lang w:eastAsia="en-CA"/>
              </w:rPr>
            </w:pPr>
            <w:r w:rsidRPr="00A125E8">
              <w:rPr>
                <w:lang w:eastAsia="en-CA"/>
              </w:rPr>
              <w:t>5</w:t>
            </w:r>
          </w:p>
        </w:tc>
        <w:tc>
          <w:tcPr>
            <w:tcW w:w="1502" w:type="dxa"/>
            <w:tcBorders>
              <w:top w:val="nil"/>
              <w:left w:val="nil"/>
              <w:bottom w:val="single" w:sz="4" w:space="0" w:color="auto"/>
              <w:right w:val="nil"/>
            </w:tcBorders>
            <w:shd w:val="clear" w:color="auto" w:fill="auto"/>
            <w:noWrap/>
            <w:vAlign w:val="bottom"/>
            <w:hideMark/>
          </w:tcPr>
          <w:p w14:paraId="3EA828F7" w14:textId="77777777" w:rsidR="00A125E8" w:rsidRPr="00A125E8" w:rsidRDefault="00A125E8" w:rsidP="00AF4CAA">
            <w:pPr>
              <w:pStyle w:val="NoSpacing"/>
              <w:rPr>
                <w:lang w:eastAsia="en-CA"/>
              </w:rPr>
            </w:pPr>
            <w:r w:rsidRPr="00A125E8">
              <w:rPr>
                <w:lang w:eastAsia="en-CA"/>
              </w:rPr>
              <w:t>0</w:t>
            </w:r>
          </w:p>
        </w:tc>
      </w:tr>
      <w:tr w:rsidR="00AB0F70" w:rsidRPr="007C5E6A" w14:paraId="53DC533F" w14:textId="77777777" w:rsidTr="00AB0F70">
        <w:trPr>
          <w:trHeight w:val="284"/>
        </w:trPr>
        <w:tc>
          <w:tcPr>
            <w:tcW w:w="2557" w:type="dxa"/>
            <w:tcBorders>
              <w:top w:val="single" w:sz="4" w:space="0" w:color="auto"/>
              <w:left w:val="nil"/>
              <w:bottom w:val="nil"/>
              <w:right w:val="single" w:sz="4" w:space="0" w:color="auto"/>
            </w:tcBorders>
            <w:shd w:val="clear" w:color="auto" w:fill="auto"/>
            <w:noWrap/>
            <w:vAlign w:val="bottom"/>
            <w:hideMark/>
          </w:tcPr>
          <w:p w14:paraId="10477E9D" w14:textId="683555A2" w:rsidR="00A125E8" w:rsidRPr="007C5E6A" w:rsidRDefault="00AB0F70" w:rsidP="00AF4CAA">
            <w:pPr>
              <w:pStyle w:val="NoSpacing"/>
              <w:rPr>
                <w:b/>
                <w:bCs/>
                <w:lang w:eastAsia="en-CA"/>
              </w:rPr>
            </w:pPr>
            <w:r w:rsidRPr="007C5E6A">
              <w:rPr>
                <w:b/>
                <w:bCs/>
                <w:lang w:eastAsia="en-CA"/>
              </w:rPr>
              <w:t>Total</w:t>
            </w:r>
          </w:p>
        </w:tc>
        <w:tc>
          <w:tcPr>
            <w:tcW w:w="2228" w:type="dxa"/>
            <w:tcBorders>
              <w:top w:val="single" w:sz="4" w:space="0" w:color="auto"/>
              <w:left w:val="single" w:sz="4" w:space="0" w:color="auto"/>
              <w:bottom w:val="nil"/>
              <w:right w:val="single" w:sz="4" w:space="0" w:color="auto"/>
            </w:tcBorders>
            <w:shd w:val="clear" w:color="auto" w:fill="auto"/>
            <w:noWrap/>
            <w:vAlign w:val="bottom"/>
            <w:hideMark/>
          </w:tcPr>
          <w:p w14:paraId="21D10D40" w14:textId="7BA72770" w:rsidR="00A125E8" w:rsidRPr="007C5E6A" w:rsidRDefault="00A125E8" w:rsidP="00AF4CAA">
            <w:pPr>
              <w:pStyle w:val="NoSpacing"/>
              <w:rPr>
                <w:b/>
                <w:bCs/>
                <w:lang w:eastAsia="en-CA"/>
              </w:rPr>
            </w:pPr>
            <w:r w:rsidRPr="007C5E6A">
              <w:rPr>
                <w:b/>
                <w:bCs/>
                <w:lang w:eastAsia="en-CA"/>
              </w:rPr>
              <w:t>30</w:t>
            </w:r>
            <w:r w:rsidR="0012441B" w:rsidRPr="007C5E6A">
              <w:rPr>
                <w:b/>
                <w:bCs/>
                <w:lang w:eastAsia="en-CA"/>
              </w:rPr>
              <w:t>2</w:t>
            </w:r>
          </w:p>
        </w:tc>
        <w:tc>
          <w:tcPr>
            <w:tcW w:w="1502" w:type="dxa"/>
            <w:tcBorders>
              <w:top w:val="single" w:sz="4" w:space="0" w:color="auto"/>
              <w:left w:val="single" w:sz="4" w:space="0" w:color="auto"/>
              <w:bottom w:val="nil"/>
              <w:right w:val="nil"/>
            </w:tcBorders>
            <w:shd w:val="clear" w:color="auto" w:fill="auto"/>
            <w:noWrap/>
            <w:vAlign w:val="bottom"/>
            <w:hideMark/>
          </w:tcPr>
          <w:p w14:paraId="6BF61D46" w14:textId="21BCC568" w:rsidR="00A125E8" w:rsidRPr="007C5E6A" w:rsidRDefault="00A125E8" w:rsidP="00AF4CAA">
            <w:pPr>
              <w:pStyle w:val="NoSpacing"/>
              <w:rPr>
                <w:b/>
                <w:bCs/>
                <w:u w:val="single"/>
                <w:lang w:eastAsia="en-CA"/>
              </w:rPr>
            </w:pPr>
            <w:r w:rsidRPr="007C5E6A">
              <w:rPr>
                <w:b/>
                <w:bCs/>
                <w:u w:val="single"/>
                <w:lang w:eastAsia="en-CA"/>
              </w:rPr>
              <w:t>21</w:t>
            </w:r>
            <w:r w:rsidR="00BC0D85" w:rsidRPr="007C5E6A">
              <w:rPr>
                <w:b/>
                <w:bCs/>
                <w:u w:val="single"/>
                <w:lang w:eastAsia="en-CA"/>
              </w:rPr>
              <w:t>1</w:t>
            </w:r>
          </w:p>
        </w:tc>
        <w:tc>
          <w:tcPr>
            <w:tcW w:w="1502" w:type="dxa"/>
            <w:tcBorders>
              <w:top w:val="single" w:sz="4" w:space="0" w:color="auto"/>
              <w:left w:val="nil"/>
              <w:bottom w:val="nil"/>
              <w:right w:val="nil"/>
            </w:tcBorders>
            <w:shd w:val="clear" w:color="auto" w:fill="auto"/>
            <w:noWrap/>
            <w:vAlign w:val="bottom"/>
            <w:hideMark/>
          </w:tcPr>
          <w:p w14:paraId="5BCDFC24" w14:textId="7E6D558A" w:rsidR="00A125E8" w:rsidRPr="007C5E6A" w:rsidRDefault="00A125E8" w:rsidP="00AF4CAA">
            <w:pPr>
              <w:pStyle w:val="NoSpacing"/>
              <w:rPr>
                <w:b/>
                <w:bCs/>
                <w:lang w:eastAsia="en-CA"/>
              </w:rPr>
            </w:pPr>
            <w:r w:rsidRPr="007C5E6A">
              <w:rPr>
                <w:b/>
                <w:bCs/>
                <w:lang w:eastAsia="en-CA"/>
              </w:rPr>
              <w:t>9</w:t>
            </w:r>
            <w:r w:rsidR="00BC0D85" w:rsidRPr="007C5E6A">
              <w:rPr>
                <w:b/>
                <w:bCs/>
                <w:lang w:eastAsia="en-CA"/>
              </w:rPr>
              <w:t>0</w:t>
            </w:r>
          </w:p>
        </w:tc>
        <w:tc>
          <w:tcPr>
            <w:tcW w:w="1502" w:type="dxa"/>
            <w:tcBorders>
              <w:top w:val="single" w:sz="4" w:space="0" w:color="auto"/>
              <w:left w:val="nil"/>
              <w:bottom w:val="nil"/>
              <w:right w:val="nil"/>
            </w:tcBorders>
            <w:shd w:val="clear" w:color="auto" w:fill="auto"/>
            <w:noWrap/>
            <w:vAlign w:val="bottom"/>
            <w:hideMark/>
          </w:tcPr>
          <w:p w14:paraId="084ED8B5" w14:textId="77777777" w:rsidR="00A125E8" w:rsidRPr="007C5E6A" w:rsidRDefault="00A125E8" w:rsidP="00AF4CAA">
            <w:pPr>
              <w:pStyle w:val="NoSpacing"/>
              <w:rPr>
                <w:b/>
                <w:bCs/>
                <w:lang w:eastAsia="en-CA"/>
              </w:rPr>
            </w:pPr>
            <w:r w:rsidRPr="007C5E6A">
              <w:rPr>
                <w:b/>
                <w:bCs/>
                <w:lang w:eastAsia="en-CA"/>
              </w:rPr>
              <w:t>1</w:t>
            </w:r>
          </w:p>
        </w:tc>
      </w:tr>
    </w:tbl>
    <w:p w14:paraId="576C1166" w14:textId="77777777" w:rsidR="00AB0F70" w:rsidRDefault="00AB0F70" w:rsidP="00A125E8"/>
    <w:p w14:paraId="40EA670C" w14:textId="7AAEB932" w:rsidR="00AB0F70" w:rsidRDefault="00AB0F70" w:rsidP="00A125E8">
      <w:r>
        <w:t xml:space="preserve">The decided victory for </w:t>
      </w:r>
      <w:r w:rsidR="00E50AB7">
        <w:t>Stockton was</w:t>
      </w:r>
      <w:r w:rsidR="00B65C8F">
        <w:t xml:space="preserve"> hardly unexpected, and it demonstrated the success of his modernizing New Republican agenda in winning national support, including from the North; however, there were some reasons for the Republicans to see</w:t>
      </w:r>
      <w:r w:rsidR="005B1AC3">
        <w:t xml:space="preserve"> worry. For Hale and Young America</w:t>
      </w:r>
      <w:r w:rsidR="0012441B">
        <w:t xml:space="preserve"> had won a strong minority in terms of Northern support</w:t>
      </w:r>
      <w:r w:rsidR="00B45937">
        <w:t>, and much of this came a</w:t>
      </w:r>
      <w:r w:rsidR="008D6503">
        <w:t xml:space="preserve">t the expense of </w:t>
      </w:r>
      <w:r w:rsidR="00754652">
        <w:t xml:space="preserve">specifically the </w:t>
      </w:r>
      <w:r w:rsidR="0049236B">
        <w:t>Democrats. If every supporter of Young America</w:t>
      </w:r>
      <w:r w:rsidR="00355F3B">
        <w:t>, if everyone who voted for Hale,</w:t>
      </w:r>
      <w:r w:rsidR="0049236B">
        <w:t xml:space="preserve"> had instead voted for Crittenden, the election would have been a close victory for him, and it </w:t>
      </w:r>
      <w:r w:rsidR="0049236B">
        <w:lastRenderedPageBreak/>
        <w:t xml:space="preserve">showed that, if Stockton wanted to win the next election, he needed to do something </w:t>
      </w:r>
      <w:r w:rsidR="005C00ED">
        <w:t>to win the support of a large</w:t>
      </w:r>
      <w:r w:rsidR="00E31424">
        <w:t>r</w:t>
      </w:r>
      <w:r w:rsidR="005C00ED">
        <w:t xml:space="preserve"> section of the North. </w:t>
      </w:r>
    </w:p>
    <w:p w14:paraId="7F405BA8" w14:textId="1E899DE5" w:rsidR="00E31424" w:rsidRDefault="00E31424" w:rsidP="00A125E8">
      <w:r>
        <w:t>But nevertheless</w:t>
      </w:r>
      <w:r w:rsidR="004F6073">
        <w:t>, Stockton was to be president, succeeding the short</w:t>
      </w:r>
      <w:r w:rsidR="00460F39">
        <w:t xml:space="preserve"> caretaker </w:t>
      </w:r>
      <w:proofErr w:type="spellStart"/>
      <w:r w:rsidR="00720E2B">
        <w:t>Petigru</w:t>
      </w:r>
      <w:proofErr w:type="spellEnd"/>
      <w:r w:rsidR="00720E2B">
        <w:t xml:space="preserve"> administration, and he had </w:t>
      </w:r>
      <w:r w:rsidR="00B10E82">
        <w:t>a clear mandate for his New Republican agenda</w:t>
      </w:r>
      <w:r w:rsidR="00895D23">
        <w:t xml:space="preserve">. </w:t>
      </w:r>
      <w:r w:rsidR="00103F14">
        <w:t xml:space="preserve">He demonstrated that the Republican Party did still have some energy left within it, for </w:t>
      </w:r>
      <w:r w:rsidR="006355B0">
        <w:t xml:space="preserve">the 1850s. </w:t>
      </w:r>
      <w:r w:rsidR="00461B58">
        <w:t xml:space="preserve">And though ultimately his presidency would be remembered as something of a failure, he nevertheless did rejuvenate his party until it finally met its end. </w:t>
      </w:r>
    </w:p>
    <w:p w14:paraId="3D6C80EF" w14:textId="7B801517" w:rsidR="00A125E8" w:rsidRDefault="00A125E8" w:rsidP="00A125E8">
      <w:r>
        <w:br w:type="page"/>
      </w:r>
    </w:p>
    <w:p w14:paraId="37796F75" w14:textId="77777777" w:rsidR="00780334" w:rsidRDefault="00780334" w:rsidP="00780334"/>
    <w:p w14:paraId="48B5A1A3" w14:textId="77777777" w:rsidR="00780334" w:rsidRDefault="00780334" w:rsidP="00780334">
      <w:pPr>
        <w:sectPr w:rsidR="00780334" w:rsidSect="0078033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7B06C4A6" w14:textId="77777777" w:rsidR="00780334" w:rsidRDefault="00780334" w:rsidP="00780334">
      <w:r>
        <w:br w:type="page"/>
      </w:r>
    </w:p>
    <w:p w14:paraId="1DE55DD0" w14:textId="670D3F5A" w:rsidR="001529D0" w:rsidRDefault="00780334" w:rsidP="00780334">
      <w:pPr>
        <w:pStyle w:val="Heading1"/>
      </w:pPr>
      <w:bookmarkStart w:id="53" w:name="_Toc202006240"/>
      <w:r>
        <w:lastRenderedPageBreak/>
        <w:t>4</w:t>
      </w:r>
      <w:r w:rsidR="00F93DCA">
        <w:t>1</w:t>
      </w:r>
      <w:r>
        <w:t xml:space="preserve">. </w:t>
      </w:r>
      <w:r w:rsidR="00FC07B4">
        <w:t>The Consumption of the Iron Gates</w:t>
      </w:r>
      <w:bookmarkEnd w:id="53"/>
    </w:p>
    <w:p w14:paraId="3C1A65C6" w14:textId="67568D8D" w:rsidR="00FC07B4" w:rsidRDefault="00954931" w:rsidP="00FC07B4">
      <w:r>
        <w:t xml:space="preserve">Far from representing the end of the </w:t>
      </w:r>
      <w:proofErr w:type="spellStart"/>
      <w:r>
        <w:t>Websterite</w:t>
      </w:r>
      <w:proofErr w:type="spellEnd"/>
      <w:r>
        <w:t xml:space="preserve"> agenda of mass state investment, the election of Robert F. Stockton represented but</w:t>
      </w:r>
      <w:r w:rsidR="00127FB3">
        <w:t xml:space="preserve"> its alteration – and in some ways, its expansion. </w:t>
      </w:r>
      <w:r w:rsidR="001972CD">
        <w:t xml:space="preserve">No longer would Stockton push for funding railroads through equity, no longer would he </w:t>
      </w:r>
      <w:r w:rsidR="00E5319E">
        <w:t>push for</w:t>
      </w:r>
      <w:r w:rsidR="001972CD">
        <w:t xml:space="preserve"> </w:t>
      </w:r>
      <w:r w:rsidR="00E5319E">
        <w:t xml:space="preserve">the Bank to </w:t>
      </w:r>
      <w:r w:rsidR="00414D83">
        <w:t>establish a structured system</w:t>
      </w:r>
      <w:r w:rsidR="00DA70A4">
        <w:t xml:space="preserve">; instead, he either arranged for loans, with minimal terms of collateral, or </w:t>
      </w:r>
      <w:r w:rsidR="002C42EF">
        <w:t>more infamously he granted to railroad companies</w:t>
      </w:r>
      <w:r w:rsidR="00B23639">
        <w:t xml:space="preserve"> all</w:t>
      </w:r>
      <w:r w:rsidR="002C42EF">
        <w:t xml:space="preserve"> land</w:t>
      </w:r>
      <w:r w:rsidR="00B23639">
        <w:t xml:space="preserve"> within a certain distance</w:t>
      </w:r>
      <w:r w:rsidR="002C42EF">
        <w:t xml:space="preserve"> on both sides of their burgeoning roads</w:t>
      </w:r>
      <w:r w:rsidR="00E93051">
        <w:t>. This he justified on the</w:t>
      </w:r>
      <w:r w:rsidR="008A71C6">
        <w:t xml:space="preserve"> old Republican Party</w:t>
      </w:r>
      <w:r w:rsidR="00E93051">
        <w:t xml:space="preserve"> </w:t>
      </w:r>
      <w:r w:rsidR="008A71C6">
        <w:t>principle</w:t>
      </w:r>
      <w:r w:rsidR="00E93051">
        <w:t xml:space="preserve"> that a government, with shares in corporations, was a government with too much, and indeed unconstitutional, power</w:t>
      </w:r>
      <w:r w:rsidR="002C42EF">
        <w:t xml:space="preserve">. </w:t>
      </w:r>
      <w:r w:rsidR="00E43691">
        <w:t>This allowed for a new mass of railroads to be established essentially without having to raise capital</w:t>
      </w:r>
      <w:r w:rsidR="00721C34">
        <w:t xml:space="preserve"> – now, all a railroad company had to do, was sell the land the government gave it, which it could now raise for much more money thanks to </w:t>
      </w:r>
      <w:r w:rsidR="00430009">
        <w:t xml:space="preserve">the rise of land prices, given that the railroad was coming. </w:t>
      </w:r>
      <w:r w:rsidR="00674242">
        <w:t xml:space="preserve">But far from inhibiting corruption, all it did was move it; instead of being centered around the National Bank, instead it was </w:t>
      </w:r>
      <w:r w:rsidR="00F36470">
        <w:t xml:space="preserve">the petty corruption of railroad board directors, who now could not possibly be </w:t>
      </w:r>
      <w:r w:rsidR="00B54FB9">
        <w:t xml:space="preserve">brought in line by the state. </w:t>
      </w:r>
      <w:r w:rsidR="004E320E">
        <w:t xml:space="preserve">Formerly, the Bank, associated with the state, could negotiate </w:t>
      </w:r>
      <w:r w:rsidR="00C95AA3">
        <w:t xml:space="preserve">matters that may be in the public interest, such as </w:t>
      </w:r>
      <w:r w:rsidR="001A3D4A">
        <w:t>setting</w:t>
      </w:r>
      <w:r w:rsidR="00C95AA3">
        <w:t xml:space="preserve"> </w:t>
      </w:r>
      <w:r w:rsidR="001A3D4A">
        <w:t>rate ceilings, through its directors; now it could not</w:t>
      </w:r>
      <w:r w:rsidR="00825D56">
        <w:t xml:space="preserve">, and instead the </w:t>
      </w:r>
      <w:r w:rsidR="00F31DE0">
        <w:t>railroads</w:t>
      </w:r>
      <w:r w:rsidR="00825D56">
        <w:t xml:space="preserve"> w</w:t>
      </w:r>
      <w:r w:rsidR="00F31DE0">
        <w:t>ere</w:t>
      </w:r>
      <w:r w:rsidR="00825D56">
        <w:t xml:space="preserve"> shaken by </w:t>
      </w:r>
      <w:r w:rsidR="00F31DE0">
        <w:t xml:space="preserve">the unregulated market. </w:t>
      </w:r>
    </w:p>
    <w:p w14:paraId="4CAAEAAC" w14:textId="3317F0E4" w:rsidR="00A14F1D" w:rsidRDefault="00A14F1D" w:rsidP="00FC07B4">
      <w:r>
        <w:t xml:space="preserve">The burgeoning railroad system of the Webster years was hardly mature. The centerpiece of the system was an arc from Portland, Maine (then a district of Massachusetts) to Charleston, South Carolina, with further legs being constructed south to Brunswick, Georgia and north to British Nova Scotia. </w:t>
      </w:r>
      <w:r w:rsidR="00424BD5">
        <w:t>There were additional networks</w:t>
      </w:r>
      <w:r w:rsidR="002E3F13">
        <w:t xml:space="preserve"> – in the west, there was one</w:t>
      </w:r>
      <w:r w:rsidR="00424BD5">
        <w:t xml:space="preserve"> centered around Cincinnati and stretching </w:t>
      </w:r>
      <w:r w:rsidR="002E3F13">
        <w:t>to</w:t>
      </w:r>
      <w:r w:rsidR="00C44D8D">
        <w:t>wards</w:t>
      </w:r>
      <w:r w:rsidR="002E3F13">
        <w:t xml:space="preserve"> the banks of the Mississippi</w:t>
      </w:r>
      <w:r w:rsidR="00C44D8D">
        <w:t>, supported by a dual system of federal and state investment – and this was connected to the coastal arc</w:t>
      </w:r>
      <w:r w:rsidR="00424BD5">
        <w:t xml:space="preserve"> </w:t>
      </w:r>
      <w:r w:rsidR="00C44D8D">
        <w:t>by</w:t>
      </w:r>
      <w:r w:rsidR="00424BD5">
        <w:t xml:space="preserve"> the Louisville, Cincinnati, and </w:t>
      </w:r>
      <w:r w:rsidR="00424BD5">
        <w:lastRenderedPageBreak/>
        <w:t>Charleston Railroad</w:t>
      </w:r>
      <w:r w:rsidR="00143530">
        <w:t xml:space="preserve"> and a few other</w:t>
      </w:r>
      <w:r w:rsidR="00907C20">
        <w:t xml:space="preserve"> linking</w:t>
      </w:r>
      <w:r w:rsidR="00975ABF">
        <w:t xml:space="preserve"> corridors</w:t>
      </w:r>
      <w:r w:rsidR="00DC1ABB">
        <w:t>. This was still an infant network, with railroad</w:t>
      </w:r>
      <w:r w:rsidR="005862B7">
        <w:t xml:space="preserve"> wagons uncomfortable, cramped</w:t>
      </w:r>
      <w:r w:rsidR="00CA0106">
        <w:t>,</w:t>
      </w:r>
      <w:r w:rsidR="005862B7">
        <w:t xml:space="preserve"> and toxic, </w:t>
      </w:r>
      <w:r w:rsidR="00CA0106">
        <w:t>with</w:t>
      </w:r>
      <w:r w:rsidR="005862B7">
        <w:t xml:space="preserve"> railroad tracks made of heavy iron rather than steel and frequently breaking in </w:t>
      </w:r>
      <w:r w:rsidR="00594D3C">
        <w:t>the cold or heat that was (and is) frequently part of American climate</w:t>
      </w:r>
      <w:r w:rsidR="00413A74">
        <w:t xml:space="preserve">. </w:t>
      </w:r>
      <w:r w:rsidR="00F076B8">
        <w:t xml:space="preserve">But it was a network, </w:t>
      </w:r>
      <w:r w:rsidR="005D1DF5">
        <w:t>and it demonstrated the success of a heavily statist process of industrialization</w:t>
      </w:r>
      <w:r w:rsidR="00F705BC">
        <w:t xml:space="preserve"> and modernity. </w:t>
      </w:r>
    </w:p>
    <w:p w14:paraId="635588FE" w14:textId="635688E6" w:rsidR="00916525" w:rsidRDefault="00916525" w:rsidP="00FC07B4">
      <w:r>
        <w:t xml:space="preserve">Stockton’s agenda of modernization and railroad construction was not so managed by the </w:t>
      </w:r>
      <w:r w:rsidR="00A101D5">
        <w:t>state</w:t>
      </w:r>
      <w:r w:rsidR="00070F30">
        <w:t xml:space="preserve"> –</w:t>
      </w:r>
      <w:r w:rsidR="00A101D5">
        <w:t xml:space="preserve"> </w:t>
      </w:r>
      <w:r w:rsidR="00070F30">
        <w:t xml:space="preserve">there was no National Bank to manage the railroad network– but this did not mean that </w:t>
      </w:r>
      <w:r w:rsidR="007607DE">
        <w:t>the state was not part of the process. For instead of endowing</w:t>
      </w:r>
      <w:r w:rsidR="002045C0">
        <w:t xml:space="preserve"> railroad companies with money through equity</w:t>
      </w:r>
      <w:r w:rsidR="0033276B">
        <w:t>, which would conveniently give the state a slice of the profits</w:t>
      </w:r>
      <w:r w:rsidR="002045C0">
        <w:t xml:space="preserve">, </w:t>
      </w:r>
      <w:r w:rsidR="00D625D2">
        <w:t xml:space="preserve">they were endowed with </w:t>
      </w:r>
      <w:r w:rsidR="0033276B">
        <w:t xml:space="preserve">public land, </w:t>
      </w:r>
      <w:r w:rsidR="00C446D1">
        <w:t>within a large width</w:t>
      </w:r>
      <w:r w:rsidR="00D15285">
        <w:t xml:space="preserve"> on both sides of </w:t>
      </w:r>
      <w:r w:rsidR="006E4F99">
        <w:t>the railroad,</w:t>
      </w:r>
      <w:r w:rsidR="00C446D1">
        <w:t xml:space="preserve"> </w:t>
      </w:r>
      <w:r w:rsidR="0033276B">
        <w:t>on both sides of the burgeoning railroads</w:t>
      </w:r>
      <w:r w:rsidR="001B426F">
        <w:t xml:space="preserve">, in a checkerboard pattern; this allowed them to </w:t>
      </w:r>
      <w:r w:rsidR="00D357ED">
        <w:t xml:space="preserve">make the money necessary to construct them by selling their land for profit. That land, predictably, </w:t>
      </w:r>
      <w:r w:rsidR="006E3256">
        <w:t>saw its value climb tremendously</w:t>
      </w:r>
      <w:r w:rsidR="00D357ED">
        <w:t xml:space="preserve"> thanks to </w:t>
      </w:r>
      <w:r w:rsidR="006E3256">
        <w:t xml:space="preserve">the railroad being imminently constructed, and this </w:t>
      </w:r>
      <w:r w:rsidR="00BA4CA8">
        <w:t xml:space="preserve">in turn led to </w:t>
      </w:r>
      <w:r w:rsidR="00A23294">
        <w:t xml:space="preserve">a race of profligate speculation. </w:t>
      </w:r>
      <w:r w:rsidR="002F59A1">
        <w:t xml:space="preserve">Indeed, this was such that </w:t>
      </w:r>
      <w:r w:rsidR="00714B51">
        <w:t>railroad</w:t>
      </w:r>
      <w:r w:rsidR="00EB3739">
        <w:t xml:space="preserve"> companies </w:t>
      </w:r>
      <w:r w:rsidR="00D1668D">
        <w:t>dealt</w:t>
      </w:r>
      <w:r w:rsidR="00EB3739">
        <w:t xml:space="preserve"> less </w:t>
      </w:r>
      <w:r w:rsidR="00D1668D">
        <w:t>with constructing railroads</w:t>
      </w:r>
      <w:r w:rsidR="0002007C">
        <w:t xml:space="preserve">; instead, they were </w:t>
      </w:r>
      <w:r w:rsidR="00EB3739">
        <w:t xml:space="preserve">more real estate companies that just happened to </w:t>
      </w:r>
      <w:r w:rsidR="00F37C93">
        <w:t xml:space="preserve">also make and manage a railroad – and often, </w:t>
      </w:r>
      <w:r w:rsidR="00BF0587">
        <w:t>they didn’t bother to make railroads in the end; instead, investors just ran away with the money they made by selling off all their land, by claiming the business had simply failed</w:t>
      </w:r>
      <w:r w:rsidR="00FF2F02">
        <w:t>, all a technically legal process with commerce being as unregulated as it was</w:t>
      </w:r>
      <w:r w:rsidR="00F82BC7">
        <w:t>. On occasion, railroad companies</w:t>
      </w:r>
      <w:r w:rsidR="001A50A2">
        <w:t xml:space="preserve"> were endowed with land faraway, especially in the East where federal land was scarce, and this meant </w:t>
      </w:r>
      <w:r w:rsidR="008B2C84">
        <w:t>they had to raise money by selling an often-random chunk of land</w:t>
      </w:r>
      <w:r w:rsidR="00BF0587">
        <w:t xml:space="preserve">. </w:t>
      </w:r>
      <w:r w:rsidR="004B7442">
        <w:t>Additionally, railroad companies frequently acted like the most unscrupulous sorts of banks, selling off bonds to investors</w:t>
      </w:r>
      <w:r w:rsidR="00337993">
        <w:t xml:space="preserve"> and then, when it came time for it to be due, simply printing a new mass of bonds. </w:t>
      </w:r>
      <w:r w:rsidR="00CB7F13">
        <w:t xml:space="preserve">Furthermore, railroads often preferred to build on </w:t>
      </w:r>
      <w:proofErr w:type="gramStart"/>
      <w:r w:rsidR="00CB7F13">
        <w:t>land</w:t>
      </w:r>
      <w:proofErr w:type="gramEnd"/>
      <w:r w:rsidR="00CB7F13">
        <w:t xml:space="preserve"> which was </w:t>
      </w:r>
      <w:proofErr w:type="gramStart"/>
      <w:r w:rsidR="00CB7F13">
        <w:t>as of yet</w:t>
      </w:r>
      <w:proofErr w:type="gramEnd"/>
      <w:r w:rsidR="00CB7F13">
        <w:t xml:space="preserve"> unsettled, so they could get the lion’s share of the land grant around it; this resulted in</w:t>
      </w:r>
      <w:r w:rsidR="004D7F89">
        <w:t xml:space="preserve"> new land rushes and a renewed push </w:t>
      </w:r>
      <w:r w:rsidR="004D7F89">
        <w:lastRenderedPageBreak/>
        <w:t>towards western expansion.</w:t>
      </w:r>
      <w:r w:rsidR="00CB7F13">
        <w:t xml:space="preserve"> </w:t>
      </w:r>
      <w:r w:rsidR="004F66A3">
        <w:t>New bubbles popped all over the United States, and the National Bank under Reverdy Johnson was too weak</w:t>
      </w:r>
      <w:r w:rsidR="00FA5847">
        <w:t>, too uncredible</w:t>
      </w:r>
      <w:r w:rsidR="004F66A3">
        <w:t xml:space="preserve"> after the Appleton affair</w:t>
      </w:r>
      <w:r w:rsidR="00FA5847">
        <w:t>,</w:t>
      </w:r>
      <w:r w:rsidR="004F66A3">
        <w:t xml:space="preserve"> to </w:t>
      </w:r>
      <w:r w:rsidR="00FA5847">
        <w:t xml:space="preserve">do anything about it. </w:t>
      </w:r>
      <w:r w:rsidR="000135E4">
        <w:t>While the railroad was constructed,</w:t>
      </w:r>
      <w:r w:rsidR="00BA09EA">
        <w:t xml:space="preserve"> the process of</w:t>
      </w:r>
      <w:r w:rsidR="000135E4">
        <w:t xml:space="preserve"> setting up stops</w:t>
      </w:r>
      <w:r w:rsidR="00BA09EA">
        <w:t xml:space="preserve"> saw extreme corruption, as surveyors received bribes from speculators all over the place who wanted to make their land a </w:t>
      </w:r>
      <w:proofErr w:type="gramStart"/>
      <w:r w:rsidR="00BA09EA">
        <w:t>stop, and</w:t>
      </w:r>
      <w:proofErr w:type="gramEnd"/>
      <w:r w:rsidR="00BA09EA">
        <w:t xml:space="preserve"> see their paper town become large in the aftermath.</w:t>
      </w:r>
      <w:r w:rsidR="000135E4">
        <w:t xml:space="preserve"> </w:t>
      </w:r>
      <w:r w:rsidR="00A31558">
        <w:t>And after the railroad was completed, the greed didn’t stop; companies set freight rates at astronomically high prices</w:t>
      </w:r>
      <w:r w:rsidR="009F14CF">
        <w:t xml:space="preserve"> to fleece </w:t>
      </w:r>
      <w:r w:rsidR="00BA09EA">
        <w:t>people along their stops for all they were worth</w:t>
      </w:r>
      <w:r w:rsidR="00A31558">
        <w:t xml:space="preserve">, although with a requisite price they </w:t>
      </w:r>
      <w:r w:rsidR="00BA09EA">
        <w:t>offered wealthy merchants and corporations</w:t>
      </w:r>
      <w:r w:rsidR="00DF5687">
        <w:t xml:space="preserve"> especially low </w:t>
      </w:r>
      <w:r w:rsidR="00BD068D">
        <w:t xml:space="preserve">rates. </w:t>
      </w:r>
      <w:r w:rsidR="00CE1F24">
        <w:t xml:space="preserve">And without the </w:t>
      </w:r>
      <w:r w:rsidR="00112D9A">
        <w:t>National Bank having a voice, and with no laws whatsoever regulating the railroads</w:t>
      </w:r>
      <w:r w:rsidR="00A36822">
        <w:t xml:space="preserve">, this </w:t>
      </w:r>
      <w:r w:rsidR="0027071E">
        <w:t xml:space="preserve">gave them free rein to do whatever they wished. </w:t>
      </w:r>
    </w:p>
    <w:p w14:paraId="17565DF7" w14:textId="6F93976A" w:rsidR="00F36FF2" w:rsidRDefault="00B35E39" w:rsidP="00FC07B4">
      <w:r>
        <w:t>Additionally, these railroad companies happened to be run by among the most unscrupulous</w:t>
      </w:r>
      <w:r w:rsidR="008B621F">
        <w:t xml:space="preserve"> and greedy directors imaginable</w:t>
      </w:r>
      <w:r w:rsidR="00BF1BF0">
        <w:t xml:space="preserve">, who stopped at nothing to </w:t>
      </w:r>
      <w:r w:rsidR="00055815">
        <w:t xml:space="preserve">do whatever they could to make </w:t>
      </w:r>
      <w:r w:rsidR="002F1BEF">
        <w:t xml:space="preserve">money. </w:t>
      </w:r>
      <w:r w:rsidR="007B27A9">
        <w:t>Railroad companies turned into ruthless cartels, which demented and moulded all business around them,</w:t>
      </w:r>
      <w:r w:rsidR="00BD52E3">
        <w:t xml:space="preserve"> </w:t>
      </w:r>
      <w:r w:rsidR="007B27A9">
        <w:t xml:space="preserve">because of their sheer </w:t>
      </w:r>
      <w:r w:rsidR="00134218">
        <w:t xml:space="preserve">scale; indeed, </w:t>
      </w:r>
      <w:r w:rsidR="006D0CE0">
        <w:t>in terms of sheer complexity, they resembled nothing less than the administration of government.</w:t>
      </w:r>
      <w:r w:rsidR="00661728">
        <w:t xml:space="preserve"> This was less of an issue under </w:t>
      </w:r>
      <w:proofErr w:type="spellStart"/>
      <w:r w:rsidR="00661728">
        <w:t>Websterism</w:t>
      </w:r>
      <w:proofErr w:type="spellEnd"/>
      <w:r w:rsidR="00661728">
        <w:t xml:space="preserve">, when </w:t>
      </w:r>
      <w:r w:rsidR="005755E4">
        <w:t xml:space="preserve">railroads were </w:t>
      </w:r>
      <w:r w:rsidR="00324036">
        <w:t xml:space="preserve">partially owned by the National Bank, itself a quasi-governmental organ which made </w:t>
      </w:r>
      <w:r w:rsidR="000163CF">
        <w:t xml:space="preserve">the railroad companies, </w:t>
      </w:r>
      <w:r w:rsidR="00B20140">
        <w:t xml:space="preserve">at least partially, accountable to the people. </w:t>
      </w:r>
      <w:r w:rsidR="00AB54FD">
        <w:t>But with Stockton’s schemes of investing in large-scale railroads</w:t>
      </w:r>
      <w:r w:rsidR="00695B5A">
        <w:t xml:space="preserve"> without stat</w:t>
      </w:r>
      <w:r w:rsidR="009A1900">
        <w:t>e-owned equity</w:t>
      </w:r>
      <w:r w:rsidR="00695B5A">
        <w:t xml:space="preserve">, </w:t>
      </w:r>
      <w:r w:rsidR="009A1900">
        <w:t xml:space="preserve">this suddenly resulted in </w:t>
      </w:r>
      <w:r w:rsidR="00B31D96">
        <w:t xml:space="preserve">these quite powerful companies </w:t>
      </w:r>
      <w:r w:rsidR="00871458">
        <w:t xml:space="preserve">being entirely unaccountable. </w:t>
      </w:r>
      <w:r w:rsidR="00D74900">
        <w:t xml:space="preserve">They were, in almost the original sense of the word, </w:t>
      </w:r>
      <w:r w:rsidR="00FC3D08">
        <w:t xml:space="preserve">monopolies – unaccountable, powerful, bodies </w:t>
      </w:r>
      <w:r w:rsidR="008A3A11">
        <w:t>with</w:t>
      </w:r>
      <w:r w:rsidR="00FC3D08">
        <w:t xml:space="preserve"> extreme and utterly undemocratic power that moulded </w:t>
      </w:r>
      <w:r w:rsidR="008A3A11">
        <w:t xml:space="preserve">the very rules of commerce in their favor. </w:t>
      </w:r>
      <w:r w:rsidR="00777D67">
        <w:t>T</w:t>
      </w:r>
      <w:r w:rsidR="00490F94">
        <w:t>hese</w:t>
      </w:r>
      <w:r w:rsidR="00777D67">
        <w:t xml:space="preserve"> massive enterprises</w:t>
      </w:r>
      <w:r w:rsidR="00490F94">
        <w:t xml:space="preserve"> popped up all across the United States</w:t>
      </w:r>
      <w:r w:rsidR="007A54FA">
        <w:t xml:space="preserve">, connecting once-remote parts of the nation to the remainder </w:t>
      </w:r>
      <w:r w:rsidR="00E36621">
        <w:t>through a series of railroad transfers</w:t>
      </w:r>
      <w:r w:rsidR="0099507A">
        <w:t xml:space="preserve">; </w:t>
      </w:r>
      <w:r w:rsidR="00490F94">
        <w:t>even beyond this</w:t>
      </w:r>
      <w:r w:rsidR="0099507A">
        <w:t>,</w:t>
      </w:r>
      <w:r w:rsidR="00490F94">
        <w:t xml:space="preserve"> existing railroad corporations</w:t>
      </w:r>
      <w:r w:rsidR="0099507A">
        <w:t xml:space="preserve"> saw their shares, owned by the </w:t>
      </w:r>
      <w:r w:rsidR="00784020">
        <w:t xml:space="preserve">government sold off – although to avoid a collapse of </w:t>
      </w:r>
      <w:r w:rsidR="00784020">
        <w:lastRenderedPageBreak/>
        <w:t>prices</w:t>
      </w:r>
      <w:r w:rsidR="002E0C68">
        <w:t xml:space="preserve"> as had happened disastrously under Madison</w:t>
      </w:r>
      <w:r w:rsidR="00784020">
        <w:t>, this was done slowly</w:t>
      </w:r>
      <w:r w:rsidR="002E0C68">
        <w:t xml:space="preserve"> over several months if not years</w:t>
      </w:r>
      <w:r w:rsidR="008347AE">
        <w:t xml:space="preserve">, and this process only touched the shares owned by the Bank after 1856, by which time the Stockton government finally filled the </w:t>
      </w:r>
      <w:r w:rsidR="002E0C68">
        <w:t>bank presidency with its own appointee</w:t>
      </w:r>
      <w:r w:rsidR="00856034">
        <w:t xml:space="preserve"> who </w:t>
      </w:r>
      <w:r w:rsidR="00A55B31">
        <w:t xml:space="preserve">agreed </w:t>
      </w:r>
      <w:r w:rsidR="00486294">
        <w:t>to</w:t>
      </w:r>
      <w:r w:rsidR="00A55B31">
        <w:t xml:space="preserve"> the process</w:t>
      </w:r>
      <w:r w:rsidR="00672E52">
        <w:rPr>
          <w:rStyle w:val="EndnoteReference"/>
        </w:rPr>
        <w:endnoteReference w:id="204"/>
      </w:r>
      <w:r w:rsidR="00856034">
        <w:t xml:space="preserve">. </w:t>
      </w:r>
      <w:r w:rsidR="00AA37D6">
        <w:t xml:space="preserve">The powerful, unaccountable class of monopolistic directors and shareholders this created, </w:t>
      </w:r>
      <w:r w:rsidR="00514814">
        <w:t xml:space="preserve">was analogized to the </w:t>
      </w:r>
      <w:r w:rsidR="00A15925">
        <w:t xml:space="preserve">petty feudal tyrants of the </w:t>
      </w:r>
      <w:proofErr w:type="gramStart"/>
      <w:r w:rsidR="00A15925">
        <w:t>Roman-German</w:t>
      </w:r>
      <w:proofErr w:type="gramEnd"/>
      <w:r w:rsidR="00A15925">
        <w:t xml:space="preserve"> Empire; they became known as the robber knights</w:t>
      </w:r>
      <w:r w:rsidR="00D760A5">
        <w:rPr>
          <w:rStyle w:val="EndnoteReference"/>
        </w:rPr>
        <w:endnoteReference w:id="205"/>
      </w:r>
      <w:r w:rsidR="00A15925">
        <w:t xml:space="preserve">. </w:t>
      </w:r>
    </w:p>
    <w:p w14:paraId="36B3A9CD" w14:textId="57C0ADBF" w:rsidR="00F36FF2" w:rsidRDefault="00F36FF2" w:rsidP="00FC07B4">
      <w:r>
        <w:t xml:space="preserve">As deleterious as this rise of unaccountable monopoly was, it did not mean </w:t>
      </w:r>
      <w:r w:rsidR="007C17A5">
        <w:t xml:space="preserve">the rise of the railroad did not come with several beneficial </w:t>
      </w:r>
      <w:r w:rsidR="004C75EB">
        <w:t xml:space="preserve">results. </w:t>
      </w:r>
      <w:r w:rsidR="00A44666">
        <w:t xml:space="preserve">The Railroad Mania suddenly escalated into full swing, as the government was willing to offer support to virtually every </w:t>
      </w:r>
      <w:r w:rsidR="00E9221A">
        <w:t xml:space="preserve">plan it was offered; it did not need to raise capital through the tariff or </w:t>
      </w:r>
      <w:r w:rsidR="00EC67D5">
        <w:t>bonds or any other special means</w:t>
      </w:r>
      <w:r w:rsidR="00E9221A">
        <w:t xml:space="preserve">, because it could simply </w:t>
      </w:r>
      <w:r w:rsidR="00EC67D5">
        <w:t>endow them with land from the public</w:t>
      </w:r>
      <w:r w:rsidR="005371EC">
        <w:t xml:space="preserve"> </w:t>
      </w:r>
      <w:r w:rsidR="004D6642">
        <w:t>repository</w:t>
      </w:r>
      <w:r w:rsidR="00EC67D5">
        <w:t xml:space="preserve">. </w:t>
      </w:r>
      <w:r w:rsidR="00C95EF6">
        <w:t>This led to railroad companies pop</w:t>
      </w:r>
      <w:r w:rsidR="00450216">
        <w:t>ping</w:t>
      </w:r>
      <w:r w:rsidR="00C95EF6">
        <w:t xml:space="preserve"> up all over the place. Railroad projects covered the entire nation, and they connected it better than ever before. </w:t>
      </w:r>
      <w:r w:rsidR="00272C81">
        <w:t xml:space="preserve">And given the establishment of certain standards during the Webster years, </w:t>
      </w:r>
      <w:r w:rsidR="00621A41">
        <w:t xml:space="preserve">this railroad network easily </w:t>
      </w:r>
      <w:proofErr w:type="gramStart"/>
      <w:r w:rsidR="00621A41">
        <w:t>meshed together</w:t>
      </w:r>
      <w:proofErr w:type="gramEnd"/>
      <w:r w:rsidR="001468AE">
        <w:t>, without the growing pains many other countries had to deal with</w:t>
      </w:r>
      <w:r w:rsidR="00621A41">
        <w:t xml:space="preserve">. By 1861, it would be possible to travel exclusively by railroad from Portland to </w:t>
      </w:r>
      <w:r w:rsidR="001D1C9C">
        <w:t>New Orleans, or else from Charleston to Juniper City</w:t>
      </w:r>
      <w:r w:rsidR="00814DE7">
        <w:t>, within a matter of days</w:t>
      </w:r>
      <w:r w:rsidR="001D1C9C">
        <w:t xml:space="preserve">. </w:t>
      </w:r>
      <w:r w:rsidR="00E87B52">
        <w:t xml:space="preserve">It would be quite costly, and it would be </w:t>
      </w:r>
      <w:r w:rsidR="00C45F2B">
        <w:t xml:space="preserve">an uncomfortable ride, but it would be possible. </w:t>
      </w:r>
      <w:r w:rsidR="00AB6EC2">
        <w:t xml:space="preserve">And this came with </w:t>
      </w:r>
      <w:proofErr w:type="gramStart"/>
      <w:r w:rsidR="00AB6EC2">
        <w:t>a number of</w:t>
      </w:r>
      <w:proofErr w:type="gramEnd"/>
      <w:r w:rsidR="00AB6EC2">
        <w:t xml:space="preserve"> benefits. </w:t>
      </w:r>
      <w:r w:rsidR="00814DE7">
        <w:t xml:space="preserve">It became easier than ever to </w:t>
      </w:r>
      <w:r w:rsidR="00BA0692">
        <w:t xml:space="preserve">ship goods, or people, from one end of the nation to the other. The West boomed in the 1850s, as a new mass of people could now more easily migrate into it, and with it came </w:t>
      </w:r>
      <w:r w:rsidR="002B1A3B">
        <w:t>development.</w:t>
      </w:r>
      <w:r w:rsidR="00BA0692">
        <w:t xml:space="preserve"> </w:t>
      </w:r>
      <w:r w:rsidR="00182921">
        <w:t xml:space="preserve">New markets and emporia out in the West could now sell </w:t>
      </w:r>
      <w:r w:rsidR="00FB3666">
        <w:t>goods from the coast, or from abroad, and farmers out in the West could additionally sell their goods for mass export</w:t>
      </w:r>
      <w:r w:rsidR="00EC4FE7">
        <w:t xml:space="preserve"> at least to the coasts, and depending on how perishable they were, potentially to </w:t>
      </w:r>
      <w:r w:rsidR="00157E53">
        <w:t>abroad</w:t>
      </w:r>
      <w:r w:rsidR="00B35684">
        <w:t>. The rise of refrigerated cars over the 1850s only expanded</w:t>
      </w:r>
      <w:r w:rsidR="00F76E83">
        <w:t xml:space="preserve"> the number of items that could be exported; for instance, this was the era that</w:t>
      </w:r>
      <w:r w:rsidR="00F829AC">
        <w:t xml:space="preserve"> frozen meat came on the market</w:t>
      </w:r>
      <w:r w:rsidR="00157E53">
        <w:t xml:space="preserve">. </w:t>
      </w:r>
      <w:r w:rsidR="00765577">
        <w:t xml:space="preserve">The United States </w:t>
      </w:r>
      <w:r w:rsidR="00FD52FA">
        <w:lastRenderedPageBreak/>
        <w:t>became</w:t>
      </w:r>
      <w:r w:rsidR="00765577">
        <w:t xml:space="preserve"> nothing less than </w:t>
      </w:r>
      <w:r w:rsidR="00FD52FA">
        <w:t>a single integrated market, with distance measured in railroad rates; this was another escalation to the</w:t>
      </w:r>
      <w:r w:rsidR="002A1ABC">
        <w:t xml:space="preserve"> transport revolution of the</w:t>
      </w:r>
      <w:r w:rsidR="00FD52FA">
        <w:t xml:space="preserve"> Canal </w:t>
      </w:r>
      <w:r w:rsidR="002A1ABC">
        <w:t>Mania</w:t>
      </w:r>
      <w:r w:rsidR="00FD52FA">
        <w:t xml:space="preserve"> of the Burr years. </w:t>
      </w:r>
      <w:r w:rsidR="002D039C">
        <w:t>And this inspired a massive national boom, which would entirely revolutionize the nation.</w:t>
      </w:r>
    </w:p>
    <w:p w14:paraId="2F7637CA" w14:textId="4439DBBE" w:rsidR="004132AD" w:rsidRDefault="004132AD" w:rsidP="00FC07B4">
      <w:r>
        <w:t xml:space="preserve">But the undemocratic rise of monopoly inspired a counterreaction from those who recognized its effects and sought to bring it under national control. </w:t>
      </w:r>
      <w:r w:rsidR="00513B73">
        <w:t>This came with a series of organizations, but perhaps the most influential came in the form of the Farmer’s Leagues, consisting of the many rural producers who felt the pinch of</w:t>
      </w:r>
      <w:r w:rsidR="0032496A">
        <w:t xml:space="preserve"> the railroad corporation and despised it. </w:t>
      </w:r>
      <w:r w:rsidR="001413BE">
        <w:t>What these platforms consisted of often varied from simply establishing a regulatory agency to</w:t>
      </w:r>
      <w:r w:rsidR="003620CD">
        <w:t xml:space="preserve"> entirely</w:t>
      </w:r>
      <w:r w:rsidR="001413BE">
        <w:t xml:space="preserve"> nationalizing the railroads, but what the rising Farmer’s Leagues focused on was </w:t>
      </w:r>
      <w:r w:rsidR="003620CD">
        <w:t xml:space="preserve">setting ceilings on railroad rates, to make them </w:t>
      </w:r>
      <w:r w:rsidR="007E4D19">
        <w:t xml:space="preserve">more </w:t>
      </w:r>
      <w:r w:rsidR="00B417CE">
        <w:t>affordable</w:t>
      </w:r>
      <w:r w:rsidR="00D162EF">
        <w:rPr>
          <w:rStyle w:val="EndnoteReference"/>
        </w:rPr>
        <w:endnoteReference w:id="206"/>
      </w:r>
      <w:r w:rsidR="00622341">
        <w:t xml:space="preserve">. With farmers being a typically Republican constituency, this led to an increasing movement </w:t>
      </w:r>
      <w:r w:rsidR="0074526C">
        <w:t xml:space="preserve">within the Republican Party – but the Democrats saw the issue as an opportunity, and here </w:t>
      </w:r>
      <w:r w:rsidR="00CB0681">
        <w:t xml:space="preserve">they made a more sophisticated justification of the </w:t>
      </w:r>
      <w:r w:rsidR="00B9715B">
        <w:t xml:space="preserve">system around the National Bank that had emerged quite by accident. Some monopolies were inevitable, said the Democratic Party, and so the smart thing to do was to bring them under government regulation, for the benefit of the whole people. </w:t>
      </w:r>
      <w:r w:rsidR="00E24C4A">
        <w:t xml:space="preserve">The way to do this, they asserted, was to get the National Bank, or else a new state organ for this purpose, to purchase shares of those monopolies, and hold them in trust on behalf of the whole people. </w:t>
      </w:r>
      <w:r w:rsidR="00AA3666">
        <w:t xml:space="preserve">With these shares, they could send representatives to monopoly boardrooms, who could negotiate </w:t>
      </w:r>
      <w:r w:rsidR="004F69AB">
        <w:t>good policies and harmonize them with the public benefit</w:t>
      </w:r>
      <w:r w:rsidR="00D162EF">
        <w:rPr>
          <w:rStyle w:val="EndnoteReference"/>
        </w:rPr>
        <w:endnoteReference w:id="207"/>
      </w:r>
      <w:r w:rsidR="00AA3666">
        <w:t xml:space="preserve">. </w:t>
      </w:r>
      <w:r w:rsidR="00E04442">
        <w:t>These tendencies built up</w:t>
      </w:r>
      <w:r w:rsidR="00220A77">
        <w:t xml:space="preserve">, but it would be a slow process, for the 1850s proved to be an era of national boom. </w:t>
      </w:r>
    </w:p>
    <w:p w14:paraId="7F3C6AEE" w14:textId="708AFB57" w:rsidR="00F35936" w:rsidRDefault="00F35936" w:rsidP="00FC07B4">
      <w:r>
        <w:t>Thus, Stockton would see the United States entirely remade. He saw great networks of iron swallow the United States and forever revolutionize the way it functioned</w:t>
      </w:r>
      <w:r w:rsidR="004E5943">
        <w:t xml:space="preserve">. He saw the very remoulding of the geography of the nation, which </w:t>
      </w:r>
      <w:r w:rsidR="00871804">
        <w:t>brought it considerably closer together</w:t>
      </w:r>
      <w:r w:rsidR="00AB3952">
        <w:t xml:space="preserve">. And he </w:t>
      </w:r>
      <w:r w:rsidR="00AB3952">
        <w:lastRenderedPageBreak/>
        <w:t>saw the</w:t>
      </w:r>
      <w:r w:rsidR="00D56640">
        <w:t xml:space="preserve"> very remoulding and expansion of the national market, into a single network </w:t>
      </w:r>
      <w:r w:rsidR="00B3325A">
        <w:t>with reach over</w:t>
      </w:r>
      <w:r w:rsidR="00D56640">
        <w:t xml:space="preserve"> the entire nation</w:t>
      </w:r>
      <w:r w:rsidR="00342E95">
        <w:t xml:space="preserve"> –</w:t>
      </w:r>
      <w:r w:rsidR="00D56640">
        <w:t xml:space="preserve"> all managed by impossibly vast bureaucratic hierarchies</w:t>
      </w:r>
      <w:r w:rsidR="009C3B5E">
        <w:t xml:space="preserve"> with power</w:t>
      </w:r>
      <w:r w:rsidR="00DA5EA3">
        <w:t xml:space="preserve"> and complexity</w:t>
      </w:r>
      <w:r w:rsidR="009C3B5E">
        <w:t xml:space="preserve"> only equalled by the government</w:t>
      </w:r>
      <w:r w:rsidR="00342E95">
        <w:t xml:space="preserve">, which could command the </w:t>
      </w:r>
      <w:r w:rsidR="009C3A7F">
        <w:t xml:space="preserve">very markets which </w:t>
      </w:r>
      <w:r w:rsidR="007F58ED">
        <w:t>they created and expanded</w:t>
      </w:r>
      <w:r>
        <w:t xml:space="preserve">. </w:t>
      </w:r>
      <w:r w:rsidR="00D7008E">
        <w:t>And for all that Stockton’s tenure saw the United States splutter and begin to fizz apart</w:t>
      </w:r>
      <w:r w:rsidR="00A343EA">
        <w:t xml:space="preserve">, and for all that it forced the United States to confront with </w:t>
      </w:r>
      <w:r w:rsidR="0092488F">
        <w:t>the very contradictions it kept in its bosom</w:t>
      </w:r>
      <w:r w:rsidR="00D7008E">
        <w:t>, the great changes he unleashed would ultimately bring it together like never before.</w:t>
      </w:r>
      <w:r w:rsidR="00323B02">
        <w:t xml:space="preserve"> </w:t>
      </w:r>
    </w:p>
    <w:p w14:paraId="3F1FD40D" w14:textId="77777777" w:rsidR="005862B7" w:rsidRDefault="005862B7" w:rsidP="005862B7">
      <w:r>
        <w:br w:type="page"/>
      </w:r>
    </w:p>
    <w:p w14:paraId="22F63A77" w14:textId="77777777" w:rsidR="00FE4D47" w:rsidRDefault="00FE4D47" w:rsidP="00FE4D47"/>
    <w:p w14:paraId="5B2DAF3C" w14:textId="77777777" w:rsidR="00FE4D47" w:rsidRDefault="00FE4D47" w:rsidP="00FE4D47">
      <w:pPr>
        <w:sectPr w:rsidR="00FE4D47" w:rsidSect="00FE4D47">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2A87FFF" w14:textId="77777777" w:rsidR="00FE4D47" w:rsidRDefault="00FE4D47" w:rsidP="00FE4D47">
      <w:r>
        <w:br w:type="page"/>
      </w:r>
    </w:p>
    <w:p w14:paraId="63F88066" w14:textId="12316279" w:rsidR="006A3E6A" w:rsidRDefault="00FE4D47" w:rsidP="00FE4D47">
      <w:pPr>
        <w:pStyle w:val="Heading1"/>
      </w:pPr>
      <w:bookmarkStart w:id="54" w:name="_Toc202006241"/>
      <w:r>
        <w:lastRenderedPageBreak/>
        <w:t>4</w:t>
      </w:r>
      <w:r w:rsidR="00F93DCA">
        <w:t>2</w:t>
      </w:r>
      <w:r>
        <w:t xml:space="preserve">. Dawn of the </w:t>
      </w:r>
      <w:r w:rsidR="009067A7">
        <w:t>New Empire</w:t>
      </w:r>
      <w:bookmarkEnd w:id="54"/>
    </w:p>
    <w:p w14:paraId="7CE6DC0B" w14:textId="4F411CEB" w:rsidR="000E311E" w:rsidRDefault="000E311E" w:rsidP="000E311E">
      <w:r>
        <w:t xml:space="preserve">One of the other great legacies of the Stockton administration was the rise of </w:t>
      </w:r>
      <w:r w:rsidR="00753EAF">
        <w:t xml:space="preserve">a new internationalism. </w:t>
      </w:r>
      <w:r w:rsidR="002F275A">
        <w:t xml:space="preserve">In the era of high </w:t>
      </w:r>
      <w:proofErr w:type="spellStart"/>
      <w:r w:rsidR="002F275A">
        <w:t>Websterism</w:t>
      </w:r>
      <w:proofErr w:type="spellEnd"/>
      <w:r w:rsidR="002F275A">
        <w:t xml:space="preserve">, the United States was somewhat torn by two tendencies in its foreign policy – one wanted the nation to become a shining beacon for liberty around the world, and the other wanted an integrated and self-sufficient home market separate from the rest of the world. </w:t>
      </w:r>
      <w:r w:rsidR="00B35783">
        <w:t>Webster’s fundamentally moderate politics, as well as</w:t>
      </w:r>
      <w:r w:rsidR="00B56E2F">
        <w:t xml:space="preserve"> the intimate connection of foreign policy with the great sectional divide</w:t>
      </w:r>
      <w:r w:rsidR="009759F7">
        <w:t xml:space="preserve"> between North and South</w:t>
      </w:r>
      <w:r w:rsidR="00B56E2F">
        <w:t xml:space="preserve">, meant </w:t>
      </w:r>
      <w:r w:rsidR="00C67B00">
        <w:t xml:space="preserve">that his foreign policy </w:t>
      </w:r>
      <w:r w:rsidR="00990D94">
        <w:t xml:space="preserve">tended towards </w:t>
      </w:r>
      <w:r w:rsidR="008A7767">
        <w:t>isolationism</w:t>
      </w:r>
      <w:r w:rsidR="00C67B00">
        <w:t xml:space="preserve">. </w:t>
      </w:r>
      <w:r w:rsidR="00B72CAF">
        <w:t>He did, however, look to securing commercial domination over the Western Hemisphere</w:t>
      </w:r>
      <w:r w:rsidR="00EA7D93">
        <w:t>. He signed treaties of trade with British North America, Venezuela, and New Erin, with the view of dominating them</w:t>
      </w:r>
      <w:r w:rsidR="008A7767">
        <w:t xml:space="preserve">, and this </w:t>
      </w:r>
      <w:r w:rsidR="006E468C">
        <w:t>principle</w:t>
      </w:r>
      <w:r w:rsidR="00D14A1E">
        <w:t xml:space="preserve"> proved a success</w:t>
      </w:r>
      <w:r w:rsidR="002A4CF4">
        <w:t xml:space="preserve"> as American traders reaped the economic benefits</w:t>
      </w:r>
      <w:r w:rsidR="00E64A7A">
        <w:t>. The protectionist economic order was not broken, but Stockton had ripped several holes within it</w:t>
      </w:r>
      <w:r w:rsidR="00EA7D93">
        <w:t>. Additionally, he sought stability</w:t>
      </w:r>
      <w:r w:rsidR="008A7767">
        <w:t xml:space="preserve"> </w:t>
      </w:r>
      <w:r w:rsidR="00286980">
        <w:t>in</w:t>
      </w:r>
      <w:r w:rsidR="008A7767">
        <w:t xml:space="preserve"> America’s neighborhood</w:t>
      </w:r>
      <w:r w:rsidR="00EA7D93">
        <w:t xml:space="preserve"> on America’s terms</w:t>
      </w:r>
      <w:r w:rsidR="00B72CAF">
        <w:t xml:space="preserve">, with one of the greatest achievements of his tenure being the Treaty of Washington that ended the New </w:t>
      </w:r>
      <w:proofErr w:type="spellStart"/>
      <w:r w:rsidR="00B72CAF">
        <w:t>Granadine</w:t>
      </w:r>
      <w:proofErr w:type="spellEnd"/>
      <w:r w:rsidR="00B72CAF">
        <w:t xml:space="preserve"> War of Independence. </w:t>
      </w:r>
      <w:r w:rsidR="00366CB1">
        <w:t>This was a far cry, however, from Harrison’s and Clay’s dreams of hemispheric liberty, or from Pike’s defence</w:t>
      </w:r>
      <w:r w:rsidR="008016D1">
        <w:t xml:space="preserve"> in the field</w:t>
      </w:r>
      <w:r w:rsidR="00366CB1">
        <w:t xml:space="preserve"> of American slave commerce. </w:t>
      </w:r>
    </w:p>
    <w:p w14:paraId="55118D14" w14:textId="70375291" w:rsidR="00CF33DA" w:rsidRDefault="00DD6741" w:rsidP="000E311E">
      <w:r>
        <w:t>Being a Northerner with Southern politics, however, Stockton had a freer hand to reshape foreign politics in his image.</w:t>
      </w:r>
      <w:r w:rsidR="00A92883">
        <w:t xml:space="preserve"> One of the first things that he did was normalize relations with Jamaica. </w:t>
      </w:r>
      <w:r w:rsidR="005627F6">
        <w:t>Jamaica had refused to accept the legitimacy of the British government following the Popular Revolution, and being a major base for the Guelph British war effort against the French during the War of Roussin’s Fleet, it had a large loyalist fleet headquartered</w:t>
      </w:r>
      <w:r w:rsidR="005A7790">
        <w:t xml:space="preserve"> there</w:t>
      </w:r>
      <w:r w:rsidR="005627F6">
        <w:t xml:space="preserve"> which could not be swayed by</w:t>
      </w:r>
      <w:r w:rsidR="005A7790">
        <w:t xml:space="preserve"> revolutionary principles, nor could the colony be scared into accepting the post-revolutionary government without some war that nobody wanted. </w:t>
      </w:r>
      <w:r w:rsidR="00181C32">
        <w:t xml:space="preserve">Thus, Jamaica ended up </w:t>
      </w:r>
      <w:r w:rsidR="00181C32">
        <w:lastRenderedPageBreak/>
        <w:t xml:space="preserve">practically independent under the </w:t>
      </w:r>
      <w:r w:rsidR="0044490D">
        <w:t>planter-dominated parliament of the House of Assembly</w:t>
      </w:r>
      <w:r w:rsidR="00765D65">
        <w:t xml:space="preserve">, and it successfully prevented a slave revolt by the troops from both the maroon settlements and the United States. Over the 1830s, </w:t>
      </w:r>
      <w:r w:rsidR="00F44F5A">
        <w:t xml:space="preserve">Jamaica became increasingly dependent on </w:t>
      </w:r>
      <w:r w:rsidR="005E4B38">
        <w:t>militiamen and aid from the</w:t>
      </w:r>
      <w:r w:rsidR="009435F8">
        <w:t xml:space="preserve"> United States, especially the</w:t>
      </w:r>
      <w:r w:rsidR="005E4B38">
        <w:t xml:space="preserve"> South</w:t>
      </w:r>
      <w:r w:rsidR="00ED7BFC">
        <w:t>, and its technical status as a colony of the Guelphs in Hanover</w:t>
      </w:r>
      <w:r w:rsidR="009A78A3">
        <w:t xml:space="preserve"> did little more than paper over it</w:t>
      </w:r>
      <w:r w:rsidR="00C94A90">
        <w:t xml:space="preserve">. As American freebooters were employed to crush slave revolts, and as American ships dominated its commerce, it became </w:t>
      </w:r>
      <w:r w:rsidR="00664A40">
        <w:t>increasingly part of the American sphere of influence</w:t>
      </w:r>
      <w:r w:rsidR="009A78A3">
        <w:t xml:space="preserve">. </w:t>
      </w:r>
      <w:r w:rsidR="00EC34DB">
        <w:t>In the 1840s</w:t>
      </w:r>
      <w:r w:rsidR="00C94A90">
        <w:t>, Jamaica had declared independence under its House of Assembly</w:t>
      </w:r>
      <w:r w:rsidR="00BF1320">
        <w:t xml:space="preserve"> as a republic with a constitution very much like an American state, and its president</w:t>
      </w:r>
      <w:r w:rsidR="0059464D">
        <w:t xml:space="preserve"> was the American adventurer William Walker</w:t>
      </w:r>
      <w:r w:rsidR="00F31297">
        <w:t>, who turned himself into its despot with his superior arms</w:t>
      </w:r>
      <w:r w:rsidR="00E0132D">
        <w:rPr>
          <w:rStyle w:val="EndnoteReference"/>
        </w:rPr>
        <w:endnoteReference w:id="208"/>
      </w:r>
      <w:r w:rsidR="0059464D">
        <w:t xml:space="preserve">. </w:t>
      </w:r>
      <w:r w:rsidR="00CD1574">
        <w:t xml:space="preserve">It became clear that Jamaica was gunning for admission into the union as a slave state. </w:t>
      </w:r>
      <w:r w:rsidR="00530B7D">
        <w:t xml:space="preserve">Though Webster indignantly refused this, regarding it as a planter conspiracy to enlarge their power, </w:t>
      </w:r>
      <w:r w:rsidR="002062E7">
        <w:t xml:space="preserve">the issue continued to </w:t>
      </w:r>
      <w:r w:rsidR="00F31297">
        <w:t xml:space="preserve">fester. By the time Stockton came to power, </w:t>
      </w:r>
      <w:r w:rsidR="00EC0816">
        <w:t>many Republicans sought Jamaica’s admission, both to fortify the Planter Ascendancy and to balance the pending admission of several free states</w:t>
      </w:r>
      <w:r w:rsidR="00ED6C7B">
        <w:t xml:space="preserve">, without toppling </w:t>
      </w:r>
      <w:r w:rsidR="00583371">
        <w:t>parity in the Senate</w:t>
      </w:r>
      <w:r w:rsidR="00EC0816">
        <w:t xml:space="preserve">. </w:t>
      </w:r>
      <w:r w:rsidR="00A531A4">
        <w:t>And though Stockton was one of them</w:t>
      </w:r>
      <w:r w:rsidR="00B91E48">
        <w:t xml:space="preserve">, he saw that </w:t>
      </w:r>
      <w:r w:rsidR="00A531A4">
        <w:t xml:space="preserve">he </w:t>
      </w:r>
      <w:r w:rsidR="00B91E48">
        <w:t xml:space="preserve">did not have the votes in the Senate to achieve it, and so he </w:t>
      </w:r>
      <w:r w:rsidR="00F87DCE">
        <w:t xml:space="preserve">focused more on laying the groundwork for admission in this </w:t>
      </w:r>
      <w:r w:rsidR="00E44966">
        <w:t>period</w:t>
      </w:r>
      <w:r w:rsidR="00F87DCE">
        <w:t xml:space="preserve">. </w:t>
      </w:r>
      <w:r w:rsidR="00150D24">
        <w:t xml:space="preserve">He established normal relations with Jamaica, </w:t>
      </w:r>
      <w:r w:rsidR="00872EBB">
        <w:t xml:space="preserve">sending and accepting a </w:t>
      </w:r>
      <w:r w:rsidR="00EA22D0">
        <w:t xml:space="preserve">consul-general, which regularized existing commerce – including the trans-Caribbean slave trade – and allowed for a boom in trade. </w:t>
      </w:r>
    </w:p>
    <w:p w14:paraId="153EF2C1" w14:textId="29EEFD7F" w:rsidR="008716E5" w:rsidRDefault="008716E5" w:rsidP="000E311E">
      <w:r>
        <w:t xml:space="preserve">This additionally came with new attempts to shore up American commercial relations with </w:t>
      </w:r>
      <w:r w:rsidR="00077649">
        <w:t>Hispanic</w:t>
      </w:r>
      <w:r>
        <w:t xml:space="preserve"> America</w:t>
      </w:r>
      <w:r w:rsidR="00AD6035">
        <w:t>. With the French and British having shut down the African slave trade</w:t>
      </w:r>
      <w:r w:rsidR="001E53E0">
        <w:t xml:space="preserve">, and with neither Spanish nor Portuguese colonies </w:t>
      </w:r>
      <w:r w:rsidR="009E63B9">
        <w:t>having self-sufficient slave populations</w:t>
      </w:r>
      <w:r w:rsidR="00D11CFE">
        <w:t xml:space="preserve">, </w:t>
      </w:r>
      <w:r w:rsidR="009E63B9">
        <w:t>they instead</w:t>
      </w:r>
      <w:r w:rsidR="00D11CFE">
        <w:t xml:space="preserve"> relied on </w:t>
      </w:r>
      <w:r w:rsidR="002366D4">
        <w:t xml:space="preserve">imports from </w:t>
      </w:r>
      <w:r w:rsidR="001E53E0">
        <w:t>the United</w:t>
      </w:r>
      <w:r w:rsidR="009E63B9">
        <w:t xml:space="preserve"> States</w:t>
      </w:r>
      <w:r w:rsidR="009653FB">
        <w:t>, despite this trans-Caribbean slave trade being dubiously legal under American law</w:t>
      </w:r>
      <w:r w:rsidR="009E63B9">
        <w:t xml:space="preserve">. </w:t>
      </w:r>
      <w:r w:rsidR="009653FB">
        <w:t xml:space="preserve">With </w:t>
      </w:r>
      <w:r w:rsidR="00C5521B">
        <w:t xml:space="preserve">the </w:t>
      </w:r>
      <w:r w:rsidR="009653FB">
        <w:t>Pike</w:t>
      </w:r>
      <w:r w:rsidR="00C5521B">
        <w:t xml:space="preserve"> administration</w:t>
      </w:r>
      <w:r w:rsidR="009653FB">
        <w:t xml:space="preserve"> having secured</w:t>
      </w:r>
      <w:r w:rsidR="00C5521B">
        <w:t xml:space="preserve"> the perpetuation of this </w:t>
      </w:r>
      <w:r w:rsidR="00D35136">
        <w:t xml:space="preserve">slave </w:t>
      </w:r>
      <w:r w:rsidR="00C5521B">
        <w:t>trade</w:t>
      </w:r>
      <w:r w:rsidR="00D35136">
        <w:t xml:space="preserve"> with the Second Quasi War, </w:t>
      </w:r>
      <w:r w:rsidR="00271F42">
        <w:t xml:space="preserve">it </w:t>
      </w:r>
      <w:r w:rsidR="00077649">
        <w:t xml:space="preserve">continued, and though the Danish War of Succession and </w:t>
      </w:r>
      <w:r w:rsidR="00077649">
        <w:lastRenderedPageBreak/>
        <w:t xml:space="preserve">New </w:t>
      </w:r>
      <w:proofErr w:type="spellStart"/>
      <w:r w:rsidR="00077649">
        <w:t>Granadine</w:t>
      </w:r>
      <w:proofErr w:type="spellEnd"/>
      <w:r w:rsidR="00077649">
        <w:t xml:space="preserve"> War of Independence cut them off</w:t>
      </w:r>
      <w:r w:rsidR="00065819">
        <w:t xml:space="preserve"> as France blockaded the Portuguese and the British blockaded the Spanish, </w:t>
      </w:r>
      <w:r w:rsidR="003D10EC">
        <w:t>the Treaty of Washington</w:t>
      </w:r>
      <w:r w:rsidR="00E04BF0">
        <w:t xml:space="preserve"> in 1852</w:t>
      </w:r>
      <w:r w:rsidR="003D10EC">
        <w:t xml:space="preserve"> allowed the return of </w:t>
      </w:r>
      <w:r w:rsidR="00EB5212">
        <w:t>the trade to Spanish America</w:t>
      </w:r>
      <w:r w:rsidR="008773AB">
        <w:t xml:space="preserve">; when </w:t>
      </w:r>
      <w:r w:rsidR="00E04BF0">
        <w:t xml:space="preserve">the Danish War only came to an end in </w:t>
      </w:r>
      <w:r w:rsidR="007B4E82">
        <w:t xml:space="preserve">1854, </w:t>
      </w:r>
      <w:r w:rsidR="008773AB">
        <w:t xml:space="preserve">the slave trade from </w:t>
      </w:r>
      <w:r w:rsidR="00C95B4B">
        <w:t>the United States</w:t>
      </w:r>
      <w:r w:rsidR="008773AB">
        <w:t xml:space="preserve"> to Portuguese America similarly boomed. </w:t>
      </w:r>
      <w:r w:rsidR="00AF3684">
        <w:t>Though many, especially moderately antislavery Northerners, hoped that</w:t>
      </w:r>
      <w:r w:rsidR="00B93F0D">
        <w:t xml:space="preserve"> the horrifying trans-Caribbean slave trade had been ended by </w:t>
      </w:r>
      <w:r w:rsidR="008B7887">
        <w:t>the pause that war meant, it didn’t; th</w:t>
      </w:r>
      <w:r w:rsidR="006E6B12">
        <w:t>at th</w:t>
      </w:r>
      <w:r w:rsidR="008B7887">
        <w:t xml:space="preserve">e supply of </w:t>
      </w:r>
      <w:r w:rsidR="006E6B12">
        <w:t>slaves which had once been exported were now employed for domestic</w:t>
      </w:r>
      <w:r w:rsidR="00DD3454">
        <w:t xml:space="preserve"> use, only led to more slave breeders</w:t>
      </w:r>
      <w:r w:rsidR="00270771">
        <w:t xml:space="preserve">, producing slaves for both at home and abroad. </w:t>
      </w:r>
      <w:r w:rsidR="00BE206E">
        <w:t xml:space="preserve">In the years that followed, a massive slave trade brewed from </w:t>
      </w:r>
      <w:r w:rsidR="00DB3C8C">
        <w:t xml:space="preserve">the American South </w:t>
      </w:r>
      <w:proofErr w:type="gramStart"/>
      <w:r w:rsidR="00DB3C8C">
        <w:t>all across</w:t>
      </w:r>
      <w:proofErr w:type="gramEnd"/>
      <w:r w:rsidR="00DB3C8C">
        <w:t xml:space="preserve"> the Caribbean; slave ships travelled to Jamaica, Cuba, Mexico, modern-day </w:t>
      </w:r>
      <w:proofErr w:type="spellStart"/>
      <w:r w:rsidR="00DB3C8C">
        <w:t>Equador</w:t>
      </w:r>
      <w:proofErr w:type="spellEnd"/>
      <w:r w:rsidR="00DB3C8C">
        <w:t xml:space="preserve">, and </w:t>
      </w:r>
      <w:r w:rsidR="00ED3FE2">
        <w:t xml:space="preserve">Guatemala. </w:t>
      </w:r>
      <w:r w:rsidR="009844F6">
        <w:t xml:space="preserve">It was a booming business, and though </w:t>
      </w:r>
      <w:r w:rsidR="00D01D60">
        <w:t>it was only dubiously legal, this slave trading became a very important part of the American economy with the full support of the Stockton administration</w:t>
      </w:r>
      <w:r w:rsidR="00F76FFA">
        <w:rPr>
          <w:rStyle w:val="EndnoteReference"/>
        </w:rPr>
        <w:endnoteReference w:id="209"/>
      </w:r>
      <w:r w:rsidR="00D01D60">
        <w:t>. It was not only the South which participated in it; many of the people crewing the ships were, in fact</w:t>
      </w:r>
      <w:r w:rsidR="00996493">
        <w:t xml:space="preserve">, New Englanders, and this business was financialized and securitized in the forms of bonds, stocks, shipping companies, and many other schemes. </w:t>
      </w:r>
      <w:r w:rsidR="00E65D69">
        <w:t xml:space="preserve">In truth, the whole of the United States was becoming a great slave empire, backing a hemisphere not of liberty, but of slavery. </w:t>
      </w:r>
      <w:r w:rsidR="00041FD2">
        <w:t xml:space="preserve">And this, the Stockton administration </w:t>
      </w:r>
      <w:r w:rsidR="00437E82">
        <w:t>fostered with its policies with both its domestic and foreign politics</w:t>
      </w:r>
      <w:r w:rsidR="008B085D">
        <w:t xml:space="preserve">, </w:t>
      </w:r>
      <w:r w:rsidR="00383A63">
        <w:t>signing reciprocity treaties which allowed for the further integration of the hemisphere into a single economy</w:t>
      </w:r>
      <w:r w:rsidR="00437E82">
        <w:t xml:space="preserve">. </w:t>
      </w:r>
    </w:p>
    <w:p w14:paraId="22BB00A9" w14:textId="6E18CB42" w:rsidR="005B6322" w:rsidRDefault="005B6322" w:rsidP="000E311E">
      <w:r>
        <w:t xml:space="preserve">In terms of trade, </w:t>
      </w:r>
      <w:r w:rsidR="006857C5">
        <w:t xml:space="preserve">Stockton was surprisingly moderate – he refused to push for the repeal the Tariff of 1845, declaring that the United States needed some sort of tariff to raise money for the government for internal improvements or for </w:t>
      </w:r>
      <w:r w:rsidR="004C10A4">
        <w:t xml:space="preserve">the </w:t>
      </w:r>
      <w:r w:rsidR="00E57A5F">
        <w:t>navy</w:t>
      </w:r>
      <w:r w:rsidR="004C10A4">
        <w:t xml:space="preserve"> – but he was a supporter of </w:t>
      </w:r>
      <w:r w:rsidR="00EF7EDF">
        <w:t xml:space="preserve">freer trade. Endorsing the principle of reciprocity, in which the nation would add precisely the same tariffs against foreign goods that those foreign countries had against American goods, he got to work with a series of treaty negotiations. </w:t>
      </w:r>
      <w:r w:rsidR="00920CBC">
        <w:t xml:space="preserve">This </w:t>
      </w:r>
      <w:r w:rsidR="00F45FF5">
        <w:t xml:space="preserve">would be particularly beneficial for American relations with </w:t>
      </w:r>
      <w:r w:rsidR="00F45FF5">
        <w:lastRenderedPageBreak/>
        <w:t xml:space="preserve">British North America, its economy then and now tightly associated with America’s, but it had several ramifications. </w:t>
      </w:r>
      <w:r w:rsidR="0054621F">
        <w:t xml:space="preserve">One of the largest was that it made foreign capital more freely available in the United States. This foreign capital had been </w:t>
      </w:r>
      <w:r w:rsidR="00D00765">
        <w:t xml:space="preserve">a very important part of the American financial system, but </w:t>
      </w:r>
      <w:r w:rsidR="00EE2089">
        <w:t xml:space="preserve">British financial instability following the Popular Revolution which the Panics of 1835 and 1842 only reinforced, as well as France’s </w:t>
      </w:r>
      <w:r w:rsidR="009D7EFF">
        <w:t>financial system being too busy financing its own costly wars against royal Europe</w:t>
      </w:r>
      <w:r w:rsidR="009B37C9">
        <w:t>, to say nothing of the effects of several American states defaulting on their debts</w:t>
      </w:r>
      <w:r w:rsidR="009D7EFF">
        <w:t xml:space="preserve">, </w:t>
      </w:r>
      <w:r w:rsidR="00567294">
        <w:t xml:space="preserve">meant this tapered off. </w:t>
      </w:r>
      <w:r w:rsidR="00A12696">
        <w:t xml:space="preserve">Webster had successfully supplanted this with </w:t>
      </w:r>
      <w:r w:rsidR="00D362D6">
        <w:t xml:space="preserve">the National Bank, but nevertheless </w:t>
      </w:r>
      <w:r w:rsidR="004557DA">
        <w:t xml:space="preserve">this sort of financial isolationism weakened American growth; the Bank’s </w:t>
      </w:r>
      <w:r w:rsidR="00262758">
        <w:t>moderate lending policy</w:t>
      </w:r>
      <w:r w:rsidR="004557DA">
        <w:t xml:space="preserve"> meant </w:t>
      </w:r>
      <w:r w:rsidR="002E3E7F">
        <w:t xml:space="preserve">money went to the cities, to industrial projects assuredly a success, rather than the West. </w:t>
      </w:r>
      <w:r w:rsidR="00EF5C8F">
        <w:t xml:space="preserve">Stockton’s policies of reciprocity allowed British and French banks to </w:t>
      </w:r>
      <w:r w:rsidR="00772005">
        <w:t xml:space="preserve">more freely lend money to American enterprises, and being more stable institutions, they </w:t>
      </w:r>
      <w:r w:rsidR="00B313CC">
        <w:t xml:space="preserve">were more willing to make financial risks. </w:t>
      </w:r>
      <w:r w:rsidR="00245B4D">
        <w:t xml:space="preserve">The result of this was an impressive financial boom, which consumed the United States, especially the frontier; hundreds of millions would be pumped into new railroad enterprises, plantations, factories, and so many other projects which, otherwise, would be considered too risky. But Barings, Lafitte, and other European banks could accord some failures so long as the overall trajectory was of success – and it was. </w:t>
      </w:r>
      <w:r w:rsidR="00543931">
        <w:t xml:space="preserve">That this boom filled the West meant it also led to pressure to expand the second segment of old Luisiana to American settlement; the effects of this would inevitably undo American national cohesion. </w:t>
      </w:r>
    </w:p>
    <w:p w14:paraId="7369A349" w14:textId="3814EE3A" w:rsidR="00BE7F1D" w:rsidRDefault="00BE7F1D" w:rsidP="000E311E">
      <w:r>
        <w:t xml:space="preserve">One of the great </w:t>
      </w:r>
      <w:r w:rsidR="00391B7B">
        <w:t xml:space="preserve">foreign policy </w:t>
      </w:r>
      <w:r>
        <w:t xml:space="preserve">successes of the Stockton administration came when </w:t>
      </w:r>
      <w:r w:rsidR="00106416">
        <w:t xml:space="preserve">the </w:t>
      </w:r>
      <w:proofErr w:type="gramStart"/>
      <w:r w:rsidR="00106416">
        <w:t>ever restive</w:t>
      </w:r>
      <w:proofErr w:type="gramEnd"/>
      <w:r w:rsidR="00106416">
        <w:t xml:space="preserve"> region of Platina, at the tip of South America, declared independence; memories of disastrous rule by the Guelph Britons</w:t>
      </w:r>
      <w:r w:rsidR="00DB069F">
        <w:t xml:space="preserve"> meant that the Platine revolutionaries indignantly refused any British aid</w:t>
      </w:r>
      <w:r w:rsidR="00250168">
        <w:t>. The Webster administration had immediately recognized the independence of Platina, under</w:t>
      </w:r>
      <w:r w:rsidR="003714E4">
        <w:t xml:space="preserve"> Supreme Protector </w:t>
      </w:r>
      <w:proofErr w:type="spellStart"/>
      <w:r w:rsidR="003714E4">
        <w:t>Rivadavia</w:t>
      </w:r>
      <w:proofErr w:type="spellEnd"/>
      <w:r w:rsidR="003714E4">
        <w:t xml:space="preserve">, but it was only during the Stockton years that it had firmly won independence. </w:t>
      </w:r>
      <w:r w:rsidR="00F45FF5">
        <w:t xml:space="preserve">Much of this may be laid at the feet of Stockton’s own actions – not long after his </w:t>
      </w:r>
      <w:r w:rsidR="00F45FF5">
        <w:lastRenderedPageBreak/>
        <w:t>inauguration he sent a fleet to Buenos Aires to liaise with its government, as if daring the Spanish to retaliate</w:t>
      </w:r>
      <w:r w:rsidR="00391B7B">
        <w:t xml:space="preserve">, in a feat of daring only rivalled by his contemporary Dundonald, and this </w:t>
      </w:r>
      <w:r w:rsidR="00B7639F">
        <w:t>indeed forced them to accept the loss of their southern dominion</w:t>
      </w:r>
      <w:r w:rsidR="00391B7B">
        <w:t xml:space="preserve"> – and today he is celebrated as a national hero in </w:t>
      </w:r>
      <w:r w:rsidR="00B7639F">
        <w:t xml:space="preserve">Platina. And though this new nation saw </w:t>
      </w:r>
      <w:r w:rsidR="002D7634">
        <w:t>itself consumed in civil wars and regional-centralist tensions in the decade that followed, nevertheless American commerce made itself known in Buenos Aires</w:t>
      </w:r>
      <w:r w:rsidR="00C96E5A">
        <w:t xml:space="preserve"> and over the rest of the Rio de la Plata. </w:t>
      </w:r>
      <w:r w:rsidR="001506AA">
        <w:t xml:space="preserve">And by the time </w:t>
      </w:r>
      <w:r w:rsidR="00391FE0">
        <w:t xml:space="preserve">Platina did stabilize under Carlos Duffy, </w:t>
      </w:r>
      <w:r w:rsidR="00DE62A2">
        <w:t xml:space="preserve">relations with the United States </w:t>
      </w:r>
      <w:r w:rsidR="00356AF4">
        <w:t>would prove quite strong</w:t>
      </w:r>
      <w:r w:rsidR="00976274">
        <w:rPr>
          <w:rStyle w:val="EndnoteReference"/>
        </w:rPr>
        <w:endnoteReference w:id="210"/>
      </w:r>
      <w:r w:rsidR="00356AF4">
        <w:t xml:space="preserve">. </w:t>
      </w:r>
      <w:r w:rsidR="008057CF">
        <w:t xml:space="preserve">Of course, by then the </w:t>
      </w:r>
      <w:r w:rsidR="00325FE4">
        <w:t>nation</w:t>
      </w:r>
      <w:r w:rsidR="008057CF">
        <w:t xml:space="preserve"> had other, quite severe issues </w:t>
      </w:r>
      <w:r w:rsidR="00FF1D61">
        <w:t xml:space="preserve">which left the issue of </w:t>
      </w:r>
      <w:r w:rsidR="00A96E4C">
        <w:t xml:space="preserve">relations with a nation at the other end of the continent quite moot indeed. </w:t>
      </w:r>
    </w:p>
    <w:p w14:paraId="1130567E" w14:textId="48FB7764" w:rsidR="00F92669" w:rsidRPr="000E311E" w:rsidRDefault="00F92669" w:rsidP="000E311E">
      <w:r>
        <w:t xml:space="preserve">Thus, Stockton governed over an impressive </w:t>
      </w:r>
      <w:r w:rsidR="00C168C6">
        <w:t xml:space="preserve">national boom, in no small part fostered by foreign policy. He saw the rise of a sort of hemispheric bloc of trade, spanning from British North America to Platina. </w:t>
      </w:r>
      <w:r w:rsidR="00264FFD">
        <w:t xml:space="preserve">He saw international investment in a boom which spanned the West and brought forward the zone of settlement. But these things brought the United States inexorably towards a national </w:t>
      </w:r>
      <w:r w:rsidR="00AA3F7A">
        <w:t xml:space="preserve">collision. </w:t>
      </w:r>
      <w:r w:rsidR="00B64E9C">
        <w:t>The great slave economy boomed, not only involving the South but also the hopelessly compromised North, only bringing more credence to the Planter Ascendancy critique of slavery</w:t>
      </w:r>
      <w:r w:rsidR="0010686D">
        <w:t>. The frontier of settlement crept westwards, bringing the nation further towards</w:t>
      </w:r>
      <w:r w:rsidR="00290783">
        <w:t xml:space="preserve"> the need to open the next segment of the former Luisiana – and given that every expansion of settlement had seen severe national collisions over the issue of slavery, many Americans wondered if, in the absence of eminences of the same tier as </w:t>
      </w:r>
      <w:r w:rsidR="008F10D9">
        <w:t xml:space="preserve">Clay and Webster, a civil war was inevitable. </w:t>
      </w:r>
      <w:r w:rsidR="002F3964">
        <w:t xml:space="preserve">And it would not take long for such doubts to </w:t>
      </w:r>
      <w:r w:rsidR="00B373BB">
        <w:t xml:space="preserve">see their confirmation. </w:t>
      </w:r>
    </w:p>
    <w:p w14:paraId="4F5980E7" w14:textId="77777777" w:rsidR="00765D65" w:rsidRDefault="00765D65" w:rsidP="00765D65">
      <w:r>
        <w:br w:type="page"/>
      </w:r>
    </w:p>
    <w:p w14:paraId="62AC1830" w14:textId="77777777" w:rsidR="00643543" w:rsidRDefault="00643543" w:rsidP="00643543"/>
    <w:p w14:paraId="7F28C958" w14:textId="77777777" w:rsidR="00643543" w:rsidRDefault="00643543" w:rsidP="00643543">
      <w:pPr>
        <w:sectPr w:rsidR="00643543" w:rsidSect="00643543">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AC121FD" w14:textId="77777777" w:rsidR="00643543" w:rsidRDefault="00643543" w:rsidP="00643543">
      <w:r>
        <w:br w:type="page"/>
      </w:r>
    </w:p>
    <w:p w14:paraId="0BA4A8FE" w14:textId="67BAFF38" w:rsidR="006A3E6A" w:rsidRDefault="00643543" w:rsidP="00643543">
      <w:pPr>
        <w:pStyle w:val="Heading1"/>
      </w:pPr>
      <w:bookmarkStart w:id="55" w:name="_Toc202006242"/>
      <w:r>
        <w:lastRenderedPageBreak/>
        <w:t>4</w:t>
      </w:r>
      <w:r w:rsidR="00F93DCA">
        <w:t>3</w:t>
      </w:r>
      <w:r>
        <w:t xml:space="preserve">. </w:t>
      </w:r>
      <w:r w:rsidR="008D7746">
        <w:t xml:space="preserve">The </w:t>
      </w:r>
      <w:r w:rsidR="00E1206C">
        <w:t>Segments of Babel</w:t>
      </w:r>
      <w:bookmarkEnd w:id="55"/>
    </w:p>
    <w:p w14:paraId="07EA2B15" w14:textId="3B43FBB9" w:rsidR="00E1206C" w:rsidRDefault="00DC4E70" w:rsidP="00E1206C">
      <w:r>
        <w:t xml:space="preserve">The United States was always a nation founded upon migration. How could it not, after all? </w:t>
      </w:r>
      <w:r w:rsidR="00562C76">
        <w:t>Its origin is ultimately in a series of English settlements, which ruthlessly grabbed land from the Indigenous Americans; to boost their numbers</w:t>
      </w:r>
      <w:r w:rsidR="00557EF2">
        <w:t xml:space="preserve"> against the Indigenous who wanted their land back</w:t>
      </w:r>
      <w:r w:rsidR="00562C76">
        <w:t xml:space="preserve">, </w:t>
      </w:r>
      <w:r w:rsidR="00F67832">
        <w:t>it was inevitable that they had to bring in new numbers of people</w:t>
      </w:r>
      <w:r w:rsidR="00926FEB">
        <w:t xml:space="preserve">. And </w:t>
      </w:r>
      <w:proofErr w:type="gramStart"/>
      <w:r w:rsidR="00926FEB">
        <w:t>thus</w:t>
      </w:r>
      <w:proofErr w:type="gramEnd"/>
      <w:r w:rsidR="00926FEB">
        <w:t xml:space="preserve"> would be the state of the early English colonies on the Seaboard – settlements which rapidly expanded in size and volume thanks to </w:t>
      </w:r>
      <w:r w:rsidR="00A05004">
        <w:t xml:space="preserve">both a </w:t>
      </w:r>
      <w:r w:rsidR="003A4932">
        <w:t>huge birth rate</w:t>
      </w:r>
      <w:r w:rsidR="00A05004">
        <w:t xml:space="preserve"> and </w:t>
      </w:r>
      <w:r w:rsidR="00E00D53">
        <w:t xml:space="preserve">a </w:t>
      </w:r>
      <w:r w:rsidR="003A4932">
        <w:t xml:space="preserve">barrage of settlers, which with sheer numbers could destroy Indigenous opposition. </w:t>
      </w:r>
      <w:r w:rsidR="00356ED5">
        <w:t xml:space="preserve">In the sixteenth and seventeenth centuries, settlement in the United States east of the Mississippi was largely an Anglo affair, aside from the New Netherlands (today New York) which was as </w:t>
      </w:r>
      <w:r w:rsidR="00B9710D">
        <w:t>diverse</w:t>
      </w:r>
      <w:r w:rsidR="00356ED5">
        <w:t xml:space="preserve"> as the</w:t>
      </w:r>
      <w:r w:rsidR="00A025F5">
        <w:t xml:space="preserve"> mercantile</w:t>
      </w:r>
      <w:r w:rsidR="00356ED5">
        <w:t xml:space="preserve"> Dutch Republic which colonized it, but this would begin to change; Pennsylvania</w:t>
      </w:r>
      <w:r w:rsidR="00EE3391">
        <w:t>, founded as it was by</w:t>
      </w:r>
      <w:r w:rsidR="00420BC7">
        <w:t xml:space="preserve"> the radically tolerant</w:t>
      </w:r>
      <w:r w:rsidR="00EE3391">
        <w:t xml:space="preserve"> Quakers</w:t>
      </w:r>
      <w:r w:rsidR="00137186">
        <w:t>, welcomed</w:t>
      </w:r>
      <w:r w:rsidR="0069210E">
        <w:t xml:space="preserve"> a great deal of immigrants, especially</w:t>
      </w:r>
      <w:r w:rsidR="00CA5D59">
        <w:t xml:space="preserve"> Germans</w:t>
      </w:r>
      <w:r w:rsidR="00E11BAF">
        <w:t>, although by modern borders</w:t>
      </w:r>
      <w:r w:rsidR="00F64E4D">
        <w:t xml:space="preserve"> many of them would have</w:t>
      </w:r>
      <w:r w:rsidR="008724AD">
        <w:rPr>
          <w:rStyle w:val="EndnoteReference"/>
        </w:rPr>
        <w:endnoteReference w:id="211"/>
      </w:r>
      <w:r w:rsidR="007659B0">
        <w:t xml:space="preserve">; several Waves of </w:t>
      </w:r>
      <w:proofErr w:type="spellStart"/>
      <w:r w:rsidR="007659B0">
        <w:t>Germanna</w:t>
      </w:r>
      <w:proofErr w:type="spellEnd"/>
      <w:r w:rsidR="007659B0">
        <w:t xml:space="preserve"> gave the United States its Amish minority, whose unique cultural practices have preserved the Alsatian dialect which, in its homeland, is endangered thanks to hundreds of years of </w:t>
      </w:r>
      <w:proofErr w:type="spellStart"/>
      <w:r w:rsidR="007659B0">
        <w:t>Francification</w:t>
      </w:r>
      <w:proofErr w:type="spellEnd"/>
      <w:r w:rsidR="003A1DB7">
        <w:rPr>
          <w:rStyle w:val="EndnoteReference"/>
        </w:rPr>
        <w:endnoteReference w:id="212"/>
      </w:r>
      <w:r w:rsidR="007659B0">
        <w:t>. The eighteenth century saw migration of Irish Scots to Appalachia to play much the same role they played under the British monarchy – a buffer against a hostile, native population, and this was the beginning of the great Irish migration to America. These three groups – Britons, Germans, and Irish – would define migration to the United States until well into the twentieth century</w:t>
      </w:r>
      <w:r w:rsidR="002367FD">
        <w:rPr>
          <w:rStyle w:val="EndnoteReference"/>
        </w:rPr>
        <w:endnoteReference w:id="213"/>
      </w:r>
      <w:r w:rsidR="00D35131">
        <w:t xml:space="preserve">. </w:t>
      </w:r>
    </w:p>
    <w:p w14:paraId="1144220C" w14:textId="52725BF9" w:rsidR="00790365" w:rsidRDefault="007E02F4" w:rsidP="00790365">
      <w:r>
        <w:t xml:space="preserve">With the American Revolution, a small flow of </w:t>
      </w:r>
      <w:r w:rsidR="001E5069">
        <w:t>Guelph Loyalists was no match to a continued flow of British</w:t>
      </w:r>
      <w:r w:rsidR="0093184A">
        <w:t xml:space="preserve"> and some Irish</w:t>
      </w:r>
      <w:r w:rsidR="001E5069">
        <w:t xml:space="preserve"> immigrants,</w:t>
      </w:r>
      <w:r w:rsidR="00D63DE0">
        <w:t xml:space="preserve"> all fostered by the American government</w:t>
      </w:r>
      <w:r w:rsidR="00790365">
        <w:t xml:space="preserve">. With the French Revolution and especially with the first phase of the Haitian Revolution, </w:t>
      </w:r>
      <w:r w:rsidR="00EA5098">
        <w:t xml:space="preserve">a lot of whites from what had been the French colony of Saint Domingue made their way to the United States; almost </w:t>
      </w:r>
      <w:r w:rsidR="00EA5098">
        <w:lastRenderedPageBreak/>
        <w:t>all of them were quite reactionary and considered Haiti the inevitable consequences</w:t>
      </w:r>
      <w:r w:rsidR="00A344EE">
        <w:t xml:space="preserve"> of the principles of “Jacobinism”</w:t>
      </w:r>
      <w:r w:rsidR="003E33F0">
        <w:rPr>
          <w:rStyle w:val="EndnoteReference"/>
        </w:rPr>
        <w:endnoteReference w:id="214"/>
      </w:r>
      <w:r w:rsidR="00D63DE0">
        <w:t xml:space="preserve">. </w:t>
      </w:r>
      <w:r w:rsidR="006C190D">
        <w:t>But this would find itself overshadowed in quick succession; t</w:t>
      </w:r>
      <w:r w:rsidR="0093184A">
        <w:t xml:space="preserve">he crushing of the Great Irish Rebellion saw a massive number of Irish migrate into the United States, </w:t>
      </w:r>
      <w:r w:rsidR="003F0829">
        <w:t xml:space="preserve">both from people </w:t>
      </w:r>
      <w:r w:rsidR="0093184A">
        <w:t xml:space="preserve">fleeing brutal </w:t>
      </w:r>
      <w:r w:rsidR="008C25A3">
        <w:t xml:space="preserve">British </w:t>
      </w:r>
      <w:r w:rsidR="003653B9">
        <w:t>repression</w:t>
      </w:r>
      <w:r w:rsidR="008C25A3">
        <w:t xml:space="preserve"> </w:t>
      </w:r>
      <w:r w:rsidR="003653B9">
        <w:t>and</w:t>
      </w:r>
      <w:r w:rsidR="003F0829">
        <w:t xml:space="preserve"> others</w:t>
      </w:r>
      <w:r w:rsidR="003653B9">
        <w:t xml:space="preserve"> finding </w:t>
      </w:r>
      <w:r w:rsidR="0091111E">
        <w:t xml:space="preserve">no opportunity in </w:t>
      </w:r>
      <w:r w:rsidR="003F0829">
        <w:t>their war-torn</w:t>
      </w:r>
      <w:r w:rsidR="00D92D1C">
        <w:t xml:space="preserve"> country</w:t>
      </w:r>
      <w:r w:rsidR="008977FC">
        <w:t xml:space="preserve">. The groundwork for this had already been </w:t>
      </w:r>
      <w:r w:rsidR="00525DD7">
        <w:t>laid</w:t>
      </w:r>
      <w:r w:rsidR="00CB1BB9">
        <w:t xml:space="preserve"> by</w:t>
      </w:r>
      <w:r w:rsidR="0080178A">
        <w:t xml:space="preserve"> smaller Irish migrations – the celebrated Citizen Lord himself, Edward Fitzgerald, famously visited the United States in 1795</w:t>
      </w:r>
      <w:r w:rsidR="009942AE">
        <w:rPr>
          <w:rStyle w:val="EndnoteReference"/>
        </w:rPr>
        <w:endnoteReference w:id="215"/>
      </w:r>
      <w:r w:rsidR="0080178A">
        <w:t xml:space="preserve"> </w:t>
      </w:r>
      <w:r w:rsidR="00CD18E9">
        <w:t>–</w:t>
      </w:r>
      <w:r w:rsidR="0080178A">
        <w:t xml:space="preserve"> </w:t>
      </w:r>
      <w:r w:rsidR="00CD18E9">
        <w:t xml:space="preserve">but the ensuing migration was like nothing the United States had ever seen. </w:t>
      </w:r>
      <w:r w:rsidR="006A3E20">
        <w:t xml:space="preserve">The radical United Irish diaspora had a profound effect on the United States, </w:t>
      </w:r>
      <w:r w:rsidR="008235CA">
        <w:t>and though their values were a good match for</w:t>
      </w:r>
      <w:r w:rsidR="00377614">
        <w:t xml:space="preserve"> American liberty, they were not viewed that way.</w:t>
      </w:r>
      <w:r w:rsidR="006A3E20">
        <w:t xml:space="preserve"> </w:t>
      </w:r>
      <w:r w:rsidR="00377614">
        <w:t>I</w:t>
      </w:r>
      <w:r w:rsidR="006A3E20">
        <w:t xml:space="preserve">mmediately they caused a massive backlash among a public which </w:t>
      </w:r>
      <w:r w:rsidR="006B50A9">
        <w:t xml:space="preserve">already feared the French Revolution, and </w:t>
      </w:r>
      <w:r w:rsidR="0083788F">
        <w:t xml:space="preserve">who </w:t>
      </w:r>
      <w:r w:rsidR="006B50A9">
        <w:t xml:space="preserve">saw them as a dangerous rabble who’d import that Revolution </w:t>
      </w:r>
      <w:r w:rsidR="007E2311">
        <w:t>to America</w:t>
      </w:r>
      <w:r w:rsidR="006B50A9">
        <w:t xml:space="preserve">. </w:t>
      </w:r>
      <w:r w:rsidR="000909A2">
        <w:t xml:space="preserve">The result of </w:t>
      </w:r>
      <w:r w:rsidR="00207F1D">
        <w:t>this</w:t>
      </w:r>
      <w:r w:rsidR="000909A2">
        <w:t xml:space="preserve"> was the </w:t>
      </w:r>
      <w:r w:rsidR="00945C0B">
        <w:t xml:space="preserve">Alien and Sedition Acts, ruthlessly </w:t>
      </w:r>
      <w:r w:rsidR="007D19CA">
        <w:t>despotic</w:t>
      </w:r>
      <w:r w:rsidR="00945C0B">
        <w:t xml:space="preserve"> legislation brought to form by </w:t>
      </w:r>
      <w:r w:rsidR="006C1EF8">
        <w:t xml:space="preserve">Alexander Hamilton which </w:t>
      </w:r>
      <w:r w:rsidR="00CE7AF0">
        <w:t xml:space="preserve">gave the executive powers to deport and arrest immigrants, while also delaying </w:t>
      </w:r>
      <w:r w:rsidR="008235CA">
        <w:t xml:space="preserve">the </w:t>
      </w:r>
      <w:r w:rsidR="00CE7AF0">
        <w:t>naturalization</w:t>
      </w:r>
      <w:r w:rsidR="008235CA">
        <w:t xml:space="preserve"> which would have otherwise forced the government to treat them as citizens</w:t>
      </w:r>
      <w:r w:rsidR="00CE7AF0">
        <w:t xml:space="preserve">. </w:t>
      </w:r>
      <w:r w:rsidR="003D67B1">
        <w:t xml:space="preserve">Despite this, United Irish </w:t>
      </w:r>
      <w:r w:rsidR="00503A6E">
        <w:t>refugees</w:t>
      </w:r>
      <w:r w:rsidR="003D67B1">
        <w:t xml:space="preserve"> continued</w:t>
      </w:r>
      <w:r w:rsidR="00503A6E">
        <w:t xml:space="preserve"> to make their way</w:t>
      </w:r>
      <w:r w:rsidR="00AF25B5">
        <w:t xml:space="preserve"> to America</w:t>
      </w:r>
      <w:r w:rsidR="003D67B1">
        <w:t>, and following</w:t>
      </w:r>
      <w:r w:rsidR="00AF25B5">
        <w:t xml:space="preserve"> the 1800 election and</w:t>
      </w:r>
      <w:r w:rsidR="007A1D5E">
        <w:t xml:space="preserve"> the</w:t>
      </w:r>
      <w:r w:rsidR="00AF25B5">
        <w:t xml:space="preserve"> ensuing sea change in government, </w:t>
      </w:r>
      <w:r w:rsidR="00840EFC">
        <w:t xml:space="preserve">the Jefferson administration </w:t>
      </w:r>
      <w:r w:rsidR="0045664A">
        <w:t>restored immigration laws</w:t>
      </w:r>
      <w:r w:rsidR="003557FF">
        <w:t>,</w:t>
      </w:r>
      <w:r w:rsidR="0045664A">
        <w:t xml:space="preserve"> and with it </w:t>
      </w:r>
      <w:r w:rsidR="00DD188C">
        <w:t>the United Irish</w:t>
      </w:r>
      <w:r w:rsidR="003557FF">
        <w:t xml:space="preserve"> diaspora became an active part of American life. </w:t>
      </w:r>
      <w:r w:rsidR="000D3ECD">
        <w:t>Politically active and ecumenical in religion</w:t>
      </w:r>
      <w:r w:rsidR="00B516E0">
        <w:t xml:space="preserve"> and never forgetting the circumstances of</w:t>
      </w:r>
      <w:r w:rsidR="008828CE">
        <w:t xml:space="preserve"> their departure</w:t>
      </w:r>
      <w:r w:rsidR="000D3ECD">
        <w:t>, they immediately became an active part of the Republican and later Democratic Parties</w:t>
      </w:r>
      <w:r w:rsidR="00527268">
        <w:t xml:space="preserve"> and led the nation </w:t>
      </w:r>
      <w:r w:rsidR="008C7393">
        <w:t>towards</w:t>
      </w:r>
      <w:r w:rsidR="00527268">
        <w:t xml:space="preserve"> </w:t>
      </w:r>
      <w:r w:rsidR="008D07D0">
        <w:t xml:space="preserve">legal codification, </w:t>
      </w:r>
      <w:r w:rsidR="00E42FDD">
        <w:t xml:space="preserve">mass politics, and </w:t>
      </w:r>
      <w:r w:rsidR="00F051C2">
        <w:t xml:space="preserve">ultimately </w:t>
      </w:r>
      <w:r w:rsidR="00E42FDD">
        <w:t>antislavery</w:t>
      </w:r>
      <w:r w:rsidR="00105D67">
        <w:t xml:space="preserve">; no United Irishman exile is as famous as </w:t>
      </w:r>
      <w:r w:rsidR="00B516E0">
        <w:t>Thomas</w:t>
      </w:r>
      <w:r w:rsidR="00576F48">
        <w:t xml:space="preserve"> Addis Emmet</w:t>
      </w:r>
      <w:r w:rsidR="00CC0A72">
        <w:t xml:space="preserve">, </w:t>
      </w:r>
      <w:r w:rsidR="0039167A">
        <w:t>whose son Curran would give America much glory</w:t>
      </w:r>
      <w:r w:rsidR="00FA64C3">
        <w:rPr>
          <w:rStyle w:val="EndnoteReference"/>
        </w:rPr>
        <w:endnoteReference w:id="216"/>
      </w:r>
      <w:r w:rsidR="0039167A">
        <w:t xml:space="preserve">. </w:t>
      </w:r>
    </w:p>
    <w:p w14:paraId="06C6D0C4" w14:textId="5BF8CFDC" w:rsidR="00E30516" w:rsidRDefault="00E30516" w:rsidP="00790365">
      <w:r>
        <w:t xml:space="preserve">With the end of the Luisiana War and, in the British Isles, the outbreak of the Popular Revolution, </w:t>
      </w:r>
      <w:r w:rsidR="0043280E">
        <w:t xml:space="preserve">settlement took new shape. </w:t>
      </w:r>
      <w:r w:rsidR="001E5B72">
        <w:t xml:space="preserve">Germans, having faced the </w:t>
      </w:r>
      <w:r w:rsidR="00A67608">
        <w:t>tumult of the Hungry Twenties, now made their way in large numbers</w:t>
      </w:r>
      <w:r w:rsidR="006B285C">
        <w:t xml:space="preserve"> to America; so too did </w:t>
      </w:r>
      <w:r w:rsidR="00003CFF">
        <w:t xml:space="preserve">a lot of </w:t>
      </w:r>
      <w:r w:rsidR="006B285C">
        <w:t>Irish</w:t>
      </w:r>
      <w:r w:rsidR="0015577B">
        <w:t xml:space="preserve">. This massive wave of </w:t>
      </w:r>
      <w:r w:rsidR="0015577B">
        <w:lastRenderedPageBreak/>
        <w:t>settlers</w:t>
      </w:r>
      <w:r w:rsidR="00A35AF6">
        <w:t>, of whom an unprecedented proportion was Catholic,</w:t>
      </w:r>
      <w:r w:rsidR="0015577B">
        <w:t xml:space="preserve"> produced a new </w:t>
      </w:r>
      <w:r w:rsidR="00882D8C">
        <w:t>nativism in the ensuing backlash</w:t>
      </w:r>
      <w:r w:rsidR="00767ED8">
        <w:t xml:space="preserve">. Additionally, </w:t>
      </w:r>
      <w:r w:rsidR="003C4B34">
        <w:t xml:space="preserve">with the Popular Revolution, </w:t>
      </w:r>
      <w:r w:rsidR="008C5043">
        <w:t xml:space="preserve">the British Isles faced unprecedented levels of financial instability. </w:t>
      </w:r>
      <w:r w:rsidR="00381CF9">
        <w:t xml:space="preserve">The collapse of the Bank of England cut off easy credit, and this </w:t>
      </w:r>
      <w:r w:rsidR="0018418B">
        <w:t xml:space="preserve">had severe repercussions on </w:t>
      </w:r>
      <w:r w:rsidR="00760B9E">
        <w:t xml:space="preserve">the British economy. Industrialization slowed to a crawl. </w:t>
      </w:r>
      <w:r w:rsidR="00D469DD">
        <w:t xml:space="preserve">This meant cities less able to absorb excess population, and instead Britons made their way to the United States. In contrast to Germans and other immigrant groups, British immigrants were </w:t>
      </w:r>
      <w:r w:rsidR="003151F0">
        <w:t xml:space="preserve">almost invisible, as they spoke English and, at this point, the US and Britain had quite similar cultures. </w:t>
      </w:r>
      <w:r w:rsidR="00C91CA7">
        <w:t>But there were differences, most of all that Britain was the country that the United States had won its independence again</w:t>
      </w:r>
      <w:r w:rsidR="00B01890">
        <w:t>st</w:t>
      </w:r>
      <w:r w:rsidR="00C91CA7">
        <w:t xml:space="preserve">; Britons were incentivized to </w:t>
      </w:r>
      <w:r w:rsidR="00B01890">
        <w:t>integrate into American society</w:t>
      </w:r>
      <w:r w:rsidR="008B4FF0">
        <w:t xml:space="preserve">, or else face jeers of treason. </w:t>
      </w:r>
      <w:r w:rsidR="00A3748A">
        <w:t>The Popular Revolution changed this</w:t>
      </w:r>
      <w:r w:rsidR="00C940CD">
        <w:t>, as suddenly the United States and the British Isles seemed like nothing else than revolutionary kin; British cultural organizations emerged</w:t>
      </w:r>
      <w:r w:rsidR="00466739">
        <w:t xml:space="preserve">, celebrating the American and Popular Revolutions as demonstrative of fraternal unity, and </w:t>
      </w:r>
      <w:r w:rsidR="002F2941">
        <w:t>Britons now freely</w:t>
      </w:r>
      <w:r w:rsidR="00AA004E">
        <w:t xml:space="preserve"> celebrated their own culture. </w:t>
      </w:r>
      <w:r w:rsidR="00C475DF">
        <w:t>Additionally, the British radical movement made its influence known in the United States</w:t>
      </w:r>
      <w:r w:rsidR="007F2842">
        <w:t>, advocating the same principles of legal codification</w:t>
      </w:r>
      <w:r w:rsidR="009C5FFF">
        <w:rPr>
          <w:rStyle w:val="EndnoteReference"/>
        </w:rPr>
        <w:endnoteReference w:id="217"/>
      </w:r>
      <w:r w:rsidR="007F2842">
        <w:t xml:space="preserve">, </w:t>
      </w:r>
      <w:r w:rsidR="00634C84">
        <w:t xml:space="preserve">secrecy of the ballot, land </w:t>
      </w:r>
      <w:r w:rsidR="00E112B9">
        <w:t>reform</w:t>
      </w:r>
      <w:r w:rsidR="00634C84">
        <w:t xml:space="preserve">, and </w:t>
      </w:r>
      <w:r w:rsidR="00613E07">
        <w:t xml:space="preserve">civil </w:t>
      </w:r>
      <w:r w:rsidR="009F64C5">
        <w:t>service</w:t>
      </w:r>
      <w:r w:rsidR="00613E07">
        <w:t xml:space="preserve"> examinations that </w:t>
      </w:r>
      <w:r w:rsidR="00D1203D">
        <w:t>had made such waves in the British Isles</w:t>
      </w:r>
      <w:r w:rsidR="00E112B9">
        <w:t>; indeed, the influence was</w:t>
      </w:r>
      <w:r w:rsidR="00147F95">
        <w:t xml:space="preserve"> such that, in the United States, the secret ballot came to be known as the “English Ballot”</w:t>
      </w:r>
      <w:r w:rsidR="003A6765">
        <w:rPr>
          <w:rStyle w:val="EndnoteReference"/>
        </w:rPr>
        <w:endnoteReference w:id="218"/>
      </w:r>
      <w:r w:rsidR="00147F95">
        <w:t>.</w:t>
      </w:r>
      <w:r w:rsidR="00C475DF">
        <w:t xml:space="preserve"> </w:t>
      </w:r>
      <w:r w:rsidR="002A3976">
        <w:t>Thus emerged the British diaspora</w:t>
      </w:r>
      <w:r w:rsidR="008F1275">
        <w:t xml:space="preserve"> as a structured </w:t>
      </w:r>
      <w:r w:rsidR="00D56B8B">
        <w:t>institution</w:t>
      </w:r>
      <w:r w:rsidR="008F1275">
        <w:t xml:space="preserve"> in the</w:t>
      </w:r>
      <w:r w:rsidR="0021518C">
        <w:t xml:space="preserve"> United States. </w:t>
      </w:r>
      <w:r w:rsidR="004E710B">
        <w:t>And though its formation was not met with universal approval from the American people</w:t>
      </w:r>
      <w:r w:rsidR="002E1118">
        <w:t xml:space="preserve"> – </w:t>
      </w:r>
      <w:r w:rsidR="000A0A72">
        <w:t>the Republican Party decidedly became the anti-immigrant party</w:t>
      </w:r>
      <w:r w:rsidR="009F50CC">
        <w:t xml:space="preserve"> partially in opposition to this new British immigration wave</w:t>
      </w:r>
      <w:r w:rsidR="000A0A72">
        <w:t xml:space="preserve">, and </w:t>
      </w:r>
      <w:r w:rsidR="002E1118">
        <w:t xml:space="preserve">in the South, </w:t>
      </w:r>
      <w:r w:rsidR="00DD2DF0">
        <w:t>British societies</w:t>
      </w:r>
      <w:r w:rsidR="002E1118">
        <w:t xml:space="preserve"> were regarded as abolitionist and swiftly suppressed</w:t>
      </w:r>
      <w:r w:rsidR="00504943">
        <w:rPr>
          <w:rStyle w:val="EndnoteReference"/>
        </w:rPr>
        <w:endnoteReference w:id="219"/>
      </w:r>
      <w:r w:rsidR="002E1118">
        <w:t xml:space="preserve"> – </w:t>
      </w:r>
      <w:r w:rsidR="004E710B">
        <w:t>that it could exist at all demonstrated the extent to which the Popular Revolution</w:t>
      </w:r>
      <w:r w:rsidR="002E76BB">
        <w:t xml:space="preserve"> had changed relations between the United States and the British Isles. </w:t>
      </w:r>
      <w:r w:rsidR="000822DF">
        <w:t>With the improvement of shipping times, t</w:t>
      </w:r>
      <w:r w:rsidR="002E76BB">
        <w:t xml:space="preserve">he 1830s also saw immigrants from further afield, including from </w:t>
      </w:r>
      <w:r w:rsidR="008149BD">
        <w:lastRenderedPageBreak/>
        <w:t>Scandinavia</w:t>
      </w:r>
      <w:r w:rsidR="0062002E">
        <w:t xml:space="preserve"> and the Balkans</w:t>
      </w:r>
      <w:r w:rsidR="00AC7D50">
        <w:t>; although they came in small numbers</w:t>
      </w:r>
      <w:r w:rsidR="005F7F86">
        <w:t xml:space="preserve">, this lay the groundwork for larger migrations down the line. </w:t>
      </w:r>
    </w:p>
    <w:p w14:paraId="56D4AE79" w14:textId="14EBA9AB" w:rsidR="00A76E2E" w:rsidRDefault="00A76E2E" w:rsidP="00790365">
      <w:r>
        <w:t>Immigration continued in large numbers</w:t>
      </w:r>
      <w:r w:rsidR="000A0A72">
        <w:t xml:space="preserve"> over the 1840s</w:t>
      </w:r>
      <w:r w:rsidR="003979F1">
        <w:t xml:space="preserve">, but where it began to splutter was </w:t>
      </w:r>
      <w:r w:rsidR="000A2FA8">
        <w:t xml:space="preserve">with the outbreak of war in Europe. </w:t>
      </w:r>
      <w:r w:rsidR="008269A9">
        <w:t>With the Danish War of Succession in 1847, combined with the</w:t>
      </w:r>
      <w:r w:rsidR="00496603">
        <w:t xml:space="preserve"> New </w:t>
      </w:r>
      <w:proofErr w:type="spellStart"/>
      <w:r w:rsidR="00496603">
        <w:t>Granadine</w:t>
      </w:r>
      <w:proofErr w:type="spellEnd"/>
      <w:r w:rsidR="00496603">
        <w:t xml:space="preserve"> War of Independence in 1848, European immigration nosedived</w:t>
      </w:r>
      <w:r w:rsidR="003C1628">
        <w:t xml:space="preserve"> because the sea and land routes</w:t>
      </w:r>
      <w:r w:rsidR="00DD72C7">
        <w:t xml:space="preserve"> to America</w:t>
      </w:r>
      <w:r w:rsidR="003C1628">
        <w:t xml:space="preserve"> fell into war</w:t>
      </w:r>
      <w:r w:rsidR="00496603">
        <w:t>. This had several consequences. With American settlement in the West underway</w:t>
      </w:r>
      <w:r w:rsidR="009F7FEF">
        <w:t>, large numbers of Americans were continually migrating to the frontier</w:t>
      </w:r>
      <w:r w:rsidR="001740E9">
        <w:t>, wages</w:t>
      </w:r>
      <w:r w:rsidR="00F86B33">
        <w:t xml:space="preserve"> were only low enough to support industry due to mass immigration</w:t>
      </w:r>
      <w:r w:rsidR="000E644D">
        <w:t>; this being cut off meant</w:t>
      </w:r>
      <w:r w:rsidR="00AC5FE6">
        <w:t xml:space="preserve"> wages</w:t>
      </w:r>
      <w:r w:rsidR="00EA4B62">
        <w:t xml:space="preserve"> spiked, and it put American industry at risk</w:t>
      </w:r>
      <w:r w:rsidR="00EE6526">
        <w:t xml:space="preserve"> as it suddenly became unprofitable</w:t>
      </w:r>
      <w:r w:rsidR="00EA4B62">
        <w:t>. The United States had more immediately resolved this by, in the South</w:t>
      </w:r>
      <w:r w:rsidR="006577B8">
        <w:t xml:space="preserve"> by</w:t>
      </w:r>
      <w:r w:rsidR="00EA4B62">
        <w:t xml:space="preserve"> </w:t>
      </w:r>
      <w:r w:rsidR="006577B8">
        <w:t>expanding slavery into more and more occupations, and in the North by</w:t>
      </w:r>
      <w:r w:rsidR="00AA76CB">
        <w:t xml:space="preserve"> bringing in the very same poor white Southerners who were forced</w:t>
      </w:r>
      <w:r w:rsidR="009B7FE2">
        <w:t xml:space="preserve"> out of their jobs by </w:t>
      </w:r>
      <w:r w:rsidR="001D71D6">
        <w:t xml:space="preserve">the expansion of slavery. </w:t>
      </w:r>
      <w:r w:rsidR="00167E51">
        <w:t>This Great Migration had a massive impact on the United States and brought the nation inexorably towards civil war</w:t>
      </w:r>
      <w:r w:rsidR="00B41D6B">
        <w:t xml:space="preserve">. But it was only a temporary solution to the problem of </w:t>
      </w:r>
      <w:r w:rsidR="00C57785">
        <w:t>war interrupting migration</w:t>
      </w:r>
      <w:r w:rsidR="00C14A87">
        <w:t xml:space="preserve">; Webster sent immigration agents into the Balkans and the rest of Eastern Europe to </w:t>
      </w:r>
      <w:r w:rsidR="00E921F3">
        <w:t xml:space="preserve">get new </w:t>
      </w:r>
      <w:r w:rsidR="00200116">
        <w:t>arrivals</w:t>
      </w:r>
      <w:r w:rsidR="00F27BE7">
        <w:t>.</w:t>
      </w:r>
      <w:r w:rsidR="00E921F3">
        <w:t xml:space="preserve"> </w:t>
      </w:r>
      <w:r w:rsidR="00F27BE7">
        <w:t>I</w:t>
      </w:r>
      <w:r w:rsidR="00E921F3">
        <w:t xml:space="preserve">t would take some time for this process to be anything more than a trickle, but at least the process had begun, and it would bear fruit in later years. </w:t>
      </w:r>
    </w:p>
    <w:p w14:paraId="00794A37" w14:textId="020FEEC0" w:rsidR="00AD0824" w:rsidRDefault="00AD0824" w:rsidP="00790365">
      <w:r>
        <w:t xml:space="preserve">It would bear fruit under Stockton, in fact. With the end of war in Europe, bottled-up immigration suddenly poured into the United States; large numbers of Germans came and settled both out in the West, </w:t>
      </w:r>
      <w:r w:rsidR="00B66FB5">
        <w:t>to work as farmers</w:t>
      </w:r>
      <w:r>
        <w:t xml:space="preserve">, and in the cities, to </w:t>
      </w:r>
      <w:r w:rsidR="00B66FB5">
        <w:t>work in factories</w:t>
      </w:r>
      <w:r w:rsidR="00192948">
        <w:t xml:space="preserve">. In contrast to the Irish diaspora, Germans tended to be staid and apolitical, political exiles preferring to emigrate to France or </w:t>
      </w:r>
      <w:proofErr w:type="spellStart"/>
      <w:r w:rsidR="00192948">
        <w:t>Tellia</w:t>
      </w:r>
      <w:proofErr w:type="spellEnd"/>
      <w:r w:rsidR="004A4DDB">
        <w:rPr>
          <w:rStyle w:val="EndnoteReference"/>
        </w:rPr>
        <w:endnoteReference w:id="220"/>
      </w:r>
      <w:r w:rsidR="00192948">
        <w:t xml:space="preserve"> – but</w:t>
      </w:r>
      <w:r w:rsidR="00541E18">
        <w:t xml:space="preserve"> that</w:t>
      </w:r>
      <w:r w:rsidR="00192948">
        <w:t xml:space="preserve"> this</w:t>
      </w:r>
      <w:r w:rsidR="00541E18">
        <w:t xml:space="preserve"> strengthened the</w:t>
      </w:r>
      <w:r w:rsidR="00066A7A">
        <w:t xml:space="preserve"> extant free labor movement, and it</w:t>
      </w:r>
      <w:r w:rsidR="00192948">
        <w:t xml:space="preserve"> began to shape burgeoning </w:t>
      </w:r>
      <w:r w:rsidR="001776CF">
        <w:t>antislavery opinion</w:t>
      </w:r>
      <w:r w:rsidR="008930CA">
        <w:t xml:space="preserve">, and with available land filling up, it put </w:t>
      </w:r>
      <w:r w:rsidR="00522C7D">
        <w:t>pressure to open</w:t>
      </w:r>
      <w:r w:rsidR="00441C2D">
        <w:t xml:space="preserve"> the </w:t>
      </w:r>
      <w:r w:rsidR="00441C2D">
        <w:lastRenderedPageBreak/>
        <w:t xml:space="preserve">West further. </w:t>
      </w:r>
      <w:r w:rsidR="008D23E9">
        <w:t xml:space="preserve">The fall of Rome </w:t>
      </w:r>
      <w:r w:rsidR="00743A93">
        <w:t>and the flight of the Papacy to Spain had serious</w:t>
      </w:r>
      <w:r w:rsidR="007F1FC4">
        <w:t xml:space="preserve"> impacts all around the Catholic world – and when it </w:t>
      </w:r>
      <w:proofErr w:type="spellStart"/>
      <w:r w:rsidR="007F1FC4">
        <w:t>schismed</w:t>
      </w:r>
      <w:proofErr w:type="spellEnd"/>
      <w:r w:rsidR="007F1FC4">
        <w:t xml:space="preserve"> into the Roman and several Independent Catholic Churches, the depths at which Catholicism had planted itself in the United States meant it had waves here, too – even if most Americans Catholics ended up</w:t>
      </w:r>
      <w:r w:rsidR="00B25AAD">
        <w:t xml:space="preserve"> rallying behind the Pope</w:t>
      </w:r>
      <w:r w:rsidR="005A19F6">
        <w:rPr>
          <w:rStyle w:val="EndnoteReference"/>
        </w:rPr>
        <w:endnoteReference w:id="221"/>
      </w:r>
      <w:r w:rsidR="00B25AAD">
        <w:t>.</w:t>
      </w:r>
      <w:r w:rsidR="008D23E9">
        <w:t xml:space="preserve"> </w:t>
      </w:r>
      <w:r w:rsidR="007E46FE">
        <w:t>Additionally came many Italians</w:t>
      </w:r>
      <w:r w:rsidR="00A344DE">
        <w:t xml:space="preserve"> – for much of the nineteenth century, Italians had been migrating to France, but bad relations with the rise of Mazzini</w:t>
      </w:r>
      <w:r w:rsidR="00E05CFB">
        <w:t xml:space="preserve"> had made France a little less welcoming to them – and though it never ended up</w:t>
      </w:r>
      <w:r w:rsidR="00CB7C4A">
        <w:t xml:space="preserve"> large, nevertheless the United States did end up </w:t>
      </w:r>
      <w:r w:rsidR="00EC56A4">
        <w:t>getting an Italian minority</w:t>
      </w:r>
      <w:r w:rsidR="001C1BBF">
        <w:t>. That, with the recent schism, many of them were Independent Catholics rather than the Roman Catholicism or ordinary Protestantism of most immigrants, meant they had something of a</w:t>
      </w:r>
      <w:r w:rsidR="00991226">
        <w:t xml:space="preserve">n in-built community network; with Italian Independent Catholicism, as it emerged, being strongly Mazzinian and Mazzini being strongly ideological and abolitionist, this meant almost immediately this church was meshed into the abolitionist movement. </w:t>
      </w:r>
      <w:r w:rsidR="00BB45C5">
        <w:t>Thus, though it was small, the Italian diaspora in America</w:t>
      </w:r>
      <w:r w:rsidR="00287DB3">
        <w:t xml:space="preserve"> had a massive and outsized impact on the burgeoning changes that would dramatically reshape the United States. </w:t>
      </w:r>
      <w:r w:rsidR="00D06F58">
        <w:t>And though the great Garibaldi had yet to step foot in America at this point, the groundwork for his entry was clearly laid</w:t>
      </w:r>
      <w:r w:rsidR="00200116">
        <w:rPr>
          <w:rStyle w:val="EndnoteReference"/>
        </w:rPr>
        <w:endnoteReference w:id="222"/>
      </w:r>
      <w:r w:rsidR="00D06F58">
        <w:t xml:space="preserve">. </w:t>
      </w:r>
      <w:r w:rsidR="0036382E">
        <w:t xml:space="preserve">Additionally came immigrants from Eastern Europe, especially </w:t>
      </w:r>
      <w:r w:rsidR="0012113F">
        <w:t>Bulgarians</w:t>
      </w:r>
      <w:r w:rsidR="00DA1C69">
        <w:t>, in large numbers</w:t>
      </w:r>
      <w:r w:rsidR="0036382E">
        <w:t xml:space="preserve">. </w:t>
      </w:r>
      <w:r w:rsidR="00254805">
        <w:t>This was something unusual, for they did not come from Western Europe; additionally, their Orthodoxy was neither Catholic nor Protestant</w:t>
      </w:r>
      <w:r w:rsidR="00361900">
        <w:t>.</w:t>
      </w:r>
      <w:r w:rsidR="00254805">
        <w:t xml:space="preserve"> </w:t>
      </w:r>
      <w:r w:rsidR="00361900">
        <w:t>N</w:t>
      </w:r>
      <w:r w:rsidR="00254805">
        <w:t>or was it like Independent Catholicism, something in between</w:t>
      </w:r>
      <w:r w:rsidR="00361900">
        <w:t>; the origins of Orthodoxy came well before the Reformation after all</w:t>
      </w:r>
      <w:r w:rsidR="00254805">
        <w:t xml:space="preserve">. </w:t>
      </w:r>
      <w:r w:rsidR="001D2209">
        <w:t>Absorbing them as immigrants</w:t>
      </w:r>
      <w:r w:rsidR="00181EB7">
        <w:t xml:space="preserve"> was a tough process – </w:t>
      </w:r>
      <w:r w:rsidR="005D745B">
        <w:t>but</w:t>
      </w:r>
      <w:r w:rsidR="00181EB7">
        <w:t xml:space="preserve"> ultimately, these Orthodox Christians were considered not unlike Episcopalians, as Protestant but </w:t>
      </w:r>
      <w:proofErr w:type="gramStart"/>
      <w:r w:rsidR="00181EB7">
        <w:t>definitely close</w:t>
      </w:r>
      <w:proofErr w:type="gramEnd"/>
      <w:r w:rsidR="00181EB7">
        <w:t xml:space="preserve"> to the “Popish” side</w:t>
      </w:r>
      <w:r w:rsidR="009674BD">
        <w:rPr>
          <w:rStyle w:val="EndnoteReference"/>
        </w:rPr>
        <w:endnoteReference w:id="223"/>
      </w:r>
      <w:r w:rsidR="00181EB7">
        <w:t xml:space="preserve">. </w:t>
      </w:r>
    </w:p>
    <w:p w14:paraId="0365E41A" w14:textId="107972F3" w:rsidR="00533363" w:rsidRPr="00E1206C" w:rsidRDefault="00533363" w:rsidP="00790365">
      <w:r>
        <w:t xml:space="preserve">Thus, the Stockton administration saw the rise of </w:t>
      </w:r>
      <w:r w:rsidR="00EC039C">
        <w:t>a new and more pluralistic immigrant population, who created new exclaves</w:t>
      </w:r>
      <w:r w:rsidR="00C555AC">
        <w:t xml:space="preserve"> in the booming cities of the North</w:t>
      </w:r>
      <w:r w:rsidR="005C62F1">
        <w:t xml:space="preserve"> and made their mark on </w:t>
      </w:r>
      <w:proofErr w:type="gramStart"/>
      <w:r w:rsidR="005C62F1">
        <w:t>society as a whole</w:t>
      </w:r>
      <w:proofErr w:type="gramEnd"/>
      <w:r w:rsidR="00BB198B">
        <w:t xml:space="preserve">. </w:t>
      </w:r>
      <w:r w:rsidR="002D5774">
        <w:t xml:space="preserve">The United States was becoming a different country, and that most immigrants </w:t>
      </w:r>
      <w:r w:rsidR="002D5774">
        <w:lastRenderedPageBreak/>
        <w:t xml:space="preserve">came to the North only helped to reinforce its numerical majority. </w:t>
      </w:r>
      <w:r w:rsidR="009E2B72">
        <w:t>The difference between a North of diverse free labor and yeomen-farmers, and a South of planter feudalism and slavery, only became more astute</w:t>
      </w:r>
      <w:r w:rsidR="00530274">
        <w:t>; the economies of both diverged, and they increasingly looked to different directions</w:t>
      </w:r>
      <w:r w:rsidR="00F84732">
        <w:t>. Something needed to break – and it</w:t>
      </w:r>
      <w:r w:rsidR="002A646B">
        <w:t xml:space="preserve"> ultimately</w:t>
      </w:r>
      <w:r w:rsidR="00F84732">
        <w:t xml:space="preserve"> did. </w:t>
      </w:r>
    </w:p>
    <w:p w14:paraId="42059B4A" w14:textId="77777777" w:rsidR="00A679A0" w:rsidRDefault="00A679A0" w:rsidP="00A679A0">
      <w:r>
        <w:br w:type="page"/>
      </w:r>
    </w:p>
    <w:p w14:paraId="7022941B" w14:textId="77777777" w:rsidR="00C53B1B" w:rsidRDefault="00C53B1B" w:rsidP="00C53B1B"/>
    <w:p w14:paraId="7998C01F" w14:textId="77777777" w:rsidR="00C53B1B" w:rsidRDefault="00C53B1B" w:rsidP="00C53B1B">
      <w:pPr>
        <w:sectPr w:rsidR="00C53B1B" w:rsidSect="00C53B1B">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740F7040" w14:textId="77777777" w:rsidR="00C53B1B" w:rsidRDefault="00C53B1B" w:rsidP="00C53B1B">
      <w:r>
        <w:br w:type="page"/>
      </w:r>
    </w:p>
    <w:p w14:paraId="2ED2F838" w14:textId="5B25AD75" w:rsidR="00F43F40" w:rsidRDefault="00C53B1B" w:rsidP="00C53B1B">
      <w:pPr>
        <w:pStyle w:val="Heading1"/>
      </w:pPr>
      <w:bookmarkStart w:id="56" w:name="_Toc202006243"/>
      <w:r>
        <w:lastRenderedPageBreak/>
        <w:t>4</w:t>
      </w:r>
      <w:r w:rsidR="00F93DCA">
        <w:t>4</w:t>
      </w:r>
      <w:r>
        <w:t xml:space="preserve">. </w:t>
      </w:r>
      <w:r w:rsidR="00CC0736">
        <w:t>To be Heard</w:t>
      </w:r>
      <w:bookmarkEnd w:id="56"/>
    </w:p>
    <w:p w14:paraId="3D387103" w14:textId="6CFC3AB4" w:rsidR="006213B9" w:rsidRDefault="00106BFD" w:rsidP="006213B9">
      <w:r>
        <w:t xml:space="preserve">From its beginning in the backlash to the Missouri Compromise, </w:t>
      </w:r>
      <w:r w:rsidR="0050076F">
        <w:t xml:space="preserve">the abolitionist movement slowly became more structured and influential. </w:t>
      </w:r>
      <w:r w:rsidR="00F47A33">
        <w:t xml:space="preserve">Societies popped up </w:t>
      </w:r>
      <w:proofErr w:type="gramStart"/>
      <w:r w:rsidR="00F47A33">
        <w:t>all across</w:t>
      </w:r>
      <w:proofErr w:type="gramEnd"/>
      <w:r w:rsidR="00F47A33">
        <w:t xml:space="preserve"> the North</w:t>
      </w:r>
      <w:r w:rsidR="002D7D6F">
        <w:t xml:space="preserve"> bringing together</w:t>
      </w:r>
      <w:r w:rsidR="00C644BB">
        <w:t xml:space="preserve"> the free Coloreds of the North with </w:t>
      </w:r>
      <w:r w:rsidR="00B94BC3">
        <w:t>sympathetic white people</w:t>
      </w:r>
      <w:r w:rsidR="000A65AC">
        <w:t xml:space="preserve">, and they supported campaigns of petition, slave smuggling, and </w:t>
      </w:r>
      <w:r w:rsidR="00BA57A8">
        <w:t xml:space="preserve">jury nullification; though in proportion they were a distinct minority, in absolute terms they had hundreds of thousands of members, all giving their voice towards the end of slavery. </w:t>
      </w:r>
      <w:r w:rsidR="00532F84">
        <w:t>And in terms of politics they had two distinct wings:</w:t>
      </w:r>
      <w:r w:rsidR="00CA6902">
        <w:t xml:space="preserve"> one</w:t>
      </w:r>
      <w:r w:rsidR="00BD1C82">
        <w:t>, led by William Leggett,</w:t>
      </w:r>
      <w:r w:rsidR="00CA6902">
        <w:t xml:space="preserve"> wanted to </w:t>
      </w:r>
      <w:r w:rsidR="00BD1C82">
        <w:t>use electoral politics to take control of the Union, abandon all federal support of slavery, ban it in the territories, and end the interstate slave trade to bring slavery towards extension</w:t>
      </w:r>
      <w:r w:rsidR="00CA6902">
        <w:t>;</w:t>
      </w:r>
      <w:r w:rsidR="00532F84">
        <w:t xml:space="preserve"> </w:t>
      </w:r>
      <w:r w:rsidR="009035EB">
        <w:t>and the other</w:t>
      </w:r>
      <w:r w:rsidR="00E10053">
        <w:t xml:space="preserve">, led by </w:t>
      </w:r>
      <w:r w:rsidR="009035EB">
        <w:t>William Lloyd Garrison,</w:t>
      </w:r>
      <w:r w:rsidR="00532F84">
        <w:t xml:space="preserve"> wanted to </w:t>
      </w:r>
      <w:r w:rsidR="009035EB">
        <w:t>abandon the Constitution, hopelessly compromised by slavery, and break the Northern states out of the Union</w:t>
      </w:r>
      <w:r w:rsidR="006F3E01">
        <w:t>, which would leave a purified northern confederacy an</w:t>
      </w:r>
      <w:r w:rsidR="00CF277A">
        <w:t>d, without Northern support, leave Southern</w:t>
      </w:r>
      <w:r w:rsidR="00FD5830">
        <w:t xml:space="preserve"> slavery to die</w:t>
      </w:r>
      <w:r w:rsidR="009035EB">
        <w:t xml:space="preserve">. </w:t>
      </w:r>
      <w:r w:rsidR="00872CB8">
        <w:t>The former movement, under the banner of the Equal Rights Party</w:t>
      </w:r>
      <w:r w:rsidR="007B13A3">
        <w:t xml:space="preserve">, did achieve some successes; </w:t>
      </w:r>
      <w:r w:rsidR="002040C7">
        <w:t xml:space="preserve">protest votes against the </w:t>
      </w:r>
      <w:r w:rsidR="009826F0">
        <w:t xml:space="preserve">Planter Ascendancy </w:t>
      </w:r>
      <w:r w:rsidR="00AC03F4">
        <w:t xml:space="preserve">domination of both parties had led to it receiving over </w:t>
      </w:r>
      <w:r w:rsidR="00934E36">
        <w:t>five percent of the vote in 1840</w:t>
      </w:r>
      <w:r w:rsidR="00C26287">
        <w:t xml:space="preserve"> and it elected a few state legislators and even, on occasion, congressmen</w:t>
      </w:r>
      <w:r w:rsidR="00923506">
        <w:t>; the latter movement</w:t>
      </w:r>
      <w:r w:rsidR="00E64080">
        <w:t xml:space="preserve"> integrated into a global abolitionist movement </w:t>
      </w:r>
      <w:r w:rsidR="005A2C09">
        <w:t>including</w:t>
      </w:r>
      <w:r w:rsidR="00E64080">
        <w:t xml:space="preserve"> such </w:t>
      </w:r>
      <w:r w:rsidR="005A2C09">
        <w:t xml:space="preserve">radical luminaries as </w:t>
      </w:r>
      <w:r w:rsidR="00723836">
        <w:t xml:space="preserve">Harriet Martineau, </w:t>
      </w:r>
      <w:r w:rsidR="005A2C09">
        <w:t>Daniel O’Connell</w:t>
      </w:r>
      <w:r w:rsidR="00B23D59">
        <w:t>,</w:t>
      </w:r>
      <w:r w:rsidR="00F76FE4">
        <w:t xml:space="preserve"> and </w:t>
      </w:r>
      <w:r w:rsidR="00185A96">
        <w:t>Giuseppe Mazzini</w:t>
      </w:r>
      <w:r w:rsidR="00B63B2F">
        <w:t xml:space="preserve">, and as such it served to </w:t>
      </w:r>
      <w:r w:rsidR="00AA47DB">
        <w:t>embarrass the United States abroad</w:t>
      </w:r>
      <w:r w:rsidR="00EB6C1D">
        <w:rPr>
          <w:rStyle w:val="EndnoteReference"/>
        </w:rPr>
        <w:endnoteReference w:id="224"/>
      </w:r>
      <w:r w:rsidR="008451E7">
        <w:t>.</w:t>
      </w:r>
      <w:r w:rsidR="00AA47DB">
        <w:t xml:space="preserve"> </w:t>
      </w:r>
      <w:r w:rsidR="008451E7">
        <w:t>What this served to do was</w:t>
      </w:r>
      <w:r w:rsidR="00F5129F">
        <w:t xml:space="preserve"> </w:t>
      </w:r>
      <w:r w:rsidR="008451E7">
        <w:t>to bring in</w:t>
      </w:r>
      <w:r w:rsidR="00F5129F">
        <w:t xml:space="preserve"> focus </w:t>
      </w:r>
      <w:r w:rsidR="00141F89">
        <w:t>the difference between American freedom and the existence of slavery</w:t>
      </w:r>
      <w:r w:rsidR="00185A96">
        <w:t xml:space="preserve">. </w:t>
      </w:r>
    </w:p>
    <w:p w14:paraId="44D6CCD7" w14:textId="3F353B14" w:rsidR="00473581" w:rsidRDefault="00992E8C" w:rsidP="006213B9">
      <w:r>
        <w:t xml:space="preserve">With the 1844 election and the </w:t>
      </w:r>
      <w:r w:rsidR="00E930DF">
        <w:t>rise of Daniel Webster, suddenly the abolitionist movement faced</w:t>
      </w:r>
      <w:r w:rsidR="005223A3">
        <w:t xml:space="preserve"> </w:t>
      </w:r>
      <w:r w:rsidR="00E930DF">
        <w:t>a</w:t>
      </w:r>
      <w:r w:rsidR="005223A3">
        <w:t xml:space="preserve"> quite large threat. </w:t>
      </w:r>
      <w:r w:rsidR="00070B33">
        <w:t>For Webster had a reputation for being antislavery – to be sure, he was no abolitionist, but throughout his career he displayed a New Englander Puritan</w:t>
      </w:r>
      <w:r w:rsidR="007804B0">
        <w:t xml:space="preserve"> moralism, including a</w:t>
      </w:r>
      <w:r w:rsidR="00977274">
        <w:t xml:space="preserve"> firm</w:t>
      </w:r>
      <w:r w:rsidR="00070B33">
        <w:t xml:space="preserve"> opposition to slavery</w:t>
      </w:r>
      <w:r w:rsidR="00D0066D">
        <w:rPr>
          <w:rStyle w:val="EndnoteReference"/>
        </w:rPr>
        <w:endnoteReference w:id="225"/>
      </w:r>
      <w:r w:rsidR="00070B33">
        <w:t xml:space="preserve"> – and he was no </w:t>
      </w:r>
      <w:r w:rsidR="00AC352B">
        <w:t xml:space="preserve">doughface. Over his career, he had </w:t>
      </w:r>
      <w:r w:rsidR="00AC352B">
        <w:lastRenderedPageBreak/>
        <w:t>substantial support from abolitionists, even from William Lloyd Garrison</w:t>
      </w:r>
      <w:r w:rsidR="00864603">
        <w:t xml:space="preserve">, and </w:t>
      </w:r>
      <w:r w:rsidR="00135C83">
        <w:t>when h</w:t>
      </w:r>
      <w:r w:rsidR="005C50F1">
        <w:t>e won the candidacy of the Democratic Party, almost immediately m</w:t>
      </w:r>
      <w:r w:rsidR="00365BC9">
        <w:t>uch of the Equal Rights Party</w:t>
      </w:r>
      <w:r w:rsidR="00161D23">
        <w:t xml:space="preserve"> wanted to simply endorse him. In the end, </w:t>
      </w:r>
      <w:r w:rsidR="00AF6EDA">
        <w:t>these</w:t>
      </w:r>
      <w:r w:rsidR="00161D23">
        <w:t xml:space="preserve"> efforts failed, and </w:t>
      </w:r>
      <w:r w:rsidR="00B475D3">
        <w:t xml:space="preserve">the Equal Rights Party </w:t>
      </w:r>
      <w:r w:rsidR="00E279E7">
        <w:t xml:space="preserve">instead </w:t>
      </w:r>
      <w:r w:rsidR="00B475D3">
        <w:t xml:space="preserve">nominated William Jay, abolitionist son of the great John Jay, </w:t>
      </w:r>
      <w:r w:rsidR="00C612A4">
        <w:t xml:space="preserve">for the presidency. </w:t>
      </w:r>
      <w:r w:rsidR="006E29E6">
        <w:t>However, all could see that m</w:t>
      </w:r>
      <w:r w:rsidR="007804B0">
        <w:t>ost of th</w:t>
      </w:r>
      <w:r w:rsidR="00F32875">
        <w:t>ose who had voted for Leggett in 1840 would vote for Webster</w:t>
      </w:r>
      <w:r w:rsidR="00F340FD">
        <w:t xml:space="preserve"> – that </w:t>
      </w:r>
      <w:r w:rsidR="00167F09">
        <w:t>his candidacy</w:t>
      </w:r>
      <w:r w:rsidR="00F340FD">
        <w:t xml:space="preserve"> was blamed for the re-election of Pike only added to the whispers of scandal –</w:t>
      </w:r>
      <w:r w:rsidR="008A32CF">
        <w:t xml:space="preserve"> and come </w:t>
      </w:r>
      <w:r w:rsidR="00CA469F">
        <w:t xml:space="preserve">the election, Jay won less than one percent of the vote. </w:t>
      </w:r>
      <w:r w:rsidR="00621225">
        <w:t xml:space="preserve">The government no longer seemed </w:t>
      </w:r>
      <w:r w:rsidR="00657318">
        <w:t xml:space="preserve">to be fallen to the Planter Ascendancy, and most American foes of slavery were perfectly willing to </w:t>
      </w:r>
      <w:r w:rsidR="0031029D">
        <w:t>support Webster and hope he</w:t>
      </w:r>
      <w:r w:rsidR="00960928">
        <w:t xml:space="preserve">’d truly establish the principle “Slavery Local, Freedom National”. </w:t>
      </w:r>
    </w:p>
    <w:p w14:paraId="36583B14" w14:textId="18FF5CD4" w:rsidR="00B03471" w:rsidRDefault="00B03471" w:rsidP="006213B9">
      <w:r>
        <w:t xml:space="preserve">The Webster administration had a mixed reputation among the abolitionist movement – but he did </w:t>
      </w:r>
      <w:r w:rsidR="00DF6D20">
        <w:t>spring off the most moderate section of it.</w:t>
      </w:r>
      <w:r w:rsidR="004F0230">
        <w:t xml:space="preserve"> His appointing of fugitive slave commissioners who were willing to accept</w:t>
      </w:r>
      <w:r w:rsidR="00835084">
        <w:t xml:space="preserve"> jury nullification, immediately put an end to the much-mooted critique that </w:t>
      </w:r>
      <w:r w:rsidR="00AA5E20">
        <w:t xml:space="preserve">the Planter Ascendancy was </w:t>
      </w:r>
      <w:r w:rsidR="002A257C">
        <w:t xml:space="preserve">smothering jury rights through </w:t>
      </w:r>
      <w:r w:rsidR="00470771">
        <w:t>the</w:t>
      </w:r>
      <w:r w:rsidR="008B33B2">
        <w:t xml:space="preserve"> Fugitive Slave Act</w:t>
      </w:r>
      <w:r w:rsidR="00C133FB">
        <w:t xml:space="preserve">. But what truly divided the abolitionist movement was </w:t>
      </w:r>
      <w:r w:rsidR="00FE7E10">
        <w:t>the renewal of the Bank</w:t>
      </w:r>
      <w:r w:rsidR="009B19F4">
        <w:t xml:space="preserve"> of the United States</w:t>
      </w:r>
      <w:r w:rsidR="00FE7E10">
        <w:t xml:space="preserve">. </w:t>
      </w:r>
      <w:r w:rsidR="00271DAA">
        <w:t xml:space="preserve">By itself, the </w:t>
      </w:r>
      <w:r w:rsidR="009B19F4">
        <w:t xml:space="preserve">National Bank issue </w:t>
      </w:r>
      <w:r w:rsidR="00D90FEB">
        <w:t>greatly divided American politics, and even within the abolitionist movement</w:t>
      </w:r>
      <w:r w:rsidR="00406EC9">
        <w:t xml:space="preserve"> </w:t>
      </w:r>
      <w:r w:rsidR="00303158">
        <w:t>anti-Bank figures</w:t>
      </w:r>
      <w:r w:rsidR="00406EC9">
        <w:t xml:space="preserve"> like William Leggett who came to abolitionism by supporting laissez-faire principles clashed with </w:t>
      </w:r>
      <w:r w:rsidR="00C434B5">
        <w:t>others</w:t>
      </w:r>
      <w:r w:rsidR="00406EC9">
        <w:t xml:space="preserve"> who considered the National Bank </w:t>
      </w:r>
      <w:r w:rsidR="00935635">
        <w:t xml:space="preserve">a useful institution that could be directed against </w:t>
      </w:r>
      <w:r w:rsidR="00BE1999">
        <w:t xml:space="preserve">slavery to promote freedom. </w:t>
      </w:r>
      <w:r w:rsidR="007366FE">
        <w:t xml:space="preserve">But more immediately came </w:t>
      </w:r>
      <w:r w:rsidR="004E7C05">
        <w:t>the terms of the renewal; the Bank deported the slaves it owned to Fredonia</w:t>
      </w:r>
      <w:r w:rsidR="00810620">
        <w:t xml:space="preserve">, where they would be free </w:t>
      </w:r>
      <w:r w:rsidR="00AB6884">
        <w:t>inhabitants</w:t>
      </w:r>
      <w:r w:rsidR="00BD2A5D">
        <w:t xml:space="preserve"> of that country</w:t>
      </w:r>
      <w:r w:rsidR="004E7C05">
        <w:t xml:space="preserve">. </w:t>
      </w:r>
      <w:r w:rsidR="00A06CCF">
        <w:t>This hammered at a critical divide within the antislavery movement, between those who believed</w:t>
      </w:r>
      <w:r w:rsidR="00B76A79">
        <w:t xml:space="preserve"> Colored Americans should be admitted as equal citizens, and those who instead believed </w:t>
      </w:r>
      <w:r w:rsidR="00D60C4A">
        <w:t xml:space="preserve">they should be deported and </w:t>
      </w:r>
      <w:r w:rsidR="00C533D6">
        <w:t>America become a lily-white republic</w:t>
      </w:r>
      <w:r w:rsidR="00811D05">
        <w:t xml:space="preserve"> – those of the former persuasion, which included virtually the entire free Colored population of the North, damned this as simply another demonstration of the power of the </w:t>
      </w:r>
      <w:r w:rsidR="001D50D7">
        <w:t>Planter Ascendancy</w:t>
      </w:r>
      <w:r w:rsidR="00C533D6">
        <w:t xml:space="preserve">. </w:t>
      </w:r>
      <w:r w:rsidR="007835FD">
        <w:t xml:space="preserve">But it </w:t>
      </w:r>
      <w:r w:rsidR="007835FD">
        <w:lastRenderedPageBreak/>
        <w:t xml:space="preserve">cleaved those of the latter persuasion from the </w:t>
      </w:r>
      <w:r w:rsidR="00EE1B87">
        <w:t xml:space="preserve">abolitionist movement, and the Democrats increasingly </w:t>
      </w:r>
      <w:r w:rsidR="00585882">
        <w:t>mobilized followers of</w:t>
      </w:r>
      <w:r w:rsidR="00EE1B87">
        <w:t xml:space="preserve"> a </w:t>
      </w:r>
      <w:r w:rsidR="00585882">
        <w:t xml:space="preserve">sort of lily-white </w:t>
      </w:r>
      <w:r w:rsidR="00EE39FC">
        <w:t>free-soil</w:t>
      </w:r>
      <w:r w:rsidR="00585882">
        <w:t xml:space="preserve"> ideology</w:t>
      </w:r>
      <w:r w:rsidR="00641174">
        <w:t xml:space="preserve">. Thus, the abolitionist movement found itself reduced in size, </w:t>
      </w:r>
      <w:r w:rsidR="00AE6E04">
        <w:t>but it now emphatically supported</w:t>
      </w:r>
      <w:r w:rsidR="00243A1F">
        <w:t xml:space="preserve"> equal rights</w:t>
      </w:r>
      <w:r w:rsidR="00670D82">
        <w:t xml:space="preserve"> for the </w:t>
      </w:r>
      <w:r w:rsidR="00512FDE">
        <w:t>races,</w:t>
      </w:r>
      <w:r w:rsidR="009A084A">
        <w:t xml:space="preserve"> and it found itself a closer and more radical affair. </w:t>
      </w:r>
    </w:p>
    <w:p w14:paraId="74173A2A" w14:textId="65E915B5" w:rsidR="0095439B" w:rsidRDefault="0095439B" w:rsidP="006213B9">
      <w:r>
        <w:t xml:space="preserve">Nevertheless, that Webster permitted jury nullification of the </w:t>
      </w:r>
      <w:r w:rsidR="00061871">
        <w:t>Fugitive Slave Act</w:t>
      </w:r>
      <w:r w:rsidR="004C14C4">
        <w:t>, and that he refused to bend to planter threats,</w:t>
      </w:r>
      <w:r w:rsidR="00061871">
        <w:t xml:space="preserve"> gave him credit from a large section of the </w:t>
      </w:r>
      <w:r w:rsidR="00343020">
        <w:t>abolitionist movement</w:t>
      </w:r>
      <w:r w:rsidR="0014000F">
        <w:t xml:space="preserve"> and he continued to have the support from the very same moralists who supported</w:t>
      </w:r>
      <w:r w:rsidR="00B57E0E">
        <w:t xml:space="preserve"> abolitionism</w:t>
      </w:r>
      <w:r w:rsidR="00C441AB">
        <w:t>. W</w:t>
      </w:r>
      <w:r w:rsidR="00BC6864">
        <w:t xml:space="preserve">hen it came time for the 1848 election, </w:t>
      </w:r>
      <w:r w:rsidR="009F2C99">
        <w:t>to avoid</w:t>
      </w:r>
      <w:r w:rsidR="00D84D8E">
        <w:t xml:space="preserve"> an 1844-style electoral catastrophe</w:t>
      </w:r>
      <w:r w:rsidR="00C441AB">
        <w:t xml:space="preserve"> and fearing the election of John C. Calhoun</w:t>
      </w:r>
      <w:r w:rsidR="00D84D8E">
        <w:t xml:space="preserve">, it </w:t>
      </w:r>
      <w:r w:rsidR="00A21A9D">
        <w:t xml:space="preserve">endorsed Daniel Webster. A small splinter ticket, led by </w:t>
      </w:r>
      <w:r w:rsidR="00880A7B">
        <w:t>the abolitionist industrialist Gerritt Smith</w:t>
      </w:r>
      <w:r w:rsidR="0020271E">
        <w:t>, entirely faltered, and though Webster’s narrow victory</w:t>
      </w:r>
      <w:r w:rsidR="00D76331">
        <w:t xml:space="preserve"> was a vindication of the nation against the very embodiment of the Planter Ascendancy</w:t>
      </w:r>
      <w:r w:rsidR="004A724A">
        <w:t xml:space="preserve">, it nevertheless weakened the Equal Rights Party’s cohesion. </w:t>
      </w:r>
      <w:r w:rsidR="0092394C">
        <w:t xml:space="preserve">The </w:t>
      </w:r>
      <w:r w:rsidR="00260B3E">
        <w:t>Second Nullification and Juniper</w:t>
      </w:r>
      <w:r w:rsidR="0092394C">
        <w:t xml:space="preserve"> </w:t>
      </w:r>
      <w:r w:rsidR="00260B3E">
        <w:t>C</w:t>
      </w:r>
      <w:r w:rsidR="0092394C">
        <w:t>rises saw</w:t>
      </w:r>
      <w:r w:rsidR="00096A21">
        <w:t xml:space="preserve"> further numbers of abolitionists rally behind President Webster – and when he died, they sincerely mourned him</w:t>
      </w:r>
      <w:r w:rsidR="00C67795">
        <w:t xml:space="preserve"> as a hero</w:t>
      </w:r>
      <w:r w:rsidR="00096A21">
        <w:t xml:space="preserve">. </w:t>
      </w:r>
      <w:r w:rsidR="00EC1CA6">
        <w:t xml:space="preserve">This </w:t>
      </w:r>
      <w:r w:rsidR="000F36C6">
        <w:t xml:space="preserve">all fundamentally weakened the </w:t>
      </w:r>
      <w:r w:rsidR="008975B5">
        <w:t xml:space="preserve">old structures of the abolitionist movement, especially the mainstay of the Equal Rights Party; even Garrison’s </w:t>
      </w:r>
      <w:r w:rsidR="003232FA">
        <w:t>anti-</w:t>
      </w:r>
      <w:r w:rsidR="003739E7">
        <w:t>participation saw itself discredited by Webster’s undoubted success</w:t>
      </w:r>
      <w:r w:rsidR="00C66B4A">
        <w:t>, although less so</w:t>
      </w:r>
      <w:r w:rsidR="003739E7">
        <w:t xml:space="preserve">. </w:t>
      </w:r>
      <w:r w:rsidR="00A96C8F">
        <w:t>Something needed to change</w:t>
      </w:r>
      <w:r w:rsidR="00AB0EBF">
        <w:t xml:space="preserve"> to revitalize the movement</w:t>
      </w:r>
      <w:r w:rsidR="00A96C8F">
        <w:t xml:space="preserve"> – and it did. </w:t>
      </w:r>
    </w:p>
    <w:p w14:paraId="5E653312" w14:textId="7798745F" w:rsidR="00A940DF" w:rsidRDefault="00A940DF" w:rsidP="006213B9">
      <w:r>
        <w:t xml:space="preserve">In 1851, </w:t>
      </w:r>
      <w:r w:rsidR="002A6BB1">
        <w:t>Italy saw</w:t>
      </w:r>
      <w:r w:rsidR="00A31F01">
        <w:t xml:space="preserve"> the climax of </w:t>
      </w:r>
      <w:r w:rsidR="007C1AE4">
        <w:t>the</w:t>
      </w:r>
      <w:r w:rsidR="0034345B">
        <w:t xml:space="preserve"> Risorgimento when </w:t>
      </w:r>
      <w:r w:rsidR="0040016E">
        <w:t xml:space="preserve">Giuseppe Mazzini, and the Young Italy he led, </w:t>
      </w:r>
      <w:r w:rsidR="006177FB">
        <w:t xml:space="preserve">took control of the Italian republics in </w:t>
      </w:r>
      <w:r w:rsidR="005F1DD4">
        <w:t xml:space="preserve">a strike which </w:t>
      </w:r>
      <w:r w:rsidR="00F343FC">
        <w:t>was, at once, a coup d’etat and a</w:t>
      </w:r>
      <w:r w:rsidR="005B0C68">
        <w:t xml:space="preserve"> constitutional</w:t>
      </w:r>
      <w:r w:rsidR="00F343FC">
        <w:t xml:space="preserve"> electoral</w:t>
      </w:r>
      <w:r w:rsidR="005B0C68">
        <w:t xml:space="preserve"> victory</w:t>
      </w:r>
      <w:r w:rsidR="00FA7FC3">
        <w:t xml:space="preserve">. Not long afterwards, Mazzini took decisive action to </w:t>
      </w:r>
      <w:r w:rsidR="004758AE">
        <w:t>sideline the French who had, since</w:t>
      </w:r>
      <w:r w:rsidR="001E11DF">
        <w:t xml:space="preserve"> conquering them</w:t>
      </w:r>
      <w:r w:rsidR="004758AE">
        <w:t xml:space="preserve"> the War of the French Revolution, been </w:t>
      </w:r>
      <w:r w:rsidR="00847486">
        <w:t>the overlords of the Italian republics, and he then signed a separate peace with Austria</w:t>
      </w:r>
      <w:r w:rsidR="00443416">
        <w:t xml:space="preserve"> which, quite implicitly, made the Italian states independent</w:t>
      </w:r>
      <w:r w:rsidR="00DA2905">
        <w:t xml:space="preserve">; though the formal consolidation of these several states into </w:t>
      </w:r>
      <w:r w:rsidR="00DA2905">
        <w:lastRenderedPageBreak/>
        <w:t>the United States of Italy took until 1854, all could see that this process was coming</w:t>
      </w:r>
      <w:r w:rsidR="00E6524C">
        <w:t>. Italian Romantic nationalism had triumphed, and it reshaped the nation</w:t>
      </w:r>
      <w:r w:rsidR="00CC207E">
        <w:rPr>
          <w:rStyle w:val="EndnoteReference"/>
        </w:rPr>
        <w:endnoteReference w:id="226"/>
      </w:r>
      <w:r w:rsidR="00DA2905">
        <w:t xml:space="preserve">. </w:t>
      </w:r>
      <w:r w:rsidR="004B1A85">
        <w:t xml:space="preserve">This made serious waves not only in Europe where it </w:t>
      </w:r>
      <w:r w:rsidR="006E6BD5">
        <w:t xml:space="preserve">realigned </w:t>
      </w:r>
      <w:r w:rsidR="007E7DFC">
        <w:t>its geopolitics</w:t>
      </w:r>
      <w:r w:rsidR="006E6BD5">
        <w:t xml:space="preserve">, </w:t>
      </w:r>
      <w:r w:rsidR="00244D23">
        <w:t xml:space="preserve">but also across the pond. </w:t>
      </w:r>
      <w:r w:rsidR="00125B3A">
        <w:t xml:space="preserve">Mazzini had long been a </w:t>
      </w:r>
      <w:r w:rsidR="00644214">
        <w:t>recognized name</w:t>
      </w:r>
      <w:r w:rsidR="008F5673">
        <w:t xml:space="preserve">, in part </w:t>
      </w:r>
      <w:r w:rsidR="00BD1252">
        <w:t>for his lifelong</w:t>
      </w:r>
      <w:r w:rsidR="00C126BA">
        <w:t xml:space="preserve"> agitat</w:t>
      </w:r>
      <w:r w:rsidR="00BD1252">
        <w:t xml:space="preserve">ion but mostly because of his views on slavery. </w:t>
      </w:r>
      <w:r w:rsidR="00E71E8E">
        <w:t>He was an abolitionist – not only an abolitionist, but a</w:t>
      </w:r>
      <w:r w:rsidR="00E876FC">
        <w:t>n admirer</w:t>
      </w:r>
      <w:r w:rsidR="00E71E8E">
        <w:t xml:space="preserve"> of Garrison</w:t>
      </w:r>
      <w:r w:rsidR="00E876FC">
        <w:t xml:space="preserve"> and a supporter of the anti-constitutionalism he headed – and he had made this know in several places</w:t>
      </w:r>
      <w:r w:rsidR="00A954EE">
        <w:t>. Notably, the two had met during the World Convention of 1840 in London, where they greeted one another as</w:t>
      </w:r>
      <w:r w:rsidR="001853C5">
        <w:t xml:space="preserve"> colleagues in the cause of freeing humanity from the curse of feudalism and monarchy and towards true republicanism</w:t>
      </w:r>
      <w:r w:rsidR="00D0492C">
        <w:rPr>
          <w:rStyle w:val="EndnoteReference"/>
        </w:rPr>
        <w:endnoteReference w:id="227"/>
      </w:r>
      <w:r w:rsidR="001853C5">
        <w:t xml:space="preserve">. </w:t>
      </w:r>
      <w:r w:rsidR="00560801">
        <w:t>That this</w:t>
      </w:r>
      <w:r w:rsidR="00CF7BD7">
        <w:t xml:space="preserve"> diehard</w:t>
      </w:r>
      <w:r w:rsidR="00560801">
        <w:t xml:space="preserve"> critic of not only American slavery, but also the </w:t>
      </w:r>
      <w:r w:rsidR="00461F0B">
        <w:t xml:space="preserve">republicanism it touched, had such prominence electrified the abolitionist movement. </w:t>
      </w:r>
      <w:r w:rsidR="00403EA0">
        <w:t>In its eyes, t</w:t>
      </w:r>
      <w:r w:rsidR="00624281">
        <w:t>he cause of Young Italy needed to be</w:t>
      </w:r>
      <w:r w:rsidR="00403EA0">
        <w:t xml:space="preserve"> brought across the pond and rejuvenate the cause </w:t>
      </w:r>
      <w:r w:rsidR="003C2AED">
        <w:t>of abolition</w:t>
      </w:r>
      <w:r w:rsidR="00E67824">
        <w:t xml:space="preserve"> which had once been so flagging</w:t>
      </w:r>
      <w:r w:rsidR="00E147C6">
        <w:t xml:space="preserve">. </w:t>
      </w:r>
    </w:p>
    <w:p w14:paraId="71482B49" w14:textId="5EDC9308" w:rsidR="002C570C" w:rsidRDefault="002C570C" w:rsidP="006213B9">
      <w:r>
        <w:t>Thus, when the 1852 Equal Rights Party convention was held</w:t>
      </w:r>
      <w:r w:rsidR="00922996">
        <w:t xml:space="preserve"> – hastily patching up the split from </w:t>
      </w:r>
      <w:r w:rsidR="008605F0">
        <w:t>Gerritt Smith –</w:t>
      </w:r>
      <w:r>
        <w:t xml:space="preserve"> it also made the decision</w:t>
      </w:r>
      <w:r w:rsidR="001B32CF">
        <w:t xml:space="preserve"> to rebrand. </w:t>
      </w:r>
      <w:r w:rsidR="00C02DCF">
        <w:t>Explicitly inspired by the Mazzinian example, it renamed itself Young America</w:t>
      </w:r>
      <w:r w:rsidR="008D23E9">
        <w:t>, and its platform included several cues to romantic Mazzinian nationalism</w:t>
      </w:r>
      <w:r w:rsidR="00B1383B">
        <w:rPr>
          <w:rStyle w:val="EndnoteReference"/>
        </w:rPr>
        <w:endnoteReference w:id="228"/>
      </w:r>
      <w:r w:rsidR="00754F79">
        <w:t xml:space="preserve">. </w:t>
      </w:r>
      <w:r w:rsidR="00F27130">
        <w:t xml:space="preserve">When </w:t>
      </w:r>
      <w:r w:rsidR="00140586">
        <w:t>the Republicans nominated a doughface and the Democrats a Southerner</w:t>
      </w:r>
      <w:r w:rsidR="00962C48">
        <w:t>, it found itself</w:t>
      </w:r>
      <w:r w:rsidR="00140586">
        <w:t xml:space="preserve"> with a shot in the arm as it coul</w:t>
      </w:r>
      <w:r w:rsidR="00562090">
        <w:t xml:space="preserve">d now more plausibly point to </w:t>
      </w:r>
      <w:r w:rsidR="00C41AF4">
        <w:t xml:space="preserve">the power of the Planter Ascendancy. </w:t>
      </w:r>
      <w:r w:rsidR="00414514">
        <w:t xml:space="preserve">Nominating </w:t>
      </w:r>
      <w:r w:rsidR="007F3230">
        <w:t xml:space="preserve">an ex-Republican congressman John P. Hale, </w:t>
      </w:r>
      <w:r w:rsidR="0043005C">
        <w:t xml:space="preserve">this rebrand was working; Hale’s </w:t>
      </w:r>
      <w:r w:rsidR="00891EFD">
        <w:t>a</w:t>
      </w:r>
      <w:r w:rsidR="007678F2">
        <w:t xml:space="preserve"> stump tour</w:t>
      </w:r>
      <w:r w:rsidR="00D04260">
        <w:t xml:space="preserve"> of the North</w:t>
      </w:r>
      <w:r w:rsidR="0043005C">
        <w:t xml:space="preserve"> gathered large crowds, although this was as much because the minority of abolitionists wanted to prove their </w:t>
      </w:r>
      <w:r w:rsidR="00E83F7F">
        <w:t xml:space="preserve">numbers as it was because of </w:t>
      </w:r>
      <w:r w:rsidR="00A55CFA">
        <w:t xml:space="preserve">an </w:t>
      </w:r>
      <w:r w:rsidR="00E83F7F">
        <w:t>actual</w:t>
      </w:r>
      <w:r w:rsidR="00A55CFA">
        <w:t xml:space="preserve"> mass of</w:t>
      </w:r>
      <w:r w:rsidR="00E83F7F">
        <w:t xml:space="preserve"> popular support. </w:t>
      </w:r>
      <w:r w:rsidR="00DF2A0C">
        <w:t xml:space="preserve">Nevertheless, Young America did prove a success, mobilizing the same </w:t>
      </w:r>
      <w:r w:rsidR="00577C68">
        <w:t xml:space="preserve">Northern </w:t>
      </w:r>
      <w:r w:rsidR="00DF2A0C">
        <w:t xml:space="preserve">moralist voters who had previously voted for Webster and now found themselves </w:t>
      </w:r>
      <w:r w:rsidR="001974CD">
        <w:t>betrayed by Clay then Crittenden</w:t>
      </w:r>
      <w:r w:rsidR="00A9555C">
        <w:t xml:space="preserve"> trying to repudiate it</w:t>
      </w:r>
      <w:r w:rsidR="001974CD">
        <w:t xml:space="preserve">. </w:t>
      </w:r>
      <w:r w:rsidR="002169F1">
        <w:t xml:space="preserve">The ensuing election saw </w:t>
      </w:r>
      <w:r w:rsidR="00D45029">
        <w:t>Young America do better than its predecessor, winning one electoral vote and 8.6% of the popular vote</w:t>
      </w:r>
      <w:r w:rsidR="00180FB2">
        <w:t xml:space="preserve">; when </w:t>
      </w:r>
      <w:r w:rsidR="00180FB2">
        <w:lastRenderedPageBreak/>
        <w:t>accounting for that the party was only on tickets in the North, th</w:t>
      </w:r>
      <w:r w:rsidR="008D5132">
        <w:t xml:space="preserve">e sheer level of success is even greater. </w:t>
      </w:r>
      <w:r w:rsidR="001A1529">
        <w:t xml:space="preserve">It was a </w:t>
      </w:r>
      <w:r w:rsidR="00A43B8F">
        <w:t>party</w:t>
      </w:r>
      <w:r w:rsidR="001A1529">
        <w:t xml:space="preserve"> high which </w:t>
      </w:r>
      <w:r w:rsidR="006F300E">
        <w:t>demonstrated that</w:t>
      </w:r>
      <w:r w:rsidR="007B1576">
        <w:t xml:space="preserve"> the abolitionist movement was</w:t>
      </w:r>
      <w:r w:rsidR="0050358F">
        <w:t xml:space="preserve"> well-established and though still unlikely to truly realign politics in a more abolitionist direction, it was</w:t>
      </w:r>
      <w:r w:rsidR="007B1576">
        <w:t xml:space="preserve"> well poised for future development</w:t>
      </w:r>
      <w:r w:rsidR="00663636">
        <w:t>s</w:t>
      </w:r>
      <w:r w:rsidR="006A2A6F">
        <w:t>, to take advantage of them in the hopes of riding them to power</w:t>
      </w:r>
      <w:r w:rsidR="007B1576">
        <w:t>.</w:t>
      </w:r>
    </w:p>
    <w:p w14:paraId="7B336D79" w14:textId="1E1EE0CC" w:rsidR="000B6E51" w:rsidRPr="006213B9" w:rsidRDefault="000B6E51" w:rsidP="006213B9">
      <w:r>
        <w:t>But 1852 nevertheless saw the election of</w:t>
      </w:r>
      <w:r w:rsidR="00B070F9">
        <w:t xml:space="preserve"> Robert F. Stockton. He was, without a doubt, a doughface, a Northern man with Southern values. </w:t>
      </w:r>
      <w:r w:rsidR="00552BBE">
        <w:t xml:space="preserve">He appointed fugitive slave commissioners who would </w:t>
      </w:r>
      <w:r w:rsidR="00CE2C32">
        <w:t xml:space="preserve">pack juries to rule virtually every accused a slave, and he </w:t>
      </w:r>
      <w:proofErr w:type="gramStart"/>
      <w:r w:rsidR="00350EB9">
        <w:t>opened up</w:t>
      </w:r>
      <w:proofErr w:type="gramEnd"/>
      <w:r w:rsidR="00350EB9">
        <w:t xml:space="preserve"> relations with </w:t>
      </w:r>
      <w:proofErr w:type="spellStart"/>
      <w:r w:rsidR="00154542">
        <w:t>Walkerist</w:t>
      </w:r>
      <w:proofErr w:type="spellEnd"/>
      <w:r w:rsidR="00154542">
        <w:t xml:space="preserve"> Jamaica. </w:t>
      </w:r>
      <w:r w:rsidR="00B30FA1">
        <w:t>The Planter Ascendancy was doing better than ever, and with the Democratic Party now seemingly rudderless with</w:t>
      </w:r>
      <w:r w:rsidR="0075165C">
        <w:t xml:space="preserve">out </w:t>
      </w:r>
      <w:r w:rsidR="00095A40">
        <w:t xml:space="preserve">Webster and Clay, </w:t>
      </w:r>
      <w:r w:rsidR="00067E36">
        <w:t xml:space="preserve">there was a void of authority which </w:t>
      </w:r>
      <w:r w:rsidR="00D2026D">
        <w:t xml:space="preserve">Young America would fill. </w:t>
      </w:r>
      <w:r w:rsidR="00606C22">
        <w:t xml:space="preserve">Thus, the </w:t>
      </w:r>
      <w:r w:rsidR="00BE6160">
        <w:t>movement</w:t>
      </w:r>
      <w:r w:rsidR="00606C22">
        <w:t xml:space="preserve"> organized</w:t>
      </w:r>
      <w:r w:rsidR="00FD0D86">
        <w:t xml:space="preserve">; </w:t>
      </w:r>
      <w:r w:rsidR="000D590C">
        <w:t xml:space="preserve">with every </w:t>
      </w:r>
      <w:r w:rsidR="00F82F8B">
        <w:t>fugitive slave trial they campaigned for freedom</w:t>
      </w:r>
      <w:r w:rsidR="00FD0D86">
        <w:t xml:space="preserve">, and with every </w:t>
      </w:r>
      <w:r w:rsidR="00526E4D">
        <w:t>ship exporting slaves abroad, they protested</w:t>
      </w:r>
      <w:r w:rsidR="000936FA">
        <w:t xml:space="preserve"> the state’s seeming</w:t>
      </w:r>
      <w:r w:rsidR="00422C95">
        <w:t xml:space="preserve"> support of such efforts</w:t>
      </w:r>
      <w:r w:rsidR="00F82F8B">
        <w:t>.</w:t>
      </w:r>
      <w:r w:rsidR="00EE08B4">
        <w:t xml:space="preserve"> </w:t>
      </w:r>
      <w:r w:rsidR="00C236FD">
        <w:t>The Planter Ascendancy was now more powerful than ever</w:t>
      </w:r>
      <w:r w:rsidR="00DB4BCD">
        <w:t xml:space="preserve">, and to many, it seemed only </w:t>
      </w:r>
      <w:r w:rsidR="005D3F05">
        <w:t>the abolitionist movement, be it Young America or else the Garrisonian movement</w:t>
      </w:r>
      <w:r w:rsidR="008139F7">
        <w:t>,</w:t>
      </w:r>
      <w:r w:rsidR="00DB4BCD">
        <w:t xml:space="preserve"> could oppose it.</w:t>
      </w:r>
      <w:r w:rsidR="002440CB">
        <w:t xml:space="preserve"> In the years that followed, many of the mainstays of the abolitionist movement emerged</w:t>
      </w:r>
      <w:r w:rsidR="006B5F49">
        <w:t xml:space="preserve"> –</w:t>
      </w:r>
      <w:r w:rsidR="002440CB">
        <w:t xml:space="preserve"> abolitionists connected their movement with the American Revolution itself, they</w:t>
      </w:r>
      <w:r w:rsidR="006B5F49">
        <w:t xml:space="preserve"> pointed to the Liberty Bell as a symbol, and they emphasized that the first American to die for the nation was the Colored man, Crispus Attucks, during the Boston Massacre</w:t>
      </w:r>
      <w:r w:rsidR="0086170B">
        <w:t>. It was still the movement of a minority, but it was</w:t>
      </w:r>
      <w:r w:rsidR="00D40A18">
        <w:t xml:space="preserve"> a large minority</w:t>
      </w:r>
      <w:r w:rsidR="006B5F49">
        <w:t>.</w:t>
      </w:r>
      <w:r w:rsidR="00DB4BCD">
        <w:t xml:space="preserve"> </w:t>
      </w:r>
      <w:r w:rsidR="001120E9">
        <w:t xml:space="preserve">Thus, out of the </w:t>
      </w:r>
      <w:r w:rsidR="00124BAC">
        <w:t>weakness</w:t>
      </w:r>
      <w:r w:rsidR="001120E9">
        <w:t xml:space="preserve"> of the </w:t>
      </w:r>
      <w:r w:rsidR="00124BAC">
        <w:t xml:space="preserve">Webster years, </w:t>
      </w:r>
      <w:r w:rsidR="00125706">
        <w:t xml:space="preserve">the abolitionist movement was now stronger and firmer than ever – and it was intent on </w:t>
      </w:r>
      <w:r w:rsidR="00DD16F0">
        <w:t xml:space="preserve">reshaping the nation once and for all. </w:t>
      </w:r>
    </w:p>
    <w:p w14:paraId="028AFAC4" w14:textId="77777777" w:rsidR="00A518CD" w:rsidRDefault="00A518CD" w:rsidP="00A518CD">
      <w:r>
        <w:br w:type="page"/>
      </w:r>
    </w:p>
    <w:p w14:paraId="7958C171" w14:textId="77777777" w:rsidR="0093168E" w:rsidRDefault="0093168E" w:rsidP="0093168E"/>
    <w:p w14:paraId="5D01FA1E" w14:textId="77777777" w:rsidR="0093168E" w:rsidRDefault="0093168E" w:rsidP="0093168E">
      <w:pPr>
        <w:sectPr w:rsidR="0093168E" w:rsidSect="0093168E">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FE54AA9" w14:textId="77777777" w:rsidR="0093168E" w:rsidRDefault="0093168E" w:rsidP="0093168E">
      <w:r>
        <w:br w:type="page"/>
      </w:r>
    </w:p>
    <w:p w14:paraId="4C5761BE" w14:textId="707E1CC7" w:rsidR="00F43F40" w:rsidRDefault="0093168E" w:rsidP="0093168E">
      <w:pPr>
        <w:pStyle w:val="Heading1"/>
      </w:pPr>
      <w:bookmarkStart w:id="57" w:name="_Toc202006244"/>
      <w:r>
        <w:lastRenderedPageBreak/>
        <w:t>4</w:t>
      </w:r>
      <w:r w:rsidR="00F93DCA">
        <w:t>5</w:t>
      </w:r>
      <w:r>
        <w:t xml:space="preserve">. </w:t>
      </w:r>
      <w:r w:rsidR="001A3C54">
        <w:t>The Active Soul</w:t>
      </w:r>
      <w:bookmarkEnd w:id="57"/>
    </w:p>
    <w:p w14:paraId="57EE44EC" w14:textId="68C213C4" w:rsidR="008C3FC3" w:rsidRDefault="006517FE" w:rsidP="008C3FC3">
      <w:r>
        <w:t xml:space="preserve">For the first several decades after independence, </w:t>
      </w:r>
      <w:r w:rsidR="00B11E21">
        <w:t xml:space="preserve">the United States took almost </w:t>
      </w:r>
      <w:proofErr w:type="gramStart"/>
      <w:r w:rsidR="00B11E21">
        <w:t>all of</w:t>
      </w:r>
      <w:proofErr w:type="gramEnd"/>
      <w:r w:rsidR="00B11E21">
        <w:t xml:space="preserve"> its cultural cues from the mother country. </w:t>
      </w:r>
      <w:r w:rsidR="00A04B62">
        <w:t xml:space="preserve">In 1800, the median American </w:t>
      </w:r>
      <w:r w:rsidR="00B41B0C">
        <w:t xml:space="preserve">read British books, </w:t>
      </w:r>
      <w:r w:rsidR="00586558">
        <w:t>wore</w:t>
      </w:r>
      <w:r w:rsidR="00B41B0C">
        <w:t xml:space="preserve"> </w:t>
      </w:r>
      <w:r w:rsidR="009263B4">
        <w:t xml:space="preserve">British </w:t>
      </w:r>
      <w:r w:rsidR="007C3C89">
        <w:t>fashion</w:t>
      </w:r>
      <w:r w:rsidR="009263B4">
        <w:t xml:space="preserve">, and </w:t>
      </w:r>
      <w:r w:rsidR="00586558">
        <w:t xml:space="preserve">looked to British art. </w:t>
      </w:r>
      <w:r w:rsidR="00705399">
        <w:t xml:space="preserve">This was fostered by </w:t>
      </w:r>
      <w:proofErr w:type="gramStart"/>
      <w:r w:rsidR="00705399">
        <w:t>a number of</w:t>
      </w:r>
      <w:proofErr w:type="gramEnd"/>
      <w:r w:rsidR="00705399">
        <w:t xml:space="preserve"> elements. First</w:t>
      </w:r>
      <w:r w:rsidR="00AA1833">
        <w:t xml:space="preserve">ly, the United States was </w:t>
      </w:r>
      <w:r w:rsidR="004B274B">
        <w:t xml:space="preserve">in constant communications with Britain; indeed, </w:t>
      </w:r>
      <w:r w:rsidR="00224948">
        <w:t>America continued to have a colonial economy, with raw materials transferred from west to east</w:t>
      </w:r>
      <w:r w:rsidR="00082A59">
        <w:t xml:space="preserve"> to </w:t>
      </w:r>
      <w:r w:rsidR="005B7CCB">
        <w:t xml:space="preserve">Britain, where they would be turned into </w:t>
      </w:r>
      <w:r w:rsidR="005F0815">
        <w:t>goods which would be sold for consumption around the world. Secondly</w:t>
      </w:r>
      <w:r w:rsidR="00705399">
        <w:t xml:space="preserve">, British works were not covered </w:t>
      </w:r>
      <w:r w:rsidR="005F0815">
        <w:t>under</w:t>
      </w:r>
      <w:r w:rsidR="00705399">
        <w:t xml:space="preserve"> </w:t>
      </w:r>
      <w:r w:rsidR="005F0815">
        <w:t xml:space="preserve">American copyright law; this meant publishers freely </w:t>
      </w:r>
      <w:r w:rsidR="0011720C">
        <w:t>sold</w:t>
      </w:r>
      <w:r w:rsidR="00607566">
        <w:t xml:space="preserve"> them without having to pay their authors, in a mad rush of publication. </w:t>
      </w:r>
      <w:r w:rsidR="00793EED">
        <w:t xml:space="preserve">This meant </w:t>
      </w:r>
      <w:r w:rsidR="00E936D9">
        <w:t xml:space="preserve">a mad glut of British books, British pamphlets, and British stories </w:t>
      </w:r>
      <w:proofErr w:type="gramStart"/>
      <w:r w:rsidR="00E936D9">
        <w:t xml:space="preserve">all </w:t>
      </w:r>
      <w:r w:rsidR="00406D82">
        <w:t>across</w:t>
      </w:r>
      <w:proofErr w:type="gramEnd"/>
      <w:r w:rsidR="00E936D9">
        <w:t xml:space="preserve"> the </w:t>
      </w:r>
      <w:r w:rsidR="00406D82">
        <w:t xml:space="preserve">United States. </w:t>
      </w:r>
      <w:r w:rsidR="003360E9">
        <w:t xml:space="preserve">This glut greatly crowded out American authors, and publishers had no reason whatsoever to </w:t>
      </w:r>
      <w:r w:rsidR="00677597">
        <w:t xml:space="preserve">buy American works and pay copyright because they could simply copy and print works from across the pond. </w:t>
      </w:r>
      <w:r w:rsidR="00983568">
        <w:t>Thus, Americans acted and thought like Britons; the Declaration of Independence did not stretch to literature</w:t>
      </w:r>
      <w:r w:rsidR="006D6107">
        <w:t xml:space="preserve">, thought, or culture. </w:t>
      </w:r>
      <w:r w:rsidR="001C25FE">
        <w:t>The United States faced an issue not unlike post-colonial states today: it had been ruled by an external force for so long, that it had to discover itself upon independence</w:t>
      </w:r>
      <w:r w:rsidR="001517E3">
        <w:rPr>
          <w:rStyle w:val="EndnoteReference"/>
        </w:rPr>
        <w:endnoteReference w:id="229"/>
      </w:r>
      <w:r w:rsidR="001C25FE">
        <w:t xml:space="preserve">. </w:t>
      </w:r>
      <w:r w:rsidR="006C74E2">
        <w:t>And though there were attempts to change this, be they from the United Irish diaspora which hated the British who forced them over the</w:t>
      </w:r>
      <w:r w:rsidR="002F503D">
        <w:t xml:space="preserve"> pond, or</w:t>
      </w:r>
      <w:r w:rsidR="00840FB4">
        <w:t xml:space="preserve"> from older American nationalists who abhorred British filiation as treason, this was hardly enough to stop these powerful forces</w:t>
      </w:r>
      <w:r w:rsidR="005F572B">
        <w:t xml:space="preserve"> of unity</w:t>
      </w:r>
      <w:r w:rsidR="00840FB4">
        <w:t xml:space="preserve">. </w:t>
      </w:r>
    </w:p>
    <w:p w14:paraId="2FAA8FEF" w14:textId="482F0328" w:rsidR="007D331B" w:rsidRDefault="007D331B" w:rsidP="008C3FC3">
      <w:r>
        <w:t xml:space="preserve">But slowly, this changed. The Luisiana War led to a Spanish blockade of the United States; this was hardly an airtight one, and </w:t>
      </w:r>
      <w:r w:rsidR="0069455E">
        <w:t>trade continued with the British Isles through its North American holdings. This too</w:t>
      </w:r>
      <w:r w:rsidR="00353D74">
        <w:t xml:space="preserve"> was hardly </w:t>
      </w:r>
      <w:proofErr w:type="gramStart"/>
      <w:r w:rsidR="00353D74">
        <w:t>some</w:t>
      </w:r>
      <w:proofErr w:type="gramEnd"/>
      <w:r w:rsidR="00353D74">
        <w:t xml:space="preserve"> smooth stream of trade, a</w:t>
      </w:r>
      <w:r w:rsidR="007C0D07">
        <w:t xml:space="preserve">s the War of Roussin’s Fleet meant that </w:t>
      </w:r>
      <w:r w:rsidR="00C73CA6">
        <w:t>British trade ships faced continual attacks from the French</w:t>
      </w:r>
      <w:r w:rsidR="00DF39F3">
        <w:t>. The result was that the United States</w:t>
      </w:r>
      <w:r w:rsidR="00777CAA">
        <w:t xml:space="preserve"> </w:t>
      </w:r>
      <w:r w:rsidR="00342FDA">
        <w:t xml:space="preserve">was forced to trade with itself, to build a home market. </w:t>
      </w:r>
      <w:r w:rsidR="00186E45">
        <w:t xml:space="preserve">It became more isolated </w:t>
      </w:r>
      <w:r w:rsidR="00186E45">
        <w:lastRenderedPageBreak/>
        <w:t xml:space="preserve">from the world, and this resulted in a boom of </w:t>
      </w:r>
      <w:r w:rsidR="004816EC">
        <w:t>internal cultural shifts.</w:t>
      </w:r>
      <w:r w:rsidR="00E86A45">
        <w:t xml:space="preserve"> Though the Popular Revolution in Britain led to renewed calls for Anglo-American unity</w:t>
      </w:r>
      <w:r w:rsidR="006339BC">
        <w:t xml:space="preserve"> based on common traditions of liberty</w:t>
      </w:r>
      <w:r w:rsidR="006E37F4">
        <w:t xml:space="preserve">, </w:t>
      </w:r>
      <w:r w:rsidR="006339BC">
        <w:t>such feelings of nationalism continued to spread.</w:t>
      </w:r>
      <w:r w:rsidR="004816EC">
        <w:t xml:space="preserve"> Additionally, the war itself created new mythmaking</w:t>
      </w:r>
      <w:r w:rsidR="00B07265">
        <w:t xml:space="preserve">, and </w:t>
      </w:r>
      <w:r w:rsidR="00045DD6">
        <w:t xml:space="preserve">it itself had a mark on American literature. </w:t>
      </w:r>
      <w:r w:rsidR="00237B23">
        <w:t xml:space="preserve">And it gave the nation more confidence, and it meant </w:t>
      </w:r>
      <w:r w:rsidR="00F91A90">
        <w:t xml:space="preserve">a greater craving for a sort of literary </w:t>
      </w:r>
      <w:r w:rsidR="00DE0EB1">
        <w:t>independence</w:t>
      </w:r>
      <w:r w:rsidR="00F91A90">
        <w:t xml:space="preserve"> to match the political one. </w:t>
      </w:r>
    </w:p>
    <w:p w14:paraId="06632A33" w14:textId="3698BAC2" w:rsidR="00DE0EB1" w:rsidRDefault="00DE0EB1" w:rsidP="008C3FC3">
      <w:r>
        <w:t>This Declaration of Literary Independence came in the form of a speech from one Ralph Waldo Emerson</w:t>
      </w:r>
      <w:r w:rsidR="0096332E">
        <w:rPr>
          <w:rStyle w:val="EndnoteReference"/>
        </w:rPr>
        <w:endnoteReference w:id="230"/>
      </w:r>
      <w:r>
        <w:t xml:space="preserve">. </w:t>
      </w:r>
      <w:r w:rsidR="004678A1">
        <w:t xml:space="preserve">Emerson came from </w:t>
      </w:r>
      <w:r w:rsidR="007B10B2">
        <w:t xml:space="preserve">the very depths of the elite of </w:t>
      </w:r>
      <w:r w:rsidR="00017635">
        <w:t xml:space="preserve">Boston, and grew up with the very best education New England could offer. </w:t>
      </w:r>
      <w:r w:rsidR="005C2A2C">
        <w:t xml:space="preserve">Entering Harvard, </w:t>
      </w:r>
      <w:r w:rsidR="00F509DB">
        <w:t xml:space="preserve">he very swiftly attained recognition for his </w:t>
      </w:r>
      <w:r w:rsidR="00734CE7">
        <w:t xml:space="preserve">literary gifts; here, he began writing a series of journals with material for lectures, which would in time become </w:t>
      </w:r>
      <w:r w:rsidR="00323CAE">
        <w:t xml:space="preserve">celebrated as one of the greatest works in American history. </w:t>
      </w:r>
      <w:r w:rsidR="00BE05FB">
        <w:t xml:space="preserve">Graduating and entering </w:t>
      </w:r>
      <w:r w:rsidR="0029303C">
        <w:t>divinity school, he was trained to become a Unitarian minister</w:t>
      </w:r>
      <w:r w:rsidR="00D0636B">
        <w:t xml:space="preserve">; his excellent oratorical gifts led him to </w:t>
      </w:r>
      <w:r w:rsidR="00B57F3A">
        <w:t xml:space="preserve">great success here. </w:t>
      </w:r>
      <w:r w:rsidR="00664C36">
        <w:t xml:space="preserve">However, he increasingly began to doubt Christian doctrines, even those of his </w:t>
      </w:r>
      <w:r w:rsidR="00235E8E">
        <w:t>denomination</w:t>
      </w:r>
      <w:r w:rsidR="00753902">
        <w:t>,</w:t>
      </w:r>
      <w:r w:rsidR="008277C0">
        <w:t xml:space="preserve"> </w:t>
      </w:r>
      <w:r w:rsidR="00753902">
        <w:t>influenced by</w:t>
      </w:r>
      <w:r w:rsidR="008277C0">
        <w:t xml:space="preserve"> the new field of biblical criticism</w:t>
      </w:r>
      <w:r w:rsidR="00753902">
        <w:t xml:space="preserve">; his </w:t>
      </w:r>
      <w:r w:rsidR="00320CBA">
        <w:t>sermons now focused less on Christian theology</w:t>
      </w:r>
      <w:r w:rsidR="005B5B64">
        <w:t xml:space="preserve">, and more on a spirit of self-reliance. With this alienation from Christianity, </w:t>
      </w:r>
      <w:r w:rsidR="00355B7F">
        <w:t xml:space="preserve">he resigned his ministry, and he sought to focus on </w:t>
      </w:r>
      <w:r w:rsidR="00EB1FA8">
        <w:t xml:space="preserve">his own </w:t>
      </w:r>
      <w:r w:rsidR="00EC3227">
        <w:t xml:space="preserve">quest for God. </w:t>
      </w:r>
      <w:r w:rsidR="00E80824">
        <w:t xml:space="preserve">Here, he looked to nature, and </w:t>
      </w:r>
      <w:r w:rsidR="006017C2">
        <w:t xml:space="preserve">he found his answer. He </w:t>
      </w:r>
      <w:r w:rsidR="00B1434D">
        <w:t xml:space="preserve">laid this out in an essay, simply called </w:t>
      </w:r>
      <w:r w:rsidR="00B1434D" w:rsidRPr="002318F7">
        <w:rPr>
          <w:i/>
          <w:iCs/>
        </w:rPr>
        <w:t>Nature</w:t>
      </w:r>
      <w:r w:rsidR="00B1434D">
        <w:t xml:space="preserve"> (1836), which </w:t>
      </w:r>
      <w:r w:rsidR="00DC42BA">
        <w:t>laid out his philosophy that the spirit of divinity</w:t>
      </w:r>
      <w:r w:rsidR="00CC1117">
        <w:t xml:space="preserve"> was to be found diffused within nature. </w:t>
      </w:r>
      <w:r w:rsidR="00630683">
        <w:t>Despite much controversy</w:t>
      </w:r>
      <w:r w:rsidR="00821FBA">
        <w:t xml:space="preserve"> over his unorthodox </w:t>
      </w:r>
      <w:r w:rsidR="008757F1">
        <w:t>religious doctrines</w:t>
      </w:r>
      <w:r w:rsidR="00630683">
        <w:t xml:space="preserve"> – one </w:t>
      </w:r>
      <w:r w:rsidR="00821FBA">
        <w:t>negative review</w:t>
      </w:r>
      <w:r w:rsidR="008757F1">
        <w:t xml:space="preserve"> called it “transcendentalism”, a name which ultimately stuck </w:t>
      </w:r>
      <w:r w:rsidR="0051332B">
        <w:t>–</w:t>
      </w:r>
      <w:r w:rsidR="008757F1">
        <w:t xml:space="preserve"> </w:t>
      </w:r>
      <w:r w:rsidR="0051332B">
        <w:t>it nevertheless had a profound influence on the burgeoning sphere of American literature</w:t>
      </w:r>
      <w:r w:rsidR="00A6648F">
        <w:t>, even deeply influencing</w:t>
      </w:r>
      <w:r w:rsidR="00A72B66">
        <w:t xml:space="preserve"> that other great New England luminary, Henry David Thoreau</w:t>
      </w:r>
      <w:r w:rsidR="00630683">
        <w:t xml:space="preserve">. </w:t>
      </w:r>
      <w:r w:rsidR="002758F0">
        <w:t xml:space="preserve">Nevertheless, </w:t>
      </w:r>
      <w:r w:rsidR="00A9680F" w:rsidRPr="00A9680F">
        <w:rPr>
          <w:i/>
          <w:iCs/>
        </w:rPr>
        <w:t>Nature</w:t>
      </w:r>
      <w:r w:rsidR="00A9680F">
        <w:t xml:space="preserve"> put </w:t>
      </w:r>
      <w:r w:rsidR="002758F0">
        <w:t xml:space="preserve">Emerson on the map, and </w:t>
      </w:r>
      <w:r w:rsidR="00A9680F">
        <w:t xml:space="preserve">he had a platform to bring his career forward. </w:t>
      </w:r>
      <w:r w:rsidR="00CD73C2">
        <w:t xml:space="preserve">In a controversial lecture over the </w:t>
      </w:r>
      <w:r w:rsidR="00B1445F">
        <w:t xml:space="preserve">Fugitive Slave Act, </w:t>
      </w:r>
      <w:r w:rsidR="00044682">
        <w:t>he called for mass civil disobedience against</w:t>
      </w:r>
      <w:r w:rsidR="002C4C36">
        <w:t xml:space="preserve"> it</w:t>
      </w:r>
      <w:r w:rsidR="00BE3CEA">
        <w:t xml:space="preserve">, although </w:t>
      </w:r>
      <w:proofErr w:type="gramStart"/>
      <w:r w:rsidR="00BE3CEA">
        <w:t>ultimately</w:t>
      </w:r>
      <w:proofErr w:type="gramEnd"/>
      <w:r w:rsidR="00BE3CEA">
        <w:t xml:space="preserve"> he ended up moderating his position and </w:t>
      </w:r>
      <w:r w:rsidR="00BE3CEA">
        <w:lastRenderedPageBreak/>
        <w:t xml:space="preserve">“merely” called for </w:t>
      </w:r>
      <w:r w:rsidR="00AC40CC">
        <w:t xml:space="preserve">jury nullification. </w:t>
      </w:r>
      <w:r w:rsidR="00FD634E">
        <w:t xml:space="preserve">This was an expression of his </w:t>
      </w:r>
      <w:r w:rsidR="004B10E5">
        <w:t>radical aversion to slavery, and he ultimately</w:t>
      </w:r>
      <w:r w:rsidR="00373072">
        <w:t xml:space="preserve"> captured the moment for New England as a whole. </w:t>
      </w:r>
      <w:r w:rsidR="00ED3983">
        <w:t xml:space="preserve">But in the same year where he made a call for mass civil disobedience, he also gave a speech to </w:t>
      </w:r>
      <w:r w:rsidR="00A978E2">
        <w:t xml:space="preserve">a fraternity in </w:t>
      </w:r>
      <w:r w:rsidR="003C0443">
        <w:t xml:space="preserve">Harvard; this speech became known as </w:t>
      </w:r>
      <w:r w:rsidR="003C0443" w:rsidRPr="00586FB6">
        <w:rPr>
          <w:i/>
          <w:iCs/>
        </w:rPr>
        <w:t xml:space="preserve">The American </w:t>
      </w:r>
      <w:r w:rsidR="00F53705" w:rsidRPr="00586FB6">
        <w:rPr>
          <w:i/>
          <w:iCs/>
        </w:rPr>
        <w:t>Scholar</w:t>
      </w:r>
      <w:r w:rsidR="00F53705">
        <w:t xml:space="preserve"> (1837). </w:t>
      </w:r>
    </w:p>
    <w:p w14:paraId="11FCB4D3" w14:textId="2BB0CFE2" w:rsidR="00586FB6" w:rsidRDefault="00586FB6" w:rsidP="008C3FC3">
      <w:pPr>
        <w:rPr>
          <w:lang w:val="en-US"/>
        </w:rPr>
      </w:pPr>
      <w:r>
        <w:t xml:space="preserve">Here, he </w:t>
      </w:r>
      <w:r w:rsidR="00205F12">
        <w:t>called for the end of the dependence on American literature on foreign nations</w:t>
      </w:r>
      <w:r w:rsidR="005040EF">
        <w:t>: “</w:t>
      </w:r>
      <w:r w:rsidR="005040EF" w:rsidRPr="005040EF">
        <w:rPr>
          <w:lang w:val="en-US"/>
        </w:rPr>
        <w:t>The millions that around us are rushing into life cannot always be fed on the sere remains of foreign harvests</w:t>
      </w:r>
      <w:r w:rsidR="005040EF">
        <w:rPr>
          <w:lang w:val="en-US"/>
        </w:rPr>
        <w:t xml:space="preserve">”. </w:t>
      </w:r>
      <w:r w:rsidR="00DA1EA7">
        <w:rPr>
          <w:lang w:val="en-US"/>
        </w:rPr>
        <w:t xml:space="preserve">He damned the timidity of the American freeman, who contented himself in following in the footsteps of great men from the past and from another continent. </w:t>
      </w:r>
      <w:r w:rsidR="004E1E71">
        <w:rPr>
          <w:lang w:val="en-US"/>
        </w:rPr>
        <w:t xml:space="preserve">Rather than merely parroting the words of the likes of Cicero, Locke, and Bacon, Americans should instead view them as examples, to strike out like they did when they were young men. </w:t>
      </w:r>
      <w:r w:rsidR="00480D36">
        <w:rPr>
          <w:lang w:val="en-US"/>
        </w:rPr>
        <w:t xml:space="preserve">American books, and American universities like Harvard, should stop looking backward and instead make their march forward in time. </w:t>
      </w:r>
      <w:r w:rsidR="001826E0">
        <w:rPr>
          <w:lang w:val="en-US"/>
        </w:rPr>
        <w:t xml:space="preserve">And </w:t>
      </w:r>
      <w:proofErr w:type="gramStart"/>
      <w:r w:rsidR="001826E0">
        <w:rPr>
          <w:lang w:val="en-US"/>
        </w:rPr>
        <w:t>he</w:t>
      </w:r>
      <w:proofErr w:type="gramEnd"/>
      <w:r w:rsidR="001826E0">
        <w:rPr>
          <w:lang w:val="en-US"/>
        </w:rPr>
        <w:t xml:space="preserve"> spoke of two new forces the United States should instead look, for their new cues: the landscapes of the nation, and the </w:t>
      </w:r>
      <w:r w:rsidR="007716AB">
        <w:rPr>
          <w:lang w:val="en-US"/>
        </w:rPr>
        <w:t xml:space="preserve">individual spirit of the masses. </w:t>
      </w:r>
      <w:r w:rsidR="002934C4">
        <w:rPr>
          <w:lang w:val="en-US"/>
        </w:rPr>
        <w:t>The effects of this speech were seismic; they influenced an entire generation of writers to turn this rhetoric into practice</w:t>
      </w:r>
      <w:r w:rsidR="00B3397D">
        <w:rPr>
          <w:lang w:val="en-US"/>
        </w:rPr>
        <w:t xml:space="preserve">. They reflected what was nothing less than a shift in American consciousness, although perhaps Emerson less provoked the change and more simply represented it. </w:t>
      </w:r>
      <w:r w:rsidR="00753DF0">
        <w:rPr>
          <w:lang w:val="en-US"/>
        </w:rPr>
        <w:t xml:space="preserve">After all, the age of the median American in this era was under eighteen, with about seventy percent under thirty; combined with the values of the American Revolution triumphing in the mother country, the wave of national pride was truly infectious. </w:t>
      </w:r>
    </w:p>
    <w:p w14:paraId="28452EC3" w14:textId="7D533705" w:rsidR="006300C1" w:rsidRDefault="00967592" w:rsidP="006300C1">
      <w:pPr>
        <w:rPr>
          <w:lang w:val="en-US"/>
        </w:rPr>
      </w:pPr>
      <w:r>
        <w:rPr>
          <w:lang w:val="en-US"/>
        </w:rPr>
        <w:t xml:space="preserve">Thus, in the 1830s and 40s, the United States saw the emergence of a great many literary magazines, all reflexive of the mood of independence and self-reliance of an era. </w:t>
      </w:r>
      <w:r w:rsidR="00B0498F">
        <w:rPr>
          <w:lang w:val="en-US"/>
        </w:rPr>
        <w:t>Magazines and newspapers</w:t>
      </w:r>
      <w:r w:rsidR="001266D2">
        <w:rPr>
          <w:lang w:val="en-US"/>
        </w:rPr>
        <w:t xml:space="preserve"> emerged nationwide</w:t>
      </w:r>
      <w:r w:rsidR="00B0498F">
        <w:rPr>
          <w:lang w:val="en-US"/>
        </w:rPr>
        <w:t xml:space="preserve">, all catering to a new mood for </w:t>
      </w:r>
      <w:r w:rsidR="003154AC">
        <w:rPr>
          <w:lang w:val="en-US"/>
        </w:rPr>
        <w:t>national</w:t>
      </w:r>
      <w:r w:rsidR="00B0498F">
        <w:rPr>
          <w:lang w:val="en-US"/>
        </w:rPr>
        <w:t xml:space="preserve"> literature, </w:t>
      </w:r>
      <w:r w:rsidR="00494828">
        <w:rPr>
          <w:lang w:val="en-US"/>
        </w:rPr>
        <w:t>and new authors wrote</w:t>
      </w:r>
      <w:r w:rsidR="00A674B8">
        <w:rPr>
          <w:lang w:val="en-US"/>
        </w:rPr>
        <w:t xml:space="preserve"> stories and books for hungry American audiences</w:t>
      </w:r>
      <w:r w:rsidR="008F7755">
        <w:rPr>
          <w:lang w:val="en-US"/>
        </w:rPr>
        <w:t xml:space="preserve">; the United States being among </w:t>
      </w:r>
      <w:r w:rsidR="008F7755">
        <w:rPr>
          <w:lang w:val="en-US"/>
        </w:rPr>
        <w:lastRenderedPageBreak/>
        <w:t>the very most literate natures in the world, there was a massive audience for this</w:t>
      </w:r>
      <w:r w:rsidR="006172FC">
        <w:rPr>
          <w:lang w:val="en-US"/>
        </w:rPr>
        <w:t xml:space="preserve">. Luminaries such as </w:t>
      </w:r>
      <w:r w:rsidR="0012000B">
        <w:rPr>
          <w:lang w:val="en-US"/>
        </w:rPr>
        <w:t xml:space="preserve">Nathaniel Hawthorne, </w:t>
      </w:r>
      <w:r w:rsidR="00CA693D">
        <w:rPr>
          <w:lang w:val="en-US"/>
        </w:rPr>
        <w:t>William Gilmore Simms</w:t>
      </w:r>
      <w:r w:rsidR="00C30151">
        <w:rPr>
          <w:lang w:val="en-US"/>
        </w:rPr>
        <w:t>, and Herman Melville published and attracted audiences</w:t>
      </w:r>
      <w:r w:rsidR="004E2072">
        <w:rPr>
          <w:rStyle w:val="EndnoteReference"/>
          <w:lang w:val="en-US"/>
        </w:rPr>
        <w:endnoteReference w:id="231"/>
      </w:r>
      <w:r w:rsidR="00A674B8">
        <w:rPr>
          <w:lang w:val="en-US"/>
        </w:rPr>
        <w:t xml:space="preserve">. </w:t>
      </w:r>
      <w:r w:rsidR="00565356">
        <w:rPr>
          <w:lang w:val="en-US"/>
        </w:rPr>
        <w:t>An infectious cultural nationalism</w:t>
      </w:r>
      <w:r w:rsidR="00CD5FAD">
        <w:rPr>
          <w:lang w:val="en-US"/>
        </w:rPr>
        <w:t xml:space="preserve"> wrapped the United States, and the nation began to have something of a </w:t>
      </w:r>
      <w:r w:rsidR="00E26F98">
        <w:rPr>
          <w:lang w:val="en-US"/>
        </w:rPr>
        <w:t>discrete</w:t>
      </w:r>
      <w:r w:rsidR="00CD5FAD">
        <w:rPr>
          <w:lang w:val="en-US"/>
        </w:rPr>
        <w:t xml:space="preserve"> identity. </w:t>
      </w:r>
    </w:p>
    <w:p w14:paraId="63C894B3" w14:textId="5A87C434" w:rsidR="002D116C" w:rsidRDefault="00477E8F" w:rsidP="006300C1">
      <w:pPr>
        <w:rPr>
          <w:lang w:val="en-US"/>
        </w:rPr>
      </w:pPr>
      <w:r>
        <w:rPr>
          <w:lang w:val="en-US"/>
        </w:rPr>
        <w:t>An equal</w:t>
      </w:r>
      <w:r w:rsidR="00DC53F1">
        <w:rPr>
          <w:lang w:val="en-US"/>
        </w:rPr>
        <w:t xml:space="preserve">ly significant demonstration of the rising </w:t>
      </w:r>
      <w:r w:rsidR="00FD5DE5">
        <w:rPr>
          <w:lang w:val="en-US"/>
        </w:rPr>
        <w:t>nationalism</w:t>
      </w:r>
      <w:r w:rsidR="00DC53F1">
        <w:rPr>
          <w:lang w:val="en-US"/>
        </w:rPr>
        <w:t xml:space="preserve"> of the era</w:t>
      </w:r>
      <w:r w:rsidR="00C74444">
        <w:rPr>
          <w:lang w:val="en-US"/>
        </w:rPr>
        <w:t xml:space="preserve"> was a desire for a new, nationalist history. </w:t>
      </w:r>
      <w:r w:rsidR="00431D6F">
        <w:rPr>
          <w:lang w:val="en-US"/>
        </w:rPr>
        <w:t>In came George Bancroft</w:t>
      </w:r>
      <w:r w:rsidR="00B715E2">
        <w:rPr>
          <w:lang w:val="en-US"/>
        </w:rPr>
        <w:t xml:space="preserve">, a man </w:t>
      </w:r>
      <w:r w:rsidR="000A2786">
        <w:rPr>
          <w:lang w:val="en-US"/>
        </w:rPr>
        <w:t>who needs very little introduction, but nevertheless</w:t>
      </w:r>
      <w:r w:rsidR="00347001">
        <w:rPr>
          <w:lang w:val="en-US"/>
        </w:rPr>
        <w:t>, one shall be included here</w:t>
      </w:r>
      <w:r w:rsidR="005A37BC">
        <w:rPr>
          <w:rStyle w:val="EndnoteReference"/>
          <w:lang w:val="en-US"/>
        </w:rPr>
        <w:endnoteReference w:id="232"/>
      </w:r>
      <w:r w:rsidR="00347001">
        <w:rPr>
          <w:lang w:val="en-US"/>
        </w:rPr>
        <w:t>.</w:t>
      </w:r>
      <w:r w:rsidR="000A2786">
        <w:rPr>
          <w:lang w:val="en-US"/>
        </w:rPr>
        <w:t xml:space="preserve"> </w:t>
      </w:r>
      <w:r w:rsidR="00347001">
        <w:rPr>
          <w:lang w:val="en-US"/>
        </w:rPr>
        <w:t>B</w:t>
      </w:r>
      <w:r w:rsidR="00C83A9E">
        <w:rPr>
          <w:lang w:val="en-US"/>
        </w:rPr>
        <w:t xml:space="preserve">orn to </w:t>
      </w:r>
      <w:r w:rsidR="00B97A5C">
        <w:rPr>
          <w:lang w:val="en-US"/>
        </w:rPr>
        <w:t xml:space="preserve">an elite Massachusetts family in </w:t>
      </w:r>
      <w:r w:rsidR="00E73A08">
        <w:rPr>
          <w:lang w:val="en-US"/>
        </w:rPr>
        <w:t>1800</w:t>
      </w:r>
      <w:r w:rsidR="003B5BA9">
        <w:rPr>
          <w:lang w:val="en-US"/>
        </w:rPr>
        <w:t xml:space="preserve"> and the son of a Unitarian cleric, </w:t>
      </w:r>
      <w:r w:rsidR="001E7575">
        <w:rPr>
          <w:lang w:val="en-US"/>
        </w:rPr>
        <w:t>Bancroft swiftly received an elite education</w:t>
      </w:r>
      <w:r w:rsidR="00F300A6">
        <w:rPr>
          <w:lang w:val="en-US"/>
        </w:rPr>
        <w:t xml:space="preserve"> and graduated from Harvard; afterwards, </w:t>
      </w:r>
      <w:r w:rsidR="0059246E">
        <w:rPr>
          <w:lang w:val="en-US"/>
        </w:rPr>
        <w:t>he travelled to Germany</w:t>
      </w:r>
      <w:r w:rsidR="005E13CA">
        <w:rPr>
          <w:lang w:val="en-US"/>
        </w:rPr>
        <w:t>, to the University of Gottingen,</w:t>
      </w:r>
      <w:r w:rsidR="00D00608">
        <w:rPr>
          <w:lang w:val="en-US"/>
        </w:rPr>
        <w:t xml:space="preserve"> to receive a premium </w:t>
      </w:r>
      <w:r w:rsidR="00A12116">
        <w:rPr>
          <w:lang w:val="en-US"/>
        </w:rPr>
        <w:t xml:space="preserve">graduate </w:t>
      </w:r>
      <w:r w:rsidR="00D00608">
        <w:rPr>
          <w:lang w:val="en-US"/>
        </w:rPr>
        <w:t>education</w:t>
      </w:r>
      <w:r w:rsidR="00431D6F">
        <w:rPr>
          <w:lang w:val="en-US"/>
        </w:rPr>
        <w:t xml:space="preserve">. </w:t>
      </w:r>
      <w:r w:rsidR="007919CB">
        <w:rPr>
          <w:lang w:val="en-US"/>
        </w:rPr>
        <w:t>Here, he met with</w:t>
      </w:r>
      <w:r w:rsidR="003B0D11">
        <w:rPr>
          <w:lang w:val="en-US"/>
        </w:rPr>
        <w:t xml:space="preserve"> the great personalities</w:t>
      </w:r>
      <w:r w:rsidR="00436256">
        <w:rPr>
          <w:lang w:val="en-US"/>
        </w:rPr>
        <w:t xml:space="preserve"> of the era, such as Goethe, Savigny, and </w:t>
      </w:r>
      <w:r w:rsidR="00F560E2">
        <w:rPr>
          <w:lang w:val="en-US"/>
        </w:rPr>
        <w:t>Schelling</w:t>
      </w:r>
      <w:r w:rsidR="00715FB5">
        <w:rPr>
          <w:lang w:val="en-US"/>
        </w:rPr>
        <w:t xml:space="preserve">, and here he </w:t>
      </w:r>
      <w:r w:rsidR="001B33A2">
        <w:rPr>
          <w:lang w:val="en-US"/>
        </w:rPr>
        <w:t>was also taught an idea of liberty from his moderately constitutionalist professors</w:t>
      </w:r>
      <w:r w:rsidR="00E05970">
        <w:rPr>
          <w:lang w:val="en-US"/>
        </w:rPr>
        <w:t xml:space="preserve">. </w:t>
      </w:r>
      <w:r w:rsidR="00ED71C9">
        <w:rPr>
          <w:lang w:val="en-US"/>
        </w:rPr>
        <w:t>The idea that crystallized in his head</w:t>
      </w:r>
      <w:r w:rsidR="0012770E">
        <w:rPr>
          <w:lang w:val="en-US"/>
        </w:rPr>
        <w:t>, was that</w:t>
      </w:r>
      <w:r w:rsidR="000B030A">
        <w:rPr>
          <w:lang w:val="en-US"/>
        </w:rPr>
        <w:t xml:space="preserve"> the flame of</w:t>
      </w:r>
      <w:r w:rsidR="0012770E">
        <w:rPr>
          <w:lang w:val="en-US"/>
        </w:rPr>
        <w:t xml:space="preserve"> liberty originated in </w:t>
      </w:r>
      <w:r w:rsidR="007E3E9C">
        <w:rPr>
          <w:lang w:val="en-US"/>
        </w:rPr>
        <w:t xml:space="preserve">the mists of </w:t>
      </w:r>
      <w:r w:rsidR="0012770E">
        <w:rPr>
          <w:lang w:val="en-US"/>
        </w:rPr>
        <w:t>ancient German</w:t>
      </w:r>
      <w:r w:rsidR="007E3E9C">
        <w:rPr>
          <w:lang w:val="en-US"/>
        </w:rPr>
        <w:t xml:space="preserve">y; from there, </w:t>
      </w:r>
      <w:r w:rsidR="00AA77FB">
        <w:rPr>
          <w:lang w:val="en-US"/>
        </w:rPr>
        <w:t>it</w:t>
      </w:r>
      <w:r w:rsidR="002046A3">
        <w:rPr>
          <w:lang w:val="en-US"/>
        </w:rPr>
        <w:t xml:space="preserve"> </w:t>
      </w:r>
      <w:r w:rsidR="00AD1B73">
        <w:rPr>
          <w:lang w:val="en-US"/>
        </w:rPr>
        <w:t>travelled to England</w:t>
      </w:r>
      <w:r w:rsidR="00761094">
        <w:rPr>
          <w:lang w:val="en-US"/>
        </w:rPr>
        <w:t xml:space="preserve"> with the Anglo-Saxon migrations, and then after the </w:t>
      </w:r>
      <w:r w:rsidR="00D40F14">
        <w:rPr>
          <w:lang w:val="en-US"/>
        </w:rPr>
        <w:t>smothering of the Puritan Revolution and the</w:t>
      </w:r>
      <w:r w:rsidR="00BE7FA5">
        <w:rPr>
          <w:lang w:val="en-US"/>
        </w:rPr>
        <w:t xml:space="preserve"> great migrations of Puritans westwards, it travelled to America. </w:t>
      </w:r>
      <w:r w:rsidR="00186EF0">
        <w:rPr>
          <w:lang w:val="en-US"/>
        </w:rPr>
        <w:t xml:space="preserve">In other words, </w:t>
      </w:r>
      <w:r w:rsidR="00227986">
        <w:rPr>
          <w:lang w:val="en-US"/>
        </w:rPr>
        <w:t xml:space="preserve">the United States had a holy mission to nurse the flame of liberty and keep it alive. </w:t>
      </w:r>
      <w:r w:rsidR="00346C76">
        <w:rPr>
          <w:lang w:val="en-US"/>
        </w:rPr>
        <w:t xml:space="preserve">Not long afterwards, </w:t>
      </w:r>
      <w:r w:rsidR="00FE63EE">
        <w:rPr>
          <w:lang w:val="en-US"/>
        </w:rPr>
        <w:t xml:space="preserve">Bancroft travelled back to the United States, and he became </w:t>
      </w:r>
      <w:r w:rsidR="000E7318">
        <w:rPr>
          <w:lang w:val="en-US"/>
        </w:rPr>
        <w:t xml:space="preserve">a Unitarian minister; however, his sympathies for </w:t>
      </w:r>
      <w:r w:rsidR="004020E5">
        <w:rPr>
          <w:lang w:val="en-US"/>
        </w:rPr>
        <w:t xml:space="preserve">Pike and the Republican Party put him at odds with the New England elite and </w:t>
      </w:r>
      <w:r w:rsidR="00EB41DD">
        <w:rPr>
          <w:lang w:val="en-US"/>
        </w:rPr>
        <w:t xml:space="preserve">his fellow Unitarians. </w:t>
      </w:r>
      <w:r w:rsidR="009E5500">
        <w:rPr>
          <w:lang w:val="en-US"/>
        </w:rPr>
        <w:t>But nevertheless, here he worked on his history of the United States</w:t>
      </w:r>
      <w:r w:rsidR="006911B9">
        <w:rPr>
          <w:lang w:val="en-US"/>
        </w:rPr>
        <w:t xml:space="preserve">, from the European discovery of the Americas to the Revolutionary </w:t>
      </w:r>
      <w:proofErr w:type="gramStart"/>
      <w:r w:rsidR="006911B9">
        <w:rPr>
          <w:lang w:val="en-US"/>
        </w:rPr>
        <w:t>War;</w:t>
      </w:r>
      <w:proofErr w:type="gramEnd"/>
      <w:r w:rsidR="006911B9">
        <w:rPr>
          <w:lang w:val="en-US"/>
        </w:rPr>
        <w:t xml:space="preserve"> </w:t>
      </w:r>
      <w:r w:rsidR="00F36999">
        <w:rPr>
          <w:lang w:val="en-US"/>
        </w:rPr>
        <w:t xml:space="preserve">exuding a certain Romanticism, </w:t>
      </w:r>
      <w:r w:rsidR="006911B9">
        <w:rPr>
          <w:lang w:val="en-US"/>
        </w:rPr>
        <w:t xml:space="preserve">this work </w:t>
      </w:r>
      <w:r w:rsidR="00E83612">
        <w:rPr>
          <w:lang w:val="en-US"/>
        </w:rPr>
        <w:t>had as its protagonist the United States</w:t>
      </w:r>
      <w:r w:rsidR="00967A59">
        <w:rPr>
          <w:lang w:val="en-US"/>
        </w:rPr>
        <w:t xml:space="preserve"> as a nation, </w:t>
      </w:r>
      <w:r w:rsidR="00F36999">
        <w:rPr>
          <w:lang w:val="en-US"/>
        </w:rPr>
        <w:t>with its progress nothing</w:t>
      </w:r>
      <w:r w:rsidR="000B3169">
        <w:rPr>
          <w:lang w:val="en-US"/>
        </w:rPr>
        <w:t xml:space="preserve"> less than divine providence and providing all humanity a certain creed of liberty. </w:t>
      </w:r>
      <w:r w:rsidR="00EA0F87">
        <w:rPr>
          <w:lang w:val="en-US"/>
        </w:rPr>
        <w:t xml:space="preserve">Bancroft revised this history several times </w:t>
      </w:r>
      <w:proofErr w:type="gramStart"/>
      <w:r w:rsidR="00EA0F87">
        <w:rPr>
          <w:lang w:val="en-US"/>
        </w:rPr>
        <w:t>over</w:t>
      </w:r>
      <w:proofErr w:type="gramEnd"/>
      <w:r w:rsidR="00EA0F87">
        <w:rPr>
          <w:lang w:val="en-US"/>
        </w:rPr>
        <w:t xml:space="preserve"> his life, a</w:t>
      </w:r>
      <w:r w:rsidR="002D5982">
        <w:rPr>
          <w:lang w:val="en-US"/>
        </w:rPr>
        <w:t>ll the way until</w:t>
      </w:r>
      <w:r w:rsidR="00090B8F">
        <w:rPr>
          <w:lang w:val="en-US"/>
        </w:rPr>
        <w:t xml:space="preserve"> his presidency</w:t>
      </w:r>
      <w:r w:rsidR="00E03853">
        <w:rPr>
          <w:lang w:val="en-US"/>
        </w:rPr>
        <w:t xml:space="preserve">. The reception of this history was widely enthusiastic; its Romantic </w:t>
      </w:r>
      <w:proofErr w:type="spellStart"/>
      <w:r w:rsidR="00E03853">
        <w:rPr>
          <w:lang w:val="en-US"/>
        </w:rPr>
        <w:t>Whiggism</w:t>
      </w:r>
      <w:proofErr w:type="spellEnd"/>
      <w:r w:rsidR="00E03853">
        <w:rPr>
          <w:lang w:val="en-US"/>
        </w:rPr>
        <w:t xml:space="preserve"> and its </w:t>
      </w:r>
      <w:r w:rsidR="00E06E72">
        <w:rPr>
          <w:lang w:val="en-US"/>
        </w:rPr>
        <w:t xml:space="preserve">patriotism was a </w:t>
      </w:r>
      <w:r w:rsidR="00E06E72">
        <w:rPr>
          <w:lang w:val="en-US"/>
        </w:rPr>
        <w:lastRenderedPageBreak/>
        <w:t>perfect</w:t>
      </w:r>
      <w:r w:rsidR="00302D4C">
        <w:rPr>
          <w:lang w:val="en-US"/>
        </w:rPr>
        <w:t xml:space="preserve"> match for the mood of the era</w:t>
      </w:r>
      <w:r w:rsidR="009507BB">
        <w:rPr>
          <w:lang w:val="en-US"/>
        </w:rPr>
        <w:t xml:space="preserve">, and </w:t>
      </w:r>
      <w:r w:rsidR="002E4C9D">
        <w:rPr>
          <w:lang w:val="en-US"/>
        </w:rPr>
        <w:t>though some Southerners derided</w:t>
      </w:r>
      <w:r w:rsidR="00E12A0D">
        <w:rPr>
          <w:lang w:val="en-US"/>
        </w:rPr>
        <w:t xml:space="preserve"> this as a work of Yankee arrogance, nevertheless it made Bancroft America’s historian. </w:t>
      </w:r>
    </w:p>
    <w:p w14:paraId="0A8F4925" w14:textId="29B421A7" w:rsidR="003A2870" w:rsidRDefault="00FD53C8" w:rsidP="003A2870">
      <w:pPr>
        <w:rPr>
          <w:lang w:val="en-US"/>
        </w:rPr>
      </w:pPr>
      <w:r>
        <w:rPr>
          <w:lang w:val="en-US"/>
        </w:rPr>
        <w:t xml:space="preserve">With the </w:t>
      </w:r>
      <w:r w:rsidR="002D116C">
        <w:rPr>
          <w:lang w:val="en-US"/>
        </w:rPr>
        <w:t>election of Zebulon Pike to the presidency in 1836</w:t>
      </w:r>
      <w:r w:rsidR="00EF27E4">
        <w:rPr>
          <w:lang w:val="en-US"/>
        </w:rPr>
        <w:t>, as perhaps the leading New England Republican, Bancroft received the lucrative appointment as customs collector to Boston, where he served well</w:t>
      </w:r>
      <w:r w:rsidR="003E1397">
        <w:rPr>
          <w:lang w:val="en-US"/>
        </w:rPr>
        <w:t xml:space="preserve">, and he supported Pike’s efforts to remove the </w:t>
      </w:r>
      <w:proofErr w:type="spellStart"/>
      <w:r w:rsidR="003E1397">
        <w:rPr>
          <w:lang w:val="en-US"/>
        </w:rPr>
        <w:t>Calhounists</w:t>
      </w:r>
      <w:proofErr w:type="spellEnd"/>
      <w:r w:rsidR="00EF27E4">
        <w:rPr>
          <w:lang w:val="en-US"/>
        </w:rPr>
        <w:t>; in 1842, Pike subsequently appointed him consul-general to the British Isles</w:t>
      </w:r>
      <w:r w:rsidR="00DD3B87">
        <w:rPr>
          <w:lang w:val="en-US"/>
        </w:rPr>
        <w:t>, to replace the controversial Andrew Stevenson. Here, Bancroft served well</w:t>
      </w:r>
      <w:r w:rsidR="00F7288E">
        <w:rPr>
          <w:lang w:val="en-US"/>
        </w:rPr>
        <w:t xml:space="preserve"> because his philosophy of</w:t>
      </w:r>
      <w:r w:rsidR="00E5232D">
        <w:rPr>
          <w:lang w:val="en-US"/>
        </w:rPr>
        <w:t xml:space="preserve"> progress and </w:t>
      </w:r>
      <w:r w:rsidR="00005FEA">
        <w:rPr>
          <w:lang w:val="en-US"/>
        </w:rPr>
        <w:t>liberty was a perfect fit for the Britain of the era</w:t>
      </w:r>
      <w:r w:rsidR="00BA20DF">
        <w:rPr>
          <w:lang w:val="en-US"/>
        </w:rPr>
        <w:t>,</w:t>
      </w:r>
      <w:r w:rsidR="00D804E3">
        <w:rPr>
          <w:lang w:val="en-US"/>
        </w:rPr>
        <w:t xml:space="preserve"> where admiration of the United States as revolutionary kin was widespread</w:t>
      </w:r>
      <w:r w:rsidR="003D68CC">
        <w:rPr>
          <w:lang w:val="en-US"/>
        </w:rPr>
        <w:t xml:space="preserve">; returning home after the </w:t>
      </w:r>
      <w:r w:rsidR="00771231">
        <w:rPr>
          <w:lang w:val="en-US"/>
        </w:rPr>
        <w:t xml:space="preserve">end of the Pike administration, </w:t>
      </w:r>
      <w:r w:rsidR="008A2D5A">
        <w:rPr>
          <w:lang w:val="en-US"/>
        </w:rPr>
        <w:t xml:space="preserve">Bancroft continued to </w:t>
      </w:r>
      <w:r w:rsidR="00D66A7D">
        <w:rPr>
          <w:lang w:val="en-US"/>
        </w:rPr>
        <w:t xml:space="preserve">be perhaps the most significant New England Republican. </w:t>
      </w:r>
      <w:r w:rsidR="008B0C28">
        <w:rPr>
          <w:lang w:val="en-US"/>
        </w:rPr>
        <w:t>On this basis, he won election as governor of Massachusetts in 184</w:t>
      </w:r>
      <w:r w:rsidR="00835E7F">
        <w:rPr>
          <w:lang w:val="en-US"/>
        </w:rPr>
        <w:t>6</w:t>
      </w:r>
      <w:r w:rsidR="008B0C28">
        <w:rPr>
          <w:lang w:val="en-US"/>
        </w:rPr>
        <w:t xml:space="preserve">, in what many observers considered a reaction to </w:t>
      </w:r>
      <w:proofErr w:type="spellStart"/>
      <w:r w:rsidR="008B0C28">
        <w:rPr>
          <w:lang w:val="en-US"/>
        </w:rPr>
        <w:t>Websterism</w:t>
      </w:r>
      <w:proofErr w:type="spellEnd"/>
      <w:r w:rsidR="00F3120B">
        <w:rPr>
          <w:lang w:val="en-US"/>
        </w:rPr>
        <w:t xml:space="preserve">, and his star only shone further. </w:t>
      </w:r>
      <w:r w:rsidR="003C0BCC">
        <w:rPr>
          <w:lang w:val="en-US"/>
        </w:rPr>
        <w:t>In office, he was less than successful, however; attempts to dismantle what he considered dangerous monopolies</w:t>
      </w:r>
      <w:r w:rsidR="00863357">
        <w:rPr>
          <w:lang w:val="en-US"/>
        </w:rPr>
        <w:t xml:space="preserve"> met with failure against the</w:t>
      </w:r>
      <w:r w:rsidR="00482AB4">
        <w:rPr>
          <w:lang w:val="en-US"/>
        </w:rPr>
        <w:t>ir</w:t>
      </w:r>
      <w:r w:rsidR="00863357">
        <w:rPr>
          <w:lang w:val="en-US"/>
        </w:rPr>
        <w:t xml:space="preserve"> entrenched power</w:t>
      </w:r>
      <w:r w:rsidR="00482AB4">
        <w:rPr>
          <w:lang w:val="en-US"/>
        </w:rPr>
        <w:t xml:space="preserve"> within the state legislature; in particular, his attempt to dismantle the Suffolk Bank system failed against a coalition of Democrats and moderate Republicans. </w:t>
      </w:r>
      <w:r w:rsidR="00835E7F">
        <w:rPr>
          <w:lang w:val="en-US"/>
        </w:rPr>
        <w:t xml:space="preserve">And come 1848 he faced electoral defeat, as he was perhaps unfairly associated with the toxic John C. Calhoun. </w:t>
      </w:r>
      <w:r w:rsidR="003A2870">
        <w:rPr>
          <w:lang w:val="en-US"/>
        </w:rPr>
        <w:t>Nevertheless, his influence and name were such that Stockton named him as his Secretary of War – and he accepted. Here, he was a leading part of Stockton’s aggressive nationalism</w:t>
      </w:r>
      <w:r w:rsidR="00EC04A8">
        <w:rPr>
          <w:lang w:val="en-US"/>
        </w:rPr>
        <w:t xml:space="preserve"> – notably, he was the moving force behind the expedition to Platina – and he </w:t>
      </w:r>
      <w:r w:rsidR="007620F1">
        <w:rPr>
          <w:lang w:val="en-US"/>
        </w:rPr>
        <w:t xml:space="preserve">was nothing less than the embodiment of the New Republicanism of the era. </w:t>
      </w:r>
    </w:p>
    <w:p w14:paraId="6FF05E0F" w14:textId="38879F38" w:rsidR="00534796" w:rsidRPr="006300C1" w:rsidRDefault="00534796" w:rsidP="003A2870">
      <w:pPr>
        <w:rPr>
          <w:lang w:val="en-US"/>
        </w:rPr>
      </w:pPr>
      <w:r>
        <w:rPr>
          <w:lang w:val="en-US"/>
        </w:rPr>
        <w:t xml:space="preserve">But at the same time, Bancroft ignored the issue of slavery. To be sure, </w:t>
      </w:r>
      <w:r w:rsidR="0055031F">
        <w:rPr>
          <w:lang w:val="en-US"/>
        </w:rPr>
        <w:t xml:space="preserve">like any good Yankee of Puritan stock, </w:t>
      </w:r>
      <w:r>
        <w:rPr>
          <w:lang w:val="en-US"/>
        </w:rPr>
        <w:t>he</w:t>
      </w:r>
      <w:r w:rsidR="001D7601">
        <w:rPr>
          <w:lang w:val="en-US"/>
        </w:rPr>
        <w:t xml:space="preserve"> abhorred slavery</w:t>
      </w:r>
      <w:r w:rsidR="004B60D5">
        <w:rPr>
          <w:lang w:val="en-US"/>
        </w:rPr>
        <w:t>, and he hoped the day would come</w:t>
      </w:r>
      <w:r w:rsidR="00145A7B">
        <w:rPr>
          <w:lang w:val="en-US"/>
        </w:rPr>
        <w:t xml:space="preserve"> when this great aberration over American slavery would be put to an end. </w:t>
      </w:r>
      <w:r w:rsidR="007B7917">
        <w:rPr>
          <w:lang w:val="en-US"/>
        </w:rPr>
        <w:t>But he wanted</w:t>
      </w:r>
      <w:r w:rsidR="000672A8">
        <w:rPr>
          <w:lang w:val="en-US"/>
        </w:rPr>
        <w:t xml:space="preserve"> disunion or</w:t>
      </w:r>
      <w:r w:rsidR="007B7917">
        <w:rPr>
          <w:lang w:val="en-US"/>
        </w:rPr>
        <w:t xml:space="preserve"> a civil war even less, and </w:t>
      </w:r>
      <w:r w:rsidR="007B7917">
        <w:rPr>
          <w:lang w:val="en-US"/>
        </w:rPr>
        <w:lastRenderedPageBreak/>
        <w:t>he was perfectly willing to give the Planter Ascendancy</w:t>
      </w:r>
      <w:r w:rsidR="000672A8">
        <w:rPr>
          <w:lang w:val="en-US"/>
        </w:rPr>
        <w:t xml:space="preserve"> what it wanted</w:t>
      </w:r>
      <w:r w:rsidR="007A38E3">
        <w:rPr>
          <w:lang w:val="en-US"/>
        </w:rPr>
        <w:t xml:space="preserve"> to avoid this. </w:t>
      </w:r>
      <w:r w:rsidR="00352BA1">
        <w:rPr>
          <w:lang w:val="en-US"/>
        </w:rPr>
        <w:t>His republicanism was for the white man</w:t>
      </w:r>
      <w:r w:rsidR="003C195A">
        <w:rPr>
          <w:lang w:val="en-US"/>
        </w:rPr>
        <w:t xml:space="preserve">, and he did everything he could to paper over this great difference. He supported the Fugitive Slave Act, and he was perfectly willing to allow the continuation of the </w:t>
      </w:r>
      <w:proofErr w:type="gramStart"/>
      <w:r w:rsidR="003C195A">
        <w:rPr>
          <w:lang w:val="en-US"/>
        </w:rPr>
        <w:t>dubiously-legal</w:t>
      </w:r>
      <w:proofErr w:type="gramEnd"/>
      <w:r w:rsidR="003C195A">
        <w:rPr>
          <w:lang w:val="en-US"/>
        </w:rPr>
        <w:t xml:space="preserve"> trans-Caribbean slave trade. </w:t>
      </w:r>
      <w:r w:rsidR="00A14075">
        <w:rPr>
          <w:lang w:val="en-US"/>
        </w:rPr>
        <w:t xml:space="preserve">Like the median white </w:t>
      </w:r>
      <w:r w:rsidR="00E26A42">
        <w:rPr>
          <w:lang w:val="en-US"/>
        </w:rPr>
        <w:t>Northerner</w:t>
      </w:r>
      <w:r w:rsidR="00A14075">
        <w:rPr>
          <w:lang w:val="en-US"/>
        </w:rPr>
        <w:t>, h</w:t>
      </w:r>
      <w:r w:rsidR="00BC7A66">
        <w:rPr>
          <w:lang w:val="en-US"/>
        </w:rPr>
        <w:t xml:space="preserve">is abhorrence of slavery was something he kept </w:t>
      </w:r>
      <w:proofErr w:type="gramStart"/>
      <w:r w:rsidR="00BC7A66">
        <w:rPr>
          <w:lang w:val="en-US"/>
        </w:rPr>
        <w:t>closely</w:t>
      </w:r>
      <w:proofErr w:type="gramEnd"/>
      <w:r w:rsidR="00BC7A66">
        <w:rPr>
          <w:lang w:val="en-US"/>
        </w:rPr>
        <w:t xml:space="preserve"> to his chest</w:t>
      </w:r>
      <w:r w:rsidR="00E26A42">
        <w:rPr>
          <w:lang w:val="en-US"/>
        </w:rPr>
        <w:t>, to be cast aside in the name of national goals; however, also like the median white Northerner, he found those beliefs tested</w:t>
      </w:r>
      <w:r w:rsidR="00BC7A66">
        <w:rPr>
          <w:lang w:val="en-US"/>
        </w:rPr>
        <w:t>.</w:t>
      </w:r>
      <w:r w:rsidR="00BF6098">
        <w:rPr>
          <w:lang w:val="en-US"/>
        </w:rPr>
        <w:t xml:space="preserve"> </w:t>
      </w:r>
      <w:r w:rsidR="000D4023">
        <w:rPr>
          <w:lang w:val="en-US"/>
        </w:rPr>
        <w:t>W</w:t>
      </w:r>
      <w:r w:rsidR="00BF6098">
        <w:rPr>
          <w:lang w:val="en-US"/>
        </w:rPr>
        <w:t xml:space="preserve">hen antislavery </w:t>
      </w:r>
      <w:r w:rsidR="008F3B97">
        <w:rPr>
          <w:lang w:val="en-US"/>
        </w:rPr>
        <w:t>rose</w:t>
      </w:r>
      <w:r w:rsidR="00650E11">
        <w:rPr>
          <w:lang w:val="en-US"/>
        </w:rPr>
        <w:t xml:space="preserve">, Bancroft </w:t>
      </w:r>
      <w:r w:rsidR="008824A9">
        <w:rPr>
          <w:lang w:val="en-US"/>
        </w:rPr>
        <w:t xml:space="preserve">would </w:t>
      </w:r>
      <w:r w:rsidR="00642DD7">
        <w:rPr>
          <w:lang w:val="en-US"/>
        </w:rPr>
        <w:t>switch horses and ride it</w:t>
      </w:r>
      <w:r w:rsidR="00650E11">
        <w:rPr>
          <w:lang w:val="en-US"/>
        </w:rPr>
        <w:t>;</w:t>
      </w:r>
      <w:r w:rsidR="008F3B97">
        <w:rPr>
          <w:lang w:val="en-US"/>
        </w:rPr>
        <w:t xml:space="preserve"> and when the moment came, Bancroft would </w:t>
      </w:r>
      <w:r w:rsidR="00EC138E">
        <w:rPr>
          <w:lang w:val="en-US"/>
        </w:rPr>
        <w:t xml:space="preserve">serve as the arm of the nation. </w:t>
      </w:r>
    </w:p>
    <w:p w14:paraId="10FCA57E" w14:textId="77777777" w:rsidR="001C25FE" w:rsidRDefault="001C25FE" w:rsidP="001C25FE">
      <w:r>
        <w:br w:type="page"/>
      </w:r>
    </w:p>
    <w:p w14:paraId="628F38F0" w14:textId="77777777" w:rsidR="006C5744" w:rsidRDefault="006C5744" w:rsidP="006C5744"/>
    <w:p w14:paraId="2B883BE9" w14:textId="77777777" w:rsidR="006C5744" w:rsidRDefault="006C5744" w:rsidP="006C5744">
      <w:pPr>
        <w:sectPr w:rsidR="006C5744" w:rsidSect="006C5744">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246F22A0" w14:textId="77777777" w:rsidR="006C5744" w:rsidRDefault="006C5744" w:rsidP="006C5744">
      <w:r>
        <w:br w:type="page"/>
      </w:r>
    </w:p>
    <w:p w14:paraId="5863C59A" w14:textId="217F26BD" w:rsidR="00C620D0" w:rsidRDefault="006C5744" w:rsidP="006C5744">
      <w:pPr>
        <w:pStyle w:val="Heading1"/>
      </w:pPr>
      <w:bookmarkStart w:id="58" w:name="_Toc202006245"/>
      <w:r>
        <w:lastRenderedPageBreak/>
        <w:t>4</w:t>
      </w:r>
      <w:r w:rsidR="00F93DCA">
        <w:t>6</w:t>
      </w:r>
      <w:r>
        <w:t>. The Blessed Leaves</w:t>
      </w:r>
      <w:bookmarkEnd w:id="58"/>
    </w:p>
    <w:p w14:paraId="7FB08AD1" w14:textId="49A4B858" w:rsidR="006C5744" w:rsidRDefault="00082608" w:rsidP="006C5744">
      <w:r>
        <w:t xml:space="preserve">Until the nineteenth century, </w:t>
      </w:r>
      <w:r w:rsidR="00AD08A3">
        <w:t xml:space="preserve">China had a </w:t>
      </w:r>
      <w:r w:rsidR="00EF0CBE">
        <w:t xml:space="preserve">virtual </w:t>
      </w:r>
      <w:r w:rsidR="00AD08A3">
        <w:t>monopoly on tea</w:t>
      </w:r>
      <w:r w:rsidR="000072D9">
        <w:t xml:space="preserve"> production</w:t>
      </w:r>
      <w:r w:rsidR="00AD08A3">
        <w:t xml:space="preserve">. </w:t>
      </w:r>
      <w:r w:rsidR="002C0EE1">
        <w:t xml:space="preserve">This was not a total monopoly – there were other varieties of tea growing elsewhere </w:t>
      </w:r>
      <w:r w:rsidR="00FF5A2F">
        <w:t>around the world</w:t>
      </w:r>
      <w:r w:rsidR="000072D9">
        <w:t>, and Japan</w:t>
      </w:r>
      <w:r w:rsidR="003769B9">
        <w:t>,</w:t>
      </w:r>
      <w:r w:rsidR="000072D9">
        <w:t xml:space="preserve"> Korea</w:t>
      </w:r>
      <w:r w:rsidR="003769B9">
        <w:t>, and Vietnam</w:t>
      </w:r>
      <w:r w:rsidR="000072D9">
        <w:t xml:space="preserve"> had tea plantations of their own –</w:t>
      </w:r>
      <w:r w:rsidR="002C0EE1">
        <w:t xml:space="preserve"> but </w:t>
      </w:r>
      <w:r w:rsidR="000072D9">
        <w:t xml:space="preserve">what is regularly consumed and called “tea” today </w:t>
      </w:r>
      <w:r w:rsidR="00E76374">
        <w:t xml:space="preserve">was largely Chinese. </w:t>
      </w:r>
      <w:r w:rsidR="00FF7F13">
        <w:t>But China was a closed society which kept its secrets close to the heart – and Japan</w:t>
      </w:r>
      <w:r w:rsidR="003769B9">
        <w:t>,</w:t>
      </w:r>
      <w:r w:rsidR="00FF7F13">
        <w:t xml:space="preserve"> Korea</w:t>
      </w:r>
      <w:r w:rsidR="003769B9">
        <w:t>, and Vietnam</w:t>
      </w:r>
      <w:r w:rsidR="00AF4EC9">
        <w:t xml:space="preserve"> being squarely within the Sinosphere,</w:t>
      </w:r>
      <w:r w:rsidR="00FF7F13">
        <w:t xml:space="preserve"> were similar</w:t>
      </w:r>
      <w:r w:rsidR="008E6D7D">
        <w:t xml:space="preserve"> in this regard</w:t>
      </w:r>
      <w:r w:rsidR="00FF7F13">
        <w:t xml:space="preserve"> – and </w:t>
      </w:r>
      <w:r w:rsidR="0088142D">
        <w:t>this meant that this monopoly continued. Thus, though there were other places that could plausibly grow it, if anyone wanted tea, they would need to get it from China – on its terms</w:t>
      </w:r>
      <w:r w:rsidR="00560E3D">
        <w:t>, with whatever prices were dictated by its sellers</w:t>
      </w:r>
      <w:r w:rsidR="0088142D">
        <w:t xml:space="preserve">. </w:t>
      </w:r>
      <w:r w:rsidR="00C666B7">
        <w:t>In an era of growing</w:t>
      </w:r>
      <w:r w:rsidR="00FF5E9E">
        <w:t xml:space="preserve"> Western imperialism, where </w:t>
      </w:r>
      <w:r w:rsidR="00BF4171">
        <w:t>the British, the</w:t>
      </w:r>
      <w:r w:rsidR="00E46C94">
        <w:t xml:space="preserve"> French, the</w:t>
      </w:r>
      <w:r w:rsidR="00BF4171">
        <w:t xml:space="preserve"> Dutch, and </w:t>
      </w:r>
      <w:r w:rsidR="00F33080">
        <w:t>the Portuguese were now able to project power</w:t>
      </w:r>
      <w:r w:rsidR="004B5164">
        <w:t xml:space="preserve"> into eastern Asia, it would not take long for them to </w:t>
      </w:r>
      <w:r w:rsidR="00826294">
        <w:t xml:space="preserve">smuggle the tea out. </w:t>
      </w:r>
    </w:p>
    <w:p w14:paraId="1FBBC2A3" w14:textId="7E977948" w:rsidR="00775F6D" w:rsidRDefault="009A1C7A" w:rsidP="006C5744">
      <w:r>
        <w:t xml:space="preserve">This smuggling was the work of one </w:t>
      </w:r>
      <w:r w:rsidR="00FF6C1D">
        <w:t>Dutch</w:t>
      </w:r>
      <w:r>
        <w:t xml:space="preserve"> trader</w:t>
      </w:r>
      <w:r w:rsidR="00F51CF2">
        <w:t xml:space="preserve">, Cornelius </w:t>
      </w:r>
      <w:r w:rsidR="00AC2F8C">
        <w:t xml:space="preserve">Curtius. </w:t>
      </w:r>
      <w:r w:rsidR="000D7DE4">
        <w:t xml:space="preserve">Operating out of </w:t>
      </w:r>
      <w:r w:rsidR="007A36BE">
        <w:t>Canton in the 1830s</w:t>
      </w:r>
      <w:r w:rsidR="00E34163">
        <w:t>, where foreign traders to Chin</w:t>
      </w:r>
      <w:r w:rsidR="00D710D2">
        <w:t>a</w:t>
      </w:r>
      <w:r w:rsidR="00E34163">
        <w:t xml:space="preserve"> were allowed to operate</w:t>
      </w:r>
      <w:r w:rsidR="00831F83">
        <w:t xml:space="preserve"> from a series of factories</w:t>
      </w:r>
      <w:r w:rsidR="007A36BE">
        <w:t xml:space="preserve">, </w:t>
      </w:r>
      <w:r w:rsidR="00C96107">
        <w:t>Curtius had some experience in</w:t>
      </w:r>
      <w:r w:rsidR="006F0C43">
        <w:t xml:space="preserve"> gardening and</w:t>
      </w:r>
      <w:r w:rsidR="00C96107">
        <w:t xml:space="preserve"> horticulture</w:t>
      </w:r>
      <w:r w:rsidR="00AC707A">
        <w:t xml:space="preserve">; thus, </w:t>
      </w:r>
      <w:r w:rsidR="003062CF">
        <w:t xml:space="preserve">he was the natural </w:t>
      </w:r>
      <w:r w:rsidR="000C50CF">
        <w:t xml:space="preserve">candidate for smuggling not only the tea, but also the knowledge on how it was grown. </w:t>
      </w:r>
      <w:r w:rsidR="00E04C2C">
        <w:t xml:space="preserve">In 1834, he thus made his way </w:t>
      </w:r>
      <w:r w:rsidR="000E375F">
        <w:t xml:space="preserve">into </w:t>
      </w:r>
      <w:r w:rsidR="001E35D2">
        <w:t>Canton,</w:t>
      </w:r>
      <w:r w:rsidR="00E7007A">
        <w:t xml:space="preserve"> </w:t>
      </w:r>
      <w:r w:rsidR="00231942">
        <w:t>and</w:t>
      </w:r>
      <w:r w:rsidR="001E35D2">
        <w:t xml:space="preserve"> with only a thin coat of yellow</w:t>
      </w:r>
      <w:r w:rsidR="00DD4E5C">
        <w:t xml:space="preserve"> makeup, he made his way deep into China. </w:t>
      </w:r>
      <w:r w:rsidR="00914A24">
        <w:t xml:space="preserve">And though his disguise was unconvincing, and though </w:t>
      </w:r>
      <w:r w:rsidR="00913B14">
        <w:t xml:space="preserve">his command of the Mandarin language was halting at best, he simply claimed he came from northern China. </w:t>
      </w:r>
      <w:r w:rsidR="00890217">
        <w:t xml:space="preserve">The China of the time being a closed society in which </w:t>
      </w:r>
      <w:r w:rsidR="00A92D74">
        <w:t xml:space="preserve">the movement of people even within its borders was </w:t>
      </w:r>
      <w:r w:rsidR="00520029">
        <w:t>tightly controlled, the average person he met tended to believe him, as for all they knew northern Chinese people looked like that</w:t>
      </w:r>
      <w:r w:rsidR="0083261E">
        <w:t xml:space="preserve"> and spoke with that strange accent. </w:t>
      </w:r>
      <w:r w:rsidR="00D62330">
        <w:t>With this intact, he made his way to several tea plantations, observed and recorded how they were planted and treated, and he took several plants and seeds with him</w:t>
      </w:r>
      <w:r w:rsidR="000A6FDD">
        <w:t xml:space="preserve">. Making his way back to </w:t>
      </w:r>
      <w:proofErr w:type="gramStart"/>
      <w:r w:rsidR="000A6FDD">
        <w:t>Canton, and</w:t>
      </w:r>
      <w:proofErr w:type="gramEnd"/>
      <w:r w:rsidR="000A6FDD">
        <w:t xml:space="preserve"> narrowly escaping </w:t>
      </w:r>
      <w:r w:rsidR="00086BA4">
        <w:t xml:space="preserve">security which would </w:t>
      </w:r>
      <w:r w:rsidR="00086BA4">
        <w:lastRenderedPageBreak/>
        <w:t xml:space="preserve">have noticed he was, in fact, a white man, he </w:t>
      </w:r>
      <w:r w:rsidR="003853D3">
        <w:t>returned to the Dutch factory with several tea saplings and seeds, and copious amounts of notes on the subject</w:t>
      </w:r>
      <w:r w:rsidR="008C36DE">
        <w:rPr>
          <w:rStyle w:val="EndnoteReference"/>
        </w:rPr>
        <w:endnoteReference w:id="233"/>
      </w:r>
      <w:r w:rsidR="003853D3">
        <w:t xml:space="preserve">. </w:t>
      </w:r>
      <w:r w:rsidR="00E04C2C">
        <w:t>Travelling to Batavia, the ly</w:t>
      </w:r>
      <w:r w:rsidR="00E7007A">
        <w:t xml:space="preserve">nchpin of the Dutch East Indies, they were planted in an experimental garden, along with tea plants smuggled less sensationally from Japan, and </w:t>
      </w:r>
      <w:r w:rsidR="00FA4342">
        <w:t>they grew</w:t>
      </w:r>
      <w:r w:rsidR="000661FA">
        <w:t xml:space="preserve"> successfully</w:t>
      </w:r>
      <w:r w:rsidR="00FA4342">
        <w:t xml:space="preserve">. </w:t>
      </w:r>
      <w:r w:rsidR="00AF7532">
        <w:t xml:space="preserve">Over the next several decades, tea plantations grew across </w:t>
      </w:r>
      <w:r w:rsidR="007C0700">
        <w:t>Java</w:t>
      </w:r>
      <w:r w:rsidR="007F277D">
        <w:t>,</w:t>
      </w:r>
      <w:r w:rsidR="00D55BE9">
        <w:t xml:space="preserve"> </w:t>
      </w:r>
      <w:r w:rsidR="00FB6960">
        <w:t>Sumatra</w:t>
      </w:r>
      <w:r w:rsidR="007F277D">
        <w:t>, and Ceylon</w:t>
      </w:r>
      <w:r w:rsidR="007C0700">
        <w:t xml:space="preserve">, at the expense of </w:t>
      </w:r>
      <w:r w:rsidR="00D55BE9">
        <w:t>the crops of the common peasant</w:t>
      </w:r>
      <w:r w:rsidR="00FB6960">
        <w:t xml:space="preserve">. It would also not take long for </w:t>
      </w:r>
      <w:r w:rsidR="005F793C">
        <w:t xml:space="preserve">tea to be grown </w:t>
      </w:r>
      <w:r w:rsidR="00C4638B">
        <w:t>by other colonial powers, with Dutch tea nowhere near as protected</w:t>
      </w:r>
      <w:r w:rsidR="00997264">
        <w:t>;</w:t>
      </w:r>
      <w:r w:rsidR="00C4638B">
        <w:t xml:space="preserve"> the Portuguese </w:t>
      </w:r>
      <w:r w:rsidR="00956795">
        <w:t xml:space="preserve">took tea with them to Brazil, </w:t>
      </w:r>
      <w:r w:rsidR="00A16B68">
        <w:t xml:space="preserve">the British to </w:t>
      </w:r>
      <w:r w:rsidR="00997264">
        <w:t xml:space="preserve">its remaining Indian holdings – and Americans to the South. </w:t>
      </w:r>
    </w:p>
    <w:p w14:paraId="03FC3548" w14:textId="7D1554F3" w:rsidR="008B482B" w:rsidRDefault="008B482B" w:rsidP="006C5744">
      <w:r>
        <w:t xml:space="preserve">Tea production in the United States was </w:t>
      </w:r>
      <w:r w:rsidR="006F36AD">
        <w:t>truly a national project. For it was chiefly New Englanders who traded</w:t>
      </w:r>
      <w:r w:rsidR="00795C2E">
        <w:t xml:space="preserve"> with Asia, and it was them who brought tea abroad to America</w:t>
      </w:r>
      <w:r w:rsidR="00984706">
        <w:rPr>
          <w:rStyle w:val="EndnoteReference"/>
        </w:rPr>
        <w:endnoteReference w:id="234"/>
      </w:r>
      <w:r w:rsidR="00306705">
        <w:t xml:space="preserve">. That it would be planted </w:t>
      </w:r>
      <w:r w:rsidR="00412456">
        <w:t>in</w:t>
      </w:r>
      <w:r w:rsidR="00306705">
        <w:t xml:space="preserve"> the United States</w:t>
      </w:r>
      <w:r w:rsidR="003F4ED0">
        <w:t>, in the South</w:t>
      </w:r>
      <w:r w:rsidR="00412456">
        <w:t>, was demonstrative of the level the American economy truly was an integrated whole</w:t>
      </w:r>
      <w:r w:rsidR="00795C2E">
        <w:t>. Planted</w:t>
      </w:r>
      <w:r w:rsidR="009F7B59">
        <w:t xml:space="preserve"> in 184</w:t>
      </w:r>
      <w:r w:rsidR="009E6750">
        <w:t>4</w:t>
      </w:r>
      <w:r w:rsidR="009F7B59">
        <w:t>,</w:t>
      </w:r>
      <w:r w:rsidR="00795C2E">
        <w:t xml:space="preserve"> in </w:t>
      </w:r>
      <w:r w:rsidR="003D1A06">
        <w:t xml:space="preserve">Georgia – a state always welcoming of new innovations that could enhance its prosperity </w:t>
      </w:r>
      <w:r w:rsidR="009F7B59">
        <w:t>–</w:t>
      </w:r>
      <w:r w:rsidR="003D1A06">
        <w:t xml:space="preserve"> </w:t>
      </w:r>
      <w:r w:rsidR="009F7B59">
        <w:t xml:space="preserve">despite some hiccups along the way, tea planters were more than able to </w:t>
      </w:r>
      <w:r w:rsidR="00590943">
        <w:t xml:space="preserve">hire British and Dutch planters to better understand how to do it. </w:t>
      </w:r>
      <w:r w:rsidR="005E3773">
        <w:t xml:space="preserve">With that, it further expanded – from Georgia, it then travelled to </w:t>
      </w:r>
      <w:r w:rsidR="001A2AC1">
        <w:t>South Carolina</w:t>
      </w:r>
      <w:r w:rsidR="004E63B8">
        <w:t xml:space="preserve">, and then it went to </w:t>
      </w:r>
      <w:r w:rsidR="009D7DA1">
        <w:t>Mississippi</w:t>
      </w:r>
      <w:r w:rsidR="000B26BB">
        <w:rPr>
          <w:rStyle w:val="EndnoteReference"/>
        </w:rPr>
        <w:endnoteReference w:id="235"/>
      </w:r>
      <w:r w:rsidR="009D7DA1">
        <w:t xml:space="preserve">. </w:t>
      </w:r>
      <w:r w:rsidR="006F0C26">
        <w:t xml:space="preserve">Not </w:t>
      </w:r>
      <w:proofErr w:type="gramStart"/>
      <w:r w:rsidR="006F0C26">
        <w:t>all of</w:t>
      </w:r>
      <w:proofErr w:type="gramEnd"/>
      <w:r w:rsidR="006F0C26">
        <w:t xml:space="preserve"> these tea projects were successful, but enough of them were</w:t>
      </w:r>
      <w:r w:rsidR="009F6B6D">
        <w:t xml:space="preserve"> to change the economic landscape of the South</w:t>
      </w:r>
      <w:r w:rsidR="006F0C26">
        <w:t xml:space="preserve">, and the business was quite lucrative indeed. </w:t>
      </w:r>
      <w:r w:rsidR="00FB3996">
        <w:t xml:space="preserve">This additionally further diversified the Southern economy, diverging it further from the cotton monoculture it once was. </w:t>
      </w:r>
      <w:r w:rsidR="00251C98">
        <w:t xml:space="preserve">But there were ways that tea production was much like </w:t>
      </w:r>
      <w:r w:rsidR="00272861">
        <w:t>cotton. Most tea existed for export – a legacy of the American Revolution was that Americans much preferred coffee over tea</w:t>
      </w:r>
      <w:r w:rsidR="002F4A2B">
        <w:t xml:space="preserve"> – and this mean</w:t>
      </w:r>
      <w:r w:rsidR="00065DE3">
        <w:t xml:space="preserve">t </w:t>
      </w:r>
      <w:r w:rsidR="00BD4473">
        <w:t xml:space="preserve">that it strengthened </w:t>
      </w:r>
      <w:r w:rsidR="00804086">
        <w:t xml:space="preserve">the </w:t>
      </w:r>
      <w:r w:rsidR="00BD4473">
        <w:t>free trade</w:t>
      </w:r>
      <w:r w:rsidR="00804086">
        <w:t xml:space="preserve"> movement</w:t>
      </w:r>
      <w:r w:rsidR="00BD4473">
        <w:t xml:space="preserve"> within the South</w:t>
      </w:r>
      <w:r w:rsidR="0064309D">
        <w:t>. There was a protectionist wing among tea planters, who hoped to replace imported coffee</w:t>
      </w:r>
      <w:r w:rsidR="00777DA7">
        <w:t xml:space="preserve"> with </w:t>
      </w:r>
      <w:r w:rsidR="00344D22">
        <w:t>the</w:t>
      </w:r>
      <w:r w:rsidR="00777DA7">
        <w:t xml:space="preserve"> tea</w:t>
      </w:r>
      <w:r w:rsidR="00344D22">
        <w:t xml:space="preserve"> they produced</w:t>
      </w:r>
      <w:r w:rsidR="00777DA7">
        <w:t>, but this was only a faction within the movement</w:t>
      </w:r>
      <w:r w:rsidR="00BD4473">
        <w:t xml:space="preserve">. </w:t>
      </w:r>
      <w:r w:rsidR="00777DA7">
        <w:t>Additionally,</w:t>
      </w:r>
      <w:r w:rsidR="00464296">
        <w:t xml:space="preserve"> like cotton, tea was produced by </w:t>
      </w:r>
      <w:r w:rsidR="006031BC">
        <w:t xml:space="preserve">slaves, working in the open field. </w:t>
      </w:r>
      <w:r w:rsidR="00777DA7">
        <w:t>The expansion of tea production</w:t>
      </w:r>
      <w:r w:rsidR="00B0683E">
        <w:t xml:space="preserve"> only served to strengthen the great </w:t>
      </w:r>
      <w:r w:rsidR="00B0683E">
        <w:lastRenderedPageBreak/>
        <w:t>division of the United States, between slave and free, as</w:t>
      </w:r>
      <w:r w:rsidR="00162DD2">
        <w:t xml:space="preserve"> with their control of state institutions</w:t>
      </w:r>
      <w:r w:rsidR="00B0683E">
        <w:t xml:space="preserve"> </w:t>
      </w:r>
      <w:r w:rsidR="0026393F">
        <w:t>planters</w:t>
      </w:r>
      <w:r w:rsidR="00B0683E">
        <w:t xml:space="preserve"> forced </w:t>
      </w:r>
      <w:r w:rsidR="009214B4">
        <w:t>poor whites off their land and, in</w:t>
      </w:r>
      <w:r w:rsidR="00AD5DB5">
        <w:t xml:space="preserve"> their</w:t>
      </w:r>
      <w:r w:rsidR="009214B4">
        <w:t xml:space="preserve"> place, </w:t>
      </w:r>
      <w:r w:rsidR="0026393F">
        <w:t>t</w:t>
      </w:r>
      <w:r w:rsidR="004A6612">
        <w:t>hose planters</w:t>
      </w:r>
      <w:r w:rsidR="0026393F">
        <w:t xml:space="preserve"> established </w:t>
      </w:r>
      <w:r w:rsidR="008C0EDA">
        <w:t xml:space="preserve">large </w:t>
      </w:r>
      <w:r w:rsidR="0026393F">
        <w:t xml:space="preserve">tea plantations. </w:t>
      </w:r>
    </w:p>
    <w:p w14:paraId="75B9E891" w14:textId="22CE28C1" w:rsidR="00414404" w:rsidRDefault="00414404" w:rsidP="006C5744">
      <w:r>
        <w:t xml:space="preserve">Additionally, the rise of tea in the 1840s and 50s served to integrate the United States into a larger global market. </w:t>
      </w:r>
      <w:r w:rsidR="008C65BD">
        <w:t>For tea could be sold all over Europe</w:t>
      </w:r>
      <w:r w:rsidR="00D231A6">
        <w:t xml:space="preserve"> – and even beyond it</w:t>
      </w:r>
      <w:r w:rsidR="00CA63CE">
        <w:t>, to Asia</w:t>
      </w:r>
      <w:r w:rsidR="00D231A6">
        <w:t xml:space="preserve"> – and this strengthened the position of the United States. </w:t>
      </w:r>
      <w:r w:rsidR="006C30B3">
        <w:t>This was similarly helped by events in China – the 1850s saw it break into civil war, which ultimately reduced its ruling Qing dynasty to a rump state in the far north and saw the new, revolutionary Bai dynasty take hold in the remainder, but along the way th</w:t>
      </w:r>
      <w:r w:rsidR="008428A9">
        <w:t>e brutal warfare</w:t>
      </w:r>
      <w:r w:rsidR="006C30B3">
        <w:t xml:space="preserve"> tanked trade – and the ensuing reduction of tea supply meant </w:t>
      </w:r>
      <w:r w:rsidR="006A4121">
        <w:t>American tea could only be sold elsewhere</w:t>
      </w:r>
      <w:r w:rsidR="00A40E06">
        <w:rPr>
          <w:rStyle w:val="EndnoteReference"/>
        </w:rPr>
        <w:endnoteReference w:id="236"/>
      </w:r>
      <w:r w:rsidR="006A4121">
        <w:t xml:space="preserve">. </w:t>
      </w:r>
      <w:r w:rsidR="001729DF">
        <w:t xml:space="preserve">This further allowed for the rise of tea plantations in the United States, as it made them more profitable, and it motivated American tea sellers – who were largely New Englanders, demonstrating the scope of </w:t>
      </w:r>
      <w:r w:rsidR="001F44BE">
        <w:t xml:space="preserve">national </w:t>
      </w:r>
      <w:r w:rsidR="001729DF">
        <w:t xml:space="preserve">economic integration – to find new markets where they could fill the void created by Chinese tea. </w:t>
      </w:r>
      <w:r w:rsidR="006A0356">
        <w:t>This gave the United States a growing amount of economic influence, a fact also helped by its neutrality in Europe’s various</w:t>
      </w:r>
      <w:r w:rsidR="00FC24A8">
        <w:t xml:space="preserve"> wars, and it gave it new confidence. </w:t>
      </w:r>
      <w:r w:rsidR="000403B3">
        <w:t>And with these new markets</w:t>
      </w:r>
      <w:r w:rsidR="008E4B1C">
        <w:t xml:space="preserve"> in hand, enabled by </w:t>
      </w:r>
      <w:r w:rsidR="00022569">
        <w:t>networks of American traders</w:t>
      </w:r>
      <w:r w:rsidR="000403B3">
        <w:t xml:space="preserve">, Americans could also now look to selling new goods </w:t>
      </w:r>
      <w:r w:rsidR="00662AA6">
        <w:t xml:space="preserve">– not just tea, but also </w:t>
      </w:r>
      <w:r w:rsidR="00CD64A1">
        <w:t>industrial goods produced in the factories of the nation</w:t>
      </w:r>
      <w:r w:rsidR="00C977A4">
        <w:rPr>
          <w:rStyle w:val="EndnoteReference"/>
        </w:rPr>
        <w:endnoteReference w:id="237"/>
      </w:r>
      <w:r w:rsidR="000403B3">
        <w:t>. No longer was the United States a nation of imports; now it could increasingly boast of exports</w:t>
      </w:r>
      <w:r w:rsidR="00537F79">
        <w:t>. T</w:t>
      </w:r>
      <w:r w:rsidR="003A4FB9">
        <w:t xml:space="preserve">o be sure, on net the nation imported more than it exported until well after the Liberty and Union War – but </w:t>
      </w:r>
      <w:r w:rsidR="008701D0">
        <w:t xml:space="preserve">the balance of trade was changing. </w:t>
      </w:r>
      <w:r w:rsidR="000E3C5A">
        <w:t>In this era, the United States was thus breaking out of its</w:t>
      </w:r>
      <w:r w:rsidR="00706C11">
        <w:t xml:space="preserve"> shell, and it </w:t>
      </w:r>
      <w:r w:rsidR="00E104F2">
        <w:t xml:space="preserve">threw off its old </w:t>
      </w:r>
      <w:r w:rsidR="005C5B82">
        <w:t>colonial</w:t>
      </w:r>
      <w:r w:rsidR="006C40AB">
        <w:t xml:space="preserve"> habits</w:t>
      </w:r>
      <w:r w:rsidR="00923382">
        <w:t xml:space="preserve"> in favor of national confidence</w:t>
      </w:r>
      <w:r w:rsidR="006C40AB">
        <w:t xml:space="preserve">. </w:t>
      </w:r>
      <w:r w:rsidR="00ED6AC5">
        <w:t xml:space="preserve">And this was in part thanks to the </w:t>
      </w:r>
      <w:r w:rsidR="001B0131">
        <w:t xml:space="preserve">rise of the tea industry. </w:t>
      </w:r>
    </w:p>
    <w:p w14:paraId="43AFC2B4" w14:textId="1D959F4B" w:rsidR="00A412E3" w:rsidRPr="006C5744" w:rsidRDefault="00A412E3" w:rsidP="006C5744">
      <w:r>
        <w:t xml:space="preserve">Thus, tea production in the United States served to change not only the South in which it was grown, but also the whole nation. </w:t>
      </w:r>
      <w:r w:rsidR="00E547AB">
        <w:t xml:space="preserve">Its economy was no longer restricted to </w:t>
      </w:r>
      <w:r w:rsidR="00F34602">
        <w:t xml:space="preserve">its home market, or to </w:t>
      </w:r>
      <w:r w:rsidR="00F34602">
        <w:lastRenderedPageBreak/>
        <w:t xml:space="preserve">the export of raw </w:t>
      </w:r>
      <w:r w:rsidR="00EA0D61">
        <w:t>material</w:t>
      </w:r>
      <w:r w:rsidR="00F34602">
        <w:t xml:space="preserve"> for its former colonial master, but instead it was diverse</w:t>
      </w:r>
      <w:r w:rsidR="00EA0D61">
        <w:t xml:space="preserve">, producing goods, both raw and industrial, and </w:t>
      </w:r>
      <w:r w:rsidR="002D42E5">
        <w:t xml:space="preserve">for both </w:t>
      </w:r>
      <w:r w:rsidR="000967FB">
        <w:t>home and foreign markets</w:t>
      </w:r>
      <w:r w:rsidR="00F34602">
        <w:t xml:space="preserve">. </w:t>
      </w:r>
      <w:r w:rsidR="00435C4D">
        <w:t xml:space="preserve">But this economic integration </w:t>
      </w:r>
      <w:r w:rsidR="00DF3396">
        <w:t xml:space="preserve">this created </w:t>
      </w:r>
      <w:r w:rsidR="00435C4D">
        <w:t xml:space="preserve">also led to growing economic conflict within the United States. Suddenly, </w:t>
      </w:r>
      <w:r w:rsidR="003243F9">
        <w:t xml:space="preserve">goods produced in the free North had to compete with goods produced in the slave South. </w:t>
      </w:r>
      <w:r w:rsidR="00C16DD0">
        <w:t xml:space="preserve">For industrialists who wanted to make money – </w:t>
      </w:r>
      <w:r w:rsidR="006E152E">
        <w:t xml:space="preserve">in the northern case, </w:t>
      </w:r>
      <w:r w:rsidR="00C16DD0">
        <w:t xml:space="preserve">for workers who wanted higher wages – they </w:t>
      </w:r>
      <w:r w:rsidR="00680961">
        <w:t xml:space="preserve">suddenly needed to look to </w:t>
      </w:r>
      <w:r w:rsidR="006E152E">
        <w:t xml:space="preserve">their rivals in the other section. </w:t>
      </w:r>
      <w:r w:rsidR="00FF282C">
        <w:t xml:space="preserve">And this made conflict inevitable. </w:t>
      </w:r>
    </w:p>
    <w:p w14:paraId="4B156029" w14:textId="607BE473" w:rsidR="005152FE" w:rsidRDefault="005152FE" w:rsidP="005152FE">
      <w:r>
        <w:br w:type="page"/>
      </w:r>
    </w:p>
    <w:p w14:paraId="4DE88C80" w14:textId="77777777" w:rsidR="001E021C" w:rsidRDefault="001E021C" w:rsidP="001E021C"/>
    <w:p w14:paraId="6D62DCC5" w14:textId="77777777" w:rsidR="001E021C" w:rsidRDefault="001E021C" w:rsidP="001E021C">
      <w:pPr>
        <w:sectPr w:rsidR="001E021C" w:rsidSect="001E021C">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04BC5C58" w14:textId="77777777" w:rsidR="001E021C" w:rsidRDefault="001E021C" w:rsidP="001E021C">
      <w:r>
        <w:br w:type="page"/>
      </w:r>
    </w:p>
    <w:p w14:paraId="160BB1FC" w14:textId="1A40C088" w:rsidR="00C620D0" w:rsidRDefault="001E021C" w:rsidP="001E021C">
      <w:pPr>
        <w:pStyle w:val="Heading1"/>
      </w:pPr>
      <w:bookmarkStart w:id="59" w:name="_Toc202006246"/>
      <w:r>
        <w:lastRenderedPageBreak/>
        <w:t>4</w:t>
      </w:r>
      <w:r w:rsidR="00F93DCA">
        <w:t>7</w:t>
      </w:r>
      <w:r>
        <w:t>. A Taste of Immortality</w:t>
      </w:r>
      <w:bookmarkEnd w:id="59"/>
    </w:p>
    <w:p w14:paraId="445B6FD9" w14:textId="39A72DC0" w:rsidR="00457581" w:rsidRDefault="00B300EA" w:rsidP="00457581">
      <w:r>
        <w:t>Of all the inventions</w:t>
      </w:r>
      <w:r w:rsidR="0060345D">
        <w:t xml:space="preserve"> of the </w:t>
      </w:r>
      <w:r w:rsidR="009F08C1">
        <w:t xml:space="preserve">nineteenth century, few have been as significant as the </w:t>
      </w:r>
      <w:proofErr w:type="spellStart"/>
      <w:r w:rsidR="00F633EE">
        <w:t>striaphone</w:t>
      </w:r>
      <w:proofErr w:type="spellEnd"/>
      <w:r w:rsidR="00F633EE">
        <w:t xml:space="preserve">. </w:t>
      </w:r>
      <w:r w:rsidR="00922A02">
        <w:t xml:space="preserve">Giving human beings the ability to record and play back sound for the first time in human history, it </w:t>
      </w:r>
      <w:r w:rsidR="00EE0040">
        <w:t xml:space="preserve">caused something of a communications revolution. It changed </w:t>
      </w:r>
      <w:r w:rsidR="009A1F0B">
        <w:t xml:space="preserve">the way human beings think about sound, and it </w:t>
      </w:r>
      <w:r w:rsidR="00FF627E">
        <w:t>established a whole new variety of human experiences. And it all started with one man – Samuel Morse</w:t>
      </w:r>
      <w:r w:rsidR="00E11763">
        <w:rPr>
          <w:rStyle w:val="EndnoteReference"/>
        </w:rPr>
        <w:endnoteReference w:id="238"/>
      </w:r>
      <w:r w:rsidR="00FF627E">
        <w:t xml:space="preserve">. </w:t>
      </w:r>
    </w:p>
    <w:p w14:paraId="7070EE3E" w14:textId="5878060D" w:rsidR="002B76C6" w:rsidRDefault="002B76C6" w:rsidP="00457581">
      <w:r>
        <w:t xml:space="preserve">Born in 1791 to a family within </w:t>
      </w:r>
      <w:r w:rsidR="00E117B6">
        <w:t>the very top of Boston’s</w:t>
      </w:r>
      <w:r w:rsidR="00842B11">
        <w:t xml:space="preserve"> elite</w:t>
      </w:r>
      <w:r w:rsidR="000D2C71">
        <w:t>, he was part of its most traditionalist section</w:t>
      </w:r>
      <w:r w:rsidR="003C5B1D">
        <w:t>; for the remainder of his life, he fought to maintain its Puritan</w:t>
      </w:r>
      <w:r w:rsidR="00F2441F">
        <w:t xml:space="preserve"> Calvinist</w:t>
      </w:r>
      <w:r w:rsidR="003C5B1D">
        <w:t xml:space="preserve"> traditions against those, </w:t>
      </w:r>
      <w:r w:rsidR="00F2441F">
        <w:t>both within and without New England</w:t>
      </w:r>
      <w:r w:rsidR="00472DE1">
        <w:t>, who</w:t>
      </w:r>
      <w:r w:rsidR="004F4D04">
        <w:t xml:space="preserve"> in his eyes</w:t>
      </w:r>
      <w:r w:rsidR="00472DE1">
        <w:t xml:space="preserve"> wanted to destroy it. </w:t>
      </w:r>
      <w:r w:rsidR="007D5845">
        <w:t xml:space="preserve">Studying at </w:t>
      </w:r>
      <w:r w:rsidR="00D46E6C">
        <w:t xml:space="preserve">Yale, he learned about religious philosophy, science, and </w:t>
      </w:r>
      <w:r w:rsidR="00C67408">
        <w:t>mathematics</w:t>
      </w:r>
      <w:r w:rsidR="00A63262">
        <w:t xml:space="preserve"> – all matters that would impugn upon his life forever. </w:t>
      </w:r>
      <w:r w:rsidR="0058283F">
        <w:t xml:space="preserve">After graduating in 1810, Morse made his name as an artist; his art </w:t>
      </w:r>
      <w:r w:rsidR="00A05DC5">
        <w:t xml:space="preserve">expressed his </w:t>
      </w:r>
      <w:r w:rsidR="00927CDE">
        <w:t xml:space="preserve">traditionalist and Calvinist leanings, and they made his name within New England. </w:t>
      </w:r>
      <w:r w:rsidR="00443EA9">
        <w:t xml:space="preserve">In this era, his political leanings shifted to those which </w:t>
      </w:r>
      <w:r w:rsidR="00480605">
        <w:t xml:space="preserve">defined the rest of his career; he </w:t>
      </w:r>
      <w:r w:rsidR="000752A7">
        <w:t xml:space="preserve">went from being a Federalist to a Jeffersonian </w:t>
      </w:r>
      <w:r w:rsidR="004657FF">
        <w:t>R</w:t>
      </w:r>
      <w:r w:rsidR="000752A7">
        <w:t>epublican.</w:t>
      </w:r>
      <w:r w:rsidR="00884CC1">
        <w:t xml:space="preserve"> This was not an extraordinary shift in politics, and there were more than a handful of Federalists whose aversion to Burr led them to come to terms with Jeffersonian,</w:t>
      </w:r>
      <w:r w:rsidR="000752A7">
        <w:t xml:space="preserve"> </w:t>
      </w:r>
      <w:r w:rsidR="00884CC1">
        <w:t>but unusually h</w:t>
      </w:r>
      <w:r w:rsidR="00A85A9A">
        <w:t>is opinions ultimately became quite</w:t>
      </w:r>
      <w:r w:rsidR="00344522">
        <w:t xml:space="preserve"> extreme; Morse’s </w:t>
      </w:r>
      <w:r w:rsidR="005736AA">
        <w:t>defence of slavery and nativism</w:t>
      </w:r>
      <w:r w:rsidR="001D7DB2">
        <w:t xml:space="preserve"> would define the remainder of his career. </w:t>
      </w:r>
      <w:r w:rsidR="00FC0967">
        <w:t>Achieving some critical renown for his</w:t>
      </w:r>
      <w:r w:rsidR="008074E3">
        <w:t xml:space="preserve"> painting work</w:t>
      </w:r>
      <w:r w:rsidR="008545C2">
        <w:t xml:space="preserve"> and moving to New York to be part of </w:t>
      </w:r>
      <w:r w:rsidR="00432177">
        <w:t>America’s art</w:t>
      </w:r>
      <w:r w:rsidR="002D67F7">
        <w:t xml:space="preserve"> establishment</w:t>
      </w:r>
      <w:r w:rsidR="008074E3">
        <w:t xml:space="preserve">, he </w:t>
      </w:r>
      <w:r w:rsidR="00657CE9">
        <w:t xml:space="preserve">helped establish </w:t>
      </w:r>
      <w:r w:rsidR="00C8448D">
        <w:t xml:space="preserve">an academy for </w:t>
      </w:r>
      <w:r w:rsidR="00F45068">
        <w:t>painting</w:t>
      </w:r>
      <w:r w:rsidR="00C8448D">
        <w:t xml:space="preserve"> shortly after the Luisiana War – and from here, h</w:t>
      </w:r>
      <w:r w:rsidR="00B2054A">
        <w:t xml:space="preserve">e became drawn into politics. </w:t>
      </w:r>
    </w:p>
    <w:p w14:paraId="0495482F" w14:textId="274E3997" w:rsidR="001E382F" w:rsidRDefault="001E382F" w:rsidP="00457581">
      <w:r>
        <w:t xml:space="preserve">For </w:t>
      </w:r>
      <w:r w:rsidR="00D4261B">
        <w:t>the war resulted in a period of intense</w:t>
      </w:r>
      <w:r w:rsidR="00F87227">
        <w:t xml:space="preserve"> nativism. </w:t>
      </w:r>
      <w:r w:rsidR="005D2FCA">
        <w:t xml:space="preserve">The annexation of </w:t>
      </w:r>
      <w:r w:rsidR="00FE0B25">
        <w:t xml:space="preserve">Luisiana and the </w:t>
      </w:r>
      <w:proofErr w:type="spellStart"/>
      <w:r w:rsidR="00FE0B25">
        <w:t>Floridas</w:t>
      </w:r>
      <w:proofErr w:type="spellEnd"/>
      <w:r w:rsidR="00FE0B25">
        <w:t xml:space="preserve"> suddenly gave the United States a large </w:t>
      </w:r>
      <w:r w:rsidR="00561403">
        <w:t>Catholic minority, which could additionally be expected to</w:t>
      </w:r>
      <w:r w:rsidR="002340C1">
        <w:t xml:space="preserve"> make up majorities in one or several states in the future; additionally, postwar, </w:t>
      </w:r>
      <w:r w:rsidR="00914F2E">
        <w:lastRenderedPageBreak/>
        <w:t xml:space="preserve">immigrants poured into the United States, </w:t>
      </w:r>
      <w:r w:rsidR="00A026A3">
        <w:t>in a massive wave which, to many Americans, threatened to entirely remould society</w:t>
      </w:r>
      <w:r w:rsidR="00975397">
        <w:t xml:space="preserve">. In the period of political disarray that succeeded the war, this in turn led to </w:t>
      </w:r>
      <w:r w:rsidR="00144672">
        <w:t xml:space="preserve">the formation of the Anti-Catholic Party, and </w:t>
      </w:r>
      <w:r w:rsidR="00AB4A55">
        <w:t xml:space="preserve">Morse ended up a </w:t>
      </w:r>
      <w:r w:rsidR="00C52B2A">
        <w:t>founding member of th</w:t>
      </w:r>
      <w:r w:rsidR="009A4976">
        <w:t>e new</w:t>
      </w:r>
      <w:r w:rsidR="00C52B2A">
        <w:t xml:space="preserve"> party. </w:t>
      </w:r>
      <w:r w:rsidR="003B18F0">
        <w:t xml:space="preserve">In New York City, then and now a </w:t>
      </w:r>
      <w:r w:rsidR="00013BC7">
        <w:t>major entrepot for immigration, this backlash was particularly immense</w:t>
      </w:r>
      <w:r w:rsidR="00A17FB8">
        <w:t xml:space="preserve">, and Morse sought to make this known in the municipal stage. </w:t>
      </w:r>
      <w:r w:rsidR="00525101">
        <w:t xml:space="preserve">Running for mayor in 1831, </w:t>
      </w:r>
      <w:r w:rsidR="006937FA">
        <w:t>he ran a campaign where he combined</w:t>
      </w:r>
      <w:r w:rsidR="00457287">
        <w:t xml:space="preserve"> longstanding resentment at the Tammany political machine which had dominated the city since the time of Burr, </w:t>
      </w:r>
      <w:r w:rsidR="00F96DC2">
        <w:t>along with</w:t>
      </w:r>
      <w:r w:rsidR="003C4D2C">
        <w:t xml:space="preserve"> this new anti-immigrant sentiment. </w:t>
      </w:r>
      <w:r w:rsidR="008142D7">
        <w:t xml:space="preserve">He ultimately won, in a narrow election acclaimed in its day as a victory against both immigrants and Tammany clientele politics. </w:t>
      </w:r>
      <w:r w:rsidR="00A01736">
        <w:t xml:space="preserve">In office, </w:t>
      </w:r>
      <w:r w:rsidR="00DD0E42">
        <w:t xml:space="preserve">Morse proved less successful, however; his </w:t>
      </w:r>
      <w:r w:rsidR="009B0C73">
        <w:t>establishment of a police force, to control the new mass of immigrants</w:t>
      </w:r>
      <w:r w:rsidR="00741682">
        <w:t>, and New Yorkers resisted this as a</w:t>
      </w:r>
      <w:r w:rsidR="00DA4755">
        <w:t xml:space="preserve"> military force imposed on America’s own people</w:t>
      </w:r>
      <w:r w:rsidR="00F04F9B">
        <w:t xml:space="preserve">. </w:t>
      </w:r>
      <w:r w:rsidR="004E57FF">
        <w:t xml:space="preserve">Additionally, he directed this force against Tammany, </w:t>
      </w:r>
      <w:proofErr w:type="gramStart"/>
      <w:r w:rsidR="004E57FF">
        <w:t>in an effort to</w:t>
      </w:r>
      <w:proofErr w:type="gramEnd"/>
      <w:r w:rsidR="004E57FF">
        <w:t xml:space="preserve"> break its political machinery and </w:t>
      </w:r>
      <w:r w:rsidR="0082054D">
        <w:t>establish in its place</w:t>
      </w:r>
      <w:r w:rsidR="00305792">
        <w:t xml:space="preserve"> a new arrangement of clientele politics fixated around a new nativism.</w:t>
      </w:r>
      <w:r w:rsidR="003E33C7">
        <w:t xml:space="preserve"> This proved highly controversial</w:t>
      </w:r>
      <w:r w:rsidR="00D219AD">
        <w:t>,</w:t>
      </w:r>
      <w:r w:rsidR="003E33C7">
        <w:t xml:space="preserve"> and it gave</w:t>
      </w:r>
      <w:r w:rsidR="0014052A">
        <w:t xml:space="preserve"> to Tammany a</w:t>
      </w:r>
      <w:r w:rsidR="009F5F40">
        <w:t xml:space="preserve">n aura of </w:t>
      </w:r>
      <w:r w:rsidR="002F7DA1">
        <w:t xml:space="preserve">martyrdom which </w:t>
      </w:r>
      <w:r w:rsidR="00333968">
        <w:t xml:space="preserve">it would relish in the years that followed. Come the end of his one-year term as mayor, his </w:t>
      </w:r>
      <w:r w:rsidR="0012177E">
        <w:t>political coalition was broken, and Tammany ultimately prevailed</w:t>
      </w:r>
      <w:r w:rsidR="008956DA">
        <w:rPr>
          <w:rStyle w:val="EndnoteReference"/>
        </w:rPr>
        <w:endnoteReference w:id="239"/>
      </w:r>
      <w:r w:rsidR="0012177E">
        <w:t xml:space="preserve">. </w:t>
      </w:r>
    </w:p>
    <w:p w14:paraId="548B81CC" w14:textId="2C20A987" w:rsidR="006962E4" w:rsidRDefault="00DA16E1" w:rsidP="006962E4">
      <w:r>
        <w:t xml:space="preserve">Not long afterwards, the Anti-Catholic Party was absorbed into the </w:t>
      </w:r>
      <w:r w:rsidR="00F465DC">
        <w:t>Republican Party, a combination which Morse looked on approvingly</w:t>
      </w:r>
      <w:r w:rsidR="00F01A78">
        <w:t xml:space="preserve">; he had previously </w:t>
      </w:r>
      <w:r w:rsidR="00810382">
        <w:t>been at odds with its abolitionist bloc, and</w:t>
      </w:r>
      <w:r w:rsidR="00BB1D93">
        <w:t xml:space="preserve"> he considered himself vindicated by th</w:t>
      </w:r>
      <w:r w:rsidR="005755AF">
        <w:t>is new unification</w:t>
      </w:r>
      <w:r w:rsidR="00F465DC">
        <w:t xml:space="preserve">. </w:t>
      </w:r>
      <w:r w:rsidR="006D6148">
        <w:t>Despite this, after the Luisiana War</w:t>
      </w:r>
      <w:r w:rsidR="00F465DC">
        <w:t xml:space="preserve">, he largely went back to painting, and </w:t>
      </w:r>
      <w:r w:rsidR="00656920">
        <w:t xml:space="preserve">travelling to Europe, he </w:t>
      </w:r>
      <w:r w:rsidR="00354170">
        <w:t xml:space="preserve">got new material to paint. </w:t>
      </w:r>
      <w:r w:rsidR="006962E4">
        <w:t xml:space="preserve">Several paintings, including one of the Louvre </w:t>
      </w:r>
      <w:proofErr w:type="gramStart"/>
      <w:r w:rsidR="006962E4">
        <w:t>gallery</w:t>
      </w:r>
      <w:proofErr w:type="gramEnd"/>
      <w:r w:rsidR="006962E4">
        <w:t xml:space="preserve">, attained national acclaim, and it only served to make him further </w:t>
      </w:r>
      <w:r w:rsidR="003549EE">
        <w:t>one of the foremost</w:t>
      </w:r>
      <w:r w:rsidR="006962E4">
        <w:t xml:space="preserve"> leader</w:t>
      </w:r>
      <w:r w:rsidR="003549EE">
        <w:t>s</w:t>
      </w:r>
      <w:r w:rsidR="006962E4">
        <w:t xml:space="preserve"> of </w:t>
      </w:r>
      <w:r w:rsidR="00984DD9">
        <w:t xml:space="preserve">American art. </w:t>
      </w:r>
      <w:r w:rsidR="00543128">
        <w:t>Indeed, not long afterwards, he travelled to Washington, which in this era saw</w:t>
      </w:r>
      <w:r w:rsidR="00ED2895">
        <w:t xml:space="preserve"> a national boom which increasingly turned it into</w:t>
      </w:r>
      <w:r w:rsidR="00066245">
        <w:t xml:space="preserve"> a cultural</w:t>
      </w:r>
      <w:r w:rsidR="00284158">
        <w:t xml:space="preserve"> and financial</w:t>
      </w:r>
      <w:r w:rsidR="00066245">
        <w:t xml:space="preserve"> capital</w:t>
      </w:r>
      <w:r w:rsidR="00314F58">
        <w:t xml:space="preserve"> to match its political status</w:t>
      </w:r>
      <w:r w:rsidR="008E126C">
        <w:t xml:space="preserve">; he served as the president </w:t>
      </w:r>
      <w:r w:rsidR="008E126C">
        <w:lastRenderedPageBreak/>
        <w:t>of the National Academy of Art for several years</w:t>
      </w:r>
      <w:r w:rsidR="00066245">
        <w:t xml:space="preserve">. </w:t>
      </w:r>
      <w:r w:rsidR="004E3FB3">
        <w:t xml:space="preserve">And though his former political career was not something he dropped by, and he continued to be a committed Calhounist and </w:t>
      </w:r>
      <w:r w:rsidR="00B153E9">
        <w:t>an influential part of the Republican political scene</w:t>
      </w:r>
      <w:r w:rsidR="00C035ED">
        <w:t xml:space="preserve"> in the city</w:t>
      </w:r>
      <w:r w:rsidR="00B153E9">
        <w:t xml:space="preserve">. </w:t>
      </w:r>
      <w:r w:rsidR="00E3655B">
        <w:t xml:space="preserve">And increasingly, his </w:t>
      </w:r>
      <w:r w:rsidR="008C61D8">
        <w:t xml:space="preserve">endeavors into science and </w:t>
      </w:r>
      <w:r w:rsidR="00BE1041">
        <w:t xml:space="preserve">technology replaced his political </w:t>
      </w:r>
      <w:r w:rsidR="00250D6B">
        <w:t>and artistic careers</w:t>
      </w:r>
      <w:r w:rsidR="006F469A">
        <w:t xml:space="preserve">. </w:t>
      </w:r>
    </w:p>
    <w:p w14:paraId="402D9D70" w14:textId="2E2DC97F" w:rsidR="002D745F" w:rsidRDefault="002D745F" w:rsidP="00773F3D">
      <w:r>
        <w:t xml:space="preserve">What ultimately attracted Morse to the field of </w:t>
      </w:r>
      <w:r w:rsidR="00167A2F">
        <w:t>sound was when</w:t>
      </w:r>
      <w:r w:rsidR="00E54C79">
        <w:t xml:space="preserve"> in 184</w:t>
      </w:r>
      <w:r w:rsidR="00E42931">
        <w:t>1</w:t>
      </w:r>
      <w:r w:rsidR="00167A2F">
        <w:t xml:space="preserve"> he read a scientific study of the ear by a</w:t>
      </w:r>
      <w:r w:rsidR="00725366">
        <w:t>n</w:t>
      </w:r>
      <w:r w:rsidR="00167A2F">
        <w:t xml:space="preserve"> Italian docto</w:t>
      </w:r>
      <w:r w:rsidR="00B33FF1">
        <w:t>r</w:t>
      </w:r>
      <w:r w:rsidR="00E54C79">
        <w:t xml:space="preserve"> who</w:t>
      </w:r>
      <w:r w:rsidR="00725366">
        <w:t>, during the War of Roussin’s Fleet,</w:t>
      </w:r>
      <w:r w:rsidR="00E54C79">
        <w:t xml:space="preserve"> studied human anatomy</w:t>
      </w:r>
      <w:r w:rsidR="00725366">
        <w:t xml:space="preserve"> while </w:t>
      </w:r>
      <w:r w:rsidR="00787B07">
        <w:t>treating patients</w:t>
      </w:r>
      <w:r w:rsidR="00167A2F">
        <w:t xml:space="preserve">. </w:t>
      </w:r>
      <w:r w:rsidR="00223560">
        <w:t xml:space="preserve">Combined with the early studies of </w:t>
      </w:r>
      <w:proofErr w:type="spellStart"/>
      <w:r w:rsidR="00223560">
        <w:t>calotypography</w:t>
      </w:r>
      <w:proofErr w:type="spellEnd"/>
      <w:r w:rsidR="00223560">
        <w:t xml:space="preserve"> in this era, he wondered if it was possible to </w:t>
      </w:r>
      <w:r w:rsidR="00C57869">
        <w:t xml:space="preserve">somehow inscribe sounds on a </w:t>
      </w:r>
      <w:proofErr w:type="gramStart"/>
      <w:r w:rsidR="00C57869">
        <w:t>surface, and</w:t>
      </w:r>
      <w:proofErr w:type="gramEnd"/>
      <w:r w:rsidR="00C57869">
        <w:t xml:space="preserve"> then </w:t>
      </w:r>
      <w:r w:rsidR="00EF01E6">
        <w:t xml:space="preserve">use another machine to read and replay it. </w:t>
      </w:r>
      <w:r w:rsidR="00B33FF1">
        <w:t xml:space="preserve">The first step of this process was to inscribe </w:t>
      </w:r>
      <w:r w:rsidR="003B650F">
        <w:t xml:space="preserve">the </w:t>
      </w:r>
      <w:r w:rsidR="00B33FF1">
        <w:t>sound</w:t>
      </w:r>
      <w:r w:rsidR="003B650F">
        <w:t xml:space="preserve"> in the first place, and in this he was deeply informed by </w:t>
      </w:r>
      <w:r w:rsidR="00BB75CB">
        <w:t xml:space="preserve">the </w:t>
      </w:r>
      <w:r w:rsidR="001345A2">
        <w:t>same anatomy of an ear that inspired him</w:t>
      </w:r>
      <w:r w:rsidR="00E42931">
        <w:t>. He did this by installing a trumpet</w:t>
      </w:r>
      <w:r w:rsidR="008909A3">
        <w:t xml:space="preserve"> attached to a thin membrane</w:t>
      </w:r>
      <w:r w:rsidR="00B87A91">
        <w:t>, serving as a diaphragm,</w:t>
      </w:r>
      <w:r w:rsidR="008909A3">
        <w:t xml:space="preserve"> that would act like an eardrum. </w:t>
      </w:r>
      <w:r w:rsidR="00DD1EE9">
        <w:t xml:space="preserve">To this, he attached a sharp stylus, which would inscribe the message on </w:t>
      </w:r>
      <w:r w:rsidR="00455242">
        <w:t xml:space="preserve">a cylinder of </w:t>
      </w:r>
      <w:r w:rsidR="00F83570">
        <w:t xml:space="preserve">plaster. </w:t>
      </w:r>
      <w:r w:rsidR="00865E31">
        <w:t xml:space="preserve">After a few tests, including several where he </w:t>
      </w:r>
      <w:r w:rsidR="00A50D53">
        <w:t>inscribed what he got,</w:t>
      </w:r>
      <w:r w:rsidR="00CB7470">
        <w:t xml:space="preserve"> on paper –inscriptions which still survive today – </w:t>
      </w:r>
      <w:r w:rsidR="005B4B9E">
        <w:t xml:space="preserve">in 1843, </w:t>
      </w:r>
      <w:r w:rsidR="00CB7470">
        <w:t xml:space="preserve">he </w:t>
      </w:r>
      <w:r w:rsidR="008B58D8">
        <w:t xml:space="preserve">was content enough to make what may be called the “first” </w:t>
      </w:r>
      <w:proofErr w:type="spellStart"/>
      <w:r w:rsidR="008B58D8">
        <w:t>striaphone</w:t>
      </w:r>
      <w:proofErr w:type="spellEnd"/>
      <w:r w:rsidR="008B58D8">
        <w:t xml:space="preserve"> </w:t>
      </w:r>
      <w:r w:rsidR="008974B3">
        <w:t>record</w:t>
      </w:r>
      <w:r w:rsidR="00345C90">
        <w:t>, in the form of indents on plaster</w:t>
      </w:r>
      <w:r w:rsidR="008B58D8">
        <w:t xml:space="preserve">. True to his intense religiosity, </w:t>
      </w:r>
      <w:r w:rsidR="005B4B9E">
        <w:t xml:space="preserve">this </w:t>
      </w:r>
      <w:r w:rsidR="008974B3">
        <w:t xml:space="preserve">record’s </w:t>
      </w:r>
      <w:r w:rsidR="005B4B9E">
        <w:t>message consisted of him repeating, “What Hath God Wrought”</w:t>
      </w:r>
      <w:r w:rsidR="00773F3D">
        <w:t>, from the Bible’s Book of Numbers</w:t>
      </w:r>
      <w:r w:rsidR="005B4B9E">
        <w:t xml:space="preserve">. </w:t>
      </w:r>
    </w:p>
    <w:p w14:paraId="0BCF8019" w14:textId="3DA9D2BA" w:rsidR="00553191" w:rsidRDefault="00553191" w:rsidP="00773F3D">
      <w:r>
        <w:t>These messages gave him a way to inscribe sound</w:t>
      </w:r>
      <w:r w:rsidR="00345C90">
        <w:t xml:space="preserve"> – but what he now </w:t>
      </w:r>
      <w:r w:rsidR="00F67183">
        <w:t>needed</w:t>
      </w:r>
      <w:r w:rsidR="00345C90">
        <w:t xml:space="preserve"> was a way to</w:t>
      </w:r>
      <w:r w:rsidR="00F67183">
        <w:t xml:space="preserve"> reproduce this. This was a more difficult endeavor, and it could perhaps only be done </w:t>
      </w:r>
      <w:r w:rsidR="004A6E0B">
        <w:t xml:space="preserve">in the era of the Industrial Revolution. </w:t>
      </w:r>
      <w:r w:rsidR="002E614F">
        <w:t>For part of it was the screw, and it was only with the rise of the factory that</w:t>
      </w:r>
      <w:r w:rsidR="000F3D13">
        <w:t xml:space="preserve"> screws became consistent</w:t>
      </w:r>
      <w:r w:rsidR="00226135">
        <w:t xml:space="preserve">, that they could be expected to fit a standard hole. </w:t>
      </w:r>
      <w:r w:rsidR="00106789">
        <w:t xml:space="preserve">After some </w:t>
      </w:r>
      <w:r w:rsidR="00944471">
        <w:t>pondering of the subject – and several discussions with scientists at the Smithsonian –</w:t>
      </w:r>
      <w:r w:rsidR="00106789">
        <w:t xml:space="preserve"> </w:t>
      </w:r>
      <w:r w:rsidR="008974B3">
        <w:t xml:space="preserve">he determined the solution would be to </w:t>
      </w:r>
      <w:r w:rsidR="00B21515">
        <w:t>engrave</w:t>
      </w:r>
      <w:r w:rsidR="008974B3">
        <w:t xml:space="preserve"> </w:t>
      </w:r>
      <w:r w:rsidR="00B21515">
        <w:t>the</w:t>
      </w:r>
      <w:r w:rsidR="008974B3">
        <w:t xml:space="preserve"> record</w:t>
      </w:r>
      <w:r w:rsidR="00091FB9">
        <w:t xml:space="preserve"> in a </w:t>
      </w:r>
      <w:r w:rsidR="00280699">
        <w:t xml:space="preserve">metal surface to turn it into a set of </w:t>
      </w:r>
      <w:r w:rsidR="00280699">
        <w:lastRenderedPageBreak/>
        <w:t>indents, and then</w:t>
      </w:r>
      <w:r w:rsidR="00731672">
        <w:t xml:space="preserve"> to </w:t>
      </w:r>
      <w:r w:rsidR="00E22593">
        <w:t xml:space="preserve">use a similar arrangement </w:t>
      </w:r>
      <w:r w:rsidR="00D446E3">
        <w:t xml:space="preserve">to what he used to </w:t>
      </w:r>
      <w:r w:rsidR="00292719">
        <w:t>make the record</w:t>
      </w:r>
      <w:r w:rsidR="00D446E3">
        <w:t xml:space="preserve"> in the first place</w:t>
      </w:r>
      <w:r w:rsidR="00292719">
        <w:t xml:space="preserve">, </w:t>
      </w:r>
      <w:r w:rsidR="003469F8">
        <w:t>a stylus connected to a diaphragm in turn connected to a trumpet, to reproduce the sound</w:t>
      </w:r>
      <w:r w:rsidR="00575664">
        <w:t xml:space="preserve">. </w:t>
      </w:r>
      <w:r w:rsidR="00C756F7">
        <w:t xml:space="preserve">This would take much fiddling, as well as </w:t>
      </w:r>
      <w:r w:rsidR="001A5C7A">
        <w:t xml:space="preserve">help from Smithsonian scientists – but he did ultimately achieve it. </w:t>
      </w:r>
      <w:r w:rsidR="0063063F">
        <w:t xml:space="preserve">On May 23, 1846, </w:t>
      </w:r>
      <w:r w:rsidR="00991252">
        <w:t>Samuel Morse would achieve history; he successfully played back his recording of himself saying</w:t>
      </w:r>
      <w:r w:rsidR="001E7514">
        <w:t>,</w:t>
      </w:r>
      <w:r w:rsidR="00991252">
        <w:t xml:space="preserve"> “What Hath God Wrought”</w:t>
      </w:r>
      <w:r w:rsidR="006A3298">
        <w:rPr>
          <w:rStyle w:val="EndnoteReference"/>
        </w:rPr>
        <w:endnoteReference w:id="240"/>
      </w:r>
      <w:r w:rsidR="00991252">
        <w:t xml:space="preserve">. </w:t>
      </w:r>
      <w:r w:rsidR="00CE03B3">
        <w:t xml:space="preserve">A </w:t>
      </w:r>
      <w:r w:rsidR="005B3886">
        <w:t>brand-new</w:t>
      </w:r>
      <w:r w:rsidR="00CE03B3">
        <w:t xml:space="preserve"> set of human experiences were now unlocked. That this came at around the same time </w:t>
      </w:r>
      <w:r w:rsidR="00182FB0">
        <w:t xml:space="preserve">Talbot </w:t>
      </w:r>
      <w:r w:rsidR="00B5246B">
        <w:t xml:space="preserve">invented the calotype only served to enhance the </w:t>
      </w:r>
      <w:r w:rsidR="00504C37">
        <w:t xml:space="preserve">revolution of the era. </w:t>
      </w:r>
    </w:p>
    <w:p w14:paraId="01E4AB76" w14:textId="60E9C1DA" w:rsidR="00E11763" w:rsidRDefault="005B3886" w:rsidP="00773F3D">
      <w:r>
        <w:t xml:space="preserve">In the years that followed, this proved to be a massive craze. </w:t>
      </w:r>
      <w:r w:rsidR="009B451E">
        <w:t xml:space="preserve">Though the quality of these early </w:t>
      </w:r>
      <w:r w:rsidR="007D2819">
        <w:t>devices</w:t>
      </w:r>
      <w:r w:rsidR="009B451E">
        <w:t xml:space="preserve"> were not good, they were still audible; the sounds could be heard</w:t>
      </w:r>
      <w:r w:rsidR="00440C58">
        <w:t>, and human speech distinguished</w:t>
      </w:r>
      <w:r w:rsidR="00254D69">
        <w:t xml:space="preserve">. </w:t>
      </w:r>
      <w:r>
        <w:t xml:space="preserve">Naming his invention the </w:t>
      </w:r>
      <w:r w:rsidR="005136B2">
        <w:t>“</w:t>
      </w:r>
      <w:proofErr w:type="spellStart"/>
      <w:r>
        <w:t>striaphone</w:t>
      </w:r>
      <w:proofErr w:type="spellEnd"/>
      <w:r w:rsidR="005136B2">
        <w:t>”</w:t>
      </w:r>
      <w:r>
        <w:t>, for how it played sound based on a recording based on the indent</w:t>
      </w:r>
      <w:r w:rsidR="00287F48">
        <w:t xml:space="preserve">, he put it on the </w:t>
      </w:r>
      <w:proofErr w:type="gramStart"/>
      <w:r w:rsidR="00287F48">
        <w:t>market</w:t>
      </w:r>
      <w:proofErr w:type="gramEnd"/>
      <w:r w:rsidR="00874E4F">
        <w:t xml:space="preserve"> and he founded the Morse </w:t>
      </w:r>
      <w:proofErr w:type="spellStart"/>
      <w:r w:rsidR="00874E4F">
        <w:t>Striaphone</w:t>
      </w:r>
      <w:proofErr w:type="spellEnd"/>
      <w:r w:rsidR="00874E4F">
        <w:t xml:space="preserve"> Company to sell it and protect his patent rights</w:t>
      </w:r>
      <w:r w:rsidR="00CE68CE">
        <w:t>. Though expensive, sales were quite good</w:t>
      </w:r>
      <w:r w:rsidR="00287F48">
        <w:t xml:space="preserve">, </w:t>
      </w:r>
      <w:r w:rsidR="00CE68CE">
        <w:t>there were</w:t>
      </w:r>
      <w:r w:rsidR="00287F48">
        <w:t xml:space="preserve"> many who were only too happy to get their own voice recorded for posterity</w:t>
      </w:r>
      <w:r w:rsidR="00CE68CE">
        <w:t xml:space="preserve">, and there were still others who wanted to buy recordings of “Great Men” that he </w:t>
      </w:r>
      <w:r w:rsidR="00B554D8">
        <w:t>sold</w:t>
      </w:r>
      <w:r w:rsidR="00FF0068">
        <w:t xml:space="preserve"> and reproduced in the thousands </w:t>
      </w:r>
      <w:proofErr w:type="gramStart"/>
      <w:r w:rsidR="00FF0068">
        <w:t xml:space="preserve">through </w:t>
      </w:r>
      <w:r w:rsidR="004D1C1F">
        <w:t>the use of</w:t>
      </w:r>
      <w:proofErr w:type="gramEnd"/>
      <w:r w:rsidR="004D1C1F">
        <w:t xml:space="preserve"> </w:t>
      </w:r>
      <w:r w:rsidR="00FF0068">
        <w:t>moulds</w:t>
      </w:r>
      <w:r w:rsidR="008A089B">
        <w:rPr>
          <w:rStyle w:val="EndnoteReference"/>
        </w:rPr>
        <w:endnoteReference w:id="241"/>
      </w:r>
      <w:r w:rsidR="00F52F9C">
        <w:t xml:space="preserve">. They also slowly improved over the 1850s; early recordings could only be replayed a few times before they were rendered useless. Additionally, early </w:t>
      </w:r>
      <w:proofErr w:type="spellStart"/>
      <w:r w:rsidR="001B5D82">
        <w:t>striaphones</w:t>
      </w:r>
      <w:proofErr w:type="spellEnd"/>
      <w:r w:rsidR="00F52F9C">
        <w:t xml:space="preserve"> were hand-cranked, and it would take some time for spring-based or pneumatic versions, which had a consistent playback speed</w:t>
      </w:r>
      <w:r w:rsidR="00792B61">
        <w:t>, to emerge on the market</w:t>
      </w:r>
      <w:r w:rsidR="00F52F9C">
        <w:t>.</w:t>
      </w:r>
      <w:r w:rsidR="00A7682A">
        <w:t xml:space="preserve"> </w:t>
      </w:r>
      <w:r w:rsidR="004822DE">
        <w:t>Furthermore</w:t>
      </w:r>
      <w:r w:rsidR="00176CE1">
        <w:t>,</w:t>
      </w:r>
      <w:r w:rsidR="00A7682A">
        <w:t xml:space="preserve"> he eventually replaced his early</w:t>
      </w:r>
      <w:r w:rsidR="00DC651F">
        <w:t xml:space="preserve"> tin</w:t>
      </w:r>
      <w:r w:rsidR="00A7682A">
        <w:t xml:space="preserve"> records</w:t>
      </w:r>
      <w:r w:rsidR="00F52F9C">
        <w:t>, which deteriorated</w:t>
      </w:r>
      <w:r w:rsidR="00253FE1">
        <w:t xml:space="preserve"> with every recording,</w:t>
      </w:r>
      <w:r w:rsidR="00A7682A">
        <w:t xml:space="preserve"> with cheaper</w:t>
      </w:r>
      <w:r w:rsidR="00E5793A">
        <w:t xml:space="preserve"> and more reproducible</w:t>
      </w:r>
      <w:r w:rsidR="00A7682A">
        <w:t xml:space="preserve"> shellac</w:t>
      </w:r>
      <w:r w:rsidR="009F024F">
        <w:t xml:space="preserve"> or wax</w:t>
      </w:r>
      <w:r w:rsidR="00C30D6C">
        <w:t xml:space="preserve"> on a base of wood or cork</w:t>
      </w:r>
      <w:r w:rsidR="00287F48">
        <w:t xml:space="preserve">. </w:t>
      </w:r>
    </w:p>
    <w:p w14:paraId="2D0138C1" w14:textId="152593D0" w:rsidR="005B3886" w:rsidRDefault="00AA2A2E" w:rsidP="00773F3D">
      <w:r>
        <w:t xml:space="preserve">Few individuals owned </w:t>
      </w:r>
      <w:proofErr w:type="spellStart"/>
      <w:r>
        <w:t>striaphones</w:t>
      </w:r>
      <w:proofErr w:type="spellEnd"/>
      <w:r>
        <w:t>, the price</w:t>
      </w:r>
      <w:r w:rsidR="00136C57">
        <w:t xml:space="preserve"> prohibiting this for all but the very wealthiest</w:t>
      </w:r>
      <w:r w:rsidR="008714BA">
        <w:t xml:space="preserve"> people</w:t>
      </w:r>
      <w:r>
        <w:t>;</w:t>
      </w:r>
      <w:r w:rsidR="008714BA">
        <w:t xml:space="preserve"> instead, benevolent societies and companies bought them up</w:t>
      </w:r>
      <w:r w:rsidR="00444184">
        <w:t xml:space="preserve"> for corporate use. A</w:t>
      </w:r>
      <w:r w:rsidR="008714BA">
        <w:t>nother enterprise that emerged</w:t>
      </w:r>
      <w:r w:rsidR="00652F5B">
        <w:t xml:space="preserve"> by the 1850s</w:t>
      </w:r>
      <w:r w:rsidR="00444184">
        <w:t xml:space="preserve"> was </w:t>
      </w:r>
      <w:proofErr w:type="spellStart"/>
      <w:r w:rsidR="00444184">
        <w:t>striaphone</w:t>
      </w:r>
      <w:proofErr w:type="spellEnd"/>
      <w:r w:rsidR="00444184">
        <w:t xml:space="preserve"> stalls, where customers could for a price </w:t>
      </w:r>
      <w:r w:rsidR="00444184">
        <w:lastRenderedPageBreak/>
        <w:t>listen to a record they had</w:t>
      </w:r>
      <w:r w:rsidR="007C3DAD">
        <w:t xml:space="preserve"> on a general-purpose machine</w:t>
      </w:r>
      <w:r w:rsidR="008714BA">
        <w:t xml:space="preserve">, and Morse got </w:t>
      </w:r>
      <w:r w:rsidR="00AE1D50">
        <w:t>in on this business to</w:t>
      </w:r>
      <w:r w:rsidR="007C3DAD">
        <w:t>o</w:t>
      </w:r>
      <w:r w:rsidR="00FF3F03">
        <w:t xml:space="preserve"> by opening his very own in</w:t>
      </w:r>
      <w:r w:rsidR="00E36BF5">
        <w:t xml:space="preserve"> virtually </w:t>
      </w:r>
      <w:r w:rsidR="00FF3F03">
        <w:t>every city of the nation</w:t>
      </w:r>
      <w:r w:rsidR="00510D59">
        <w:t xml:space="preserve">. </w:t>
      </w:r>
      <w:r w:rsidR="009213A4">
        <w:t>Additionally,</w:t>
      </w:r>
      <w:r w:rsidR="00AA1F2C">
        <w:t xml:space="preserve"> though Morse did make a fortune </w:t>
      </w:r>
      <w:r w:rsidR="009213A4">
        <w:t>through</w:t>
      </w:r>
      <w:r w:rsidR="00AA1F2C">
        <w:t xml:space="preserve"> his invention, he faced several issues; it was trivial for competitors to duplicate his invention</w:t>
      </w:r>
      <w:r w:rsidR="00E75E04">
        <w:t>. H</w:t>
      </w:r>
      <w:r w:rsidR="00C00517">
        <w:t>is fight against what he regarded as intellectual theft would consume much time</w:t>
      </w:r>
      <w:r w:rsidR="00AD7553">
        <w:t xml:space="preserve">, and in the </w:t>
      </w:r>
      <w:proofErr w:type="gramStart"/>
      <w:r w:rsidR="00AD7553">
        <w:t>West</w:t>
      </w:r>
      <w:proofErr w:type="gramEnd"/>
      <w:r w:rsidR="00AD7553">
        <w:t xml:space="preserve"> </w:t>
      </w:r>
      <w:r w:rsidR="00E458B2">
        <w:t>there were</w:t>
      </w:r>
      <w:r w:rsidR="00AD7553">
        <w:t xml:space="preserve"> frankly </w:t>
      </w:r>
      <w:r w:rsidR="00E458B2">
        <w:t>no courts to deal with the issue</w:t>
      </w:r>
      <w:r w:rsidR="00A54BF0">
        <w:t>. This was</w:t>
      </w:r>
      <w:r w:rsidR="003E6764">
        <w:t xml:space="preserve"> to say nothing of the rising foreign industry</w:t>
      </w:r>
      <w:r w:rsidR="00B66E41">
        <w:t xml:space="preserve"> – including that just over the Great Lakes in British North America –</w:t>
      </w:r>
      <w:r w:rsidR="003E6764">
        <w:t xml:space="preserve"> which American patent law could not touch</w:t>
      </w:r>
      <w:r w:rsidR="006B4471">
        <w:t>, or the many copies of records that he could hardly control</w:t>
      </w:r>
      <w:r w:rsidR="00A54BF0">
        <w:t>. B</w:t>
      </w:r>
      <w:r w:rsidR="00D70882">
        <w:t>eyond that, his cylinders could only record four minutes at maximum</w:t>
      </w:r>
      <w:r w:rsidR="00552886">
        <w:t>.</w:t>
      </w:r>
      <w:r w:rsidR="00D70882">
        <w:t xml:space="preserve"> </w:t>
      </w:r>
      <w:r w:rsidR="00552886">
        <w:t>This</w:t>
      </w:r>
      <w:r w:rsidR="00D70882">
        <w:t xml:space="preserve"> cut off his hopes of turning this into a new literary medium</w:t>
      </w:r>
      <w:r w:rsidR="00552886">
        <w:t>, which would supplant the bound book in the same way</w:t>
      </w:r>
      <w:r w:rsidR="00B64055">
        <w:t xml:space="preserve"> the bound book had once supplanted the scroll.</w:t>
      </w:r>
      <w:r w:rsidR="00CF023A">
        <w:t xml:space="preserve"> </w:t>
      </w:r>
      <w:r w:rsidR="00B64055">
        <w:t>I</w:t>
      </w:r>
      <w:r w:rsidR="00CF023A">
        <w:t>nstead</w:t>
      </w:r>
      <w:r w:rsidR="00352920">
        <w:t>,</w:t>
      </w:r>
      <w:r w:rsidR="00CF023A">
        <w:t xml:space="preserve"> the </w:t>
      </w:r>
      <w:r w:rsidR="00352920">
        <w:t>genre</w:t>
      </w:r>
      <w:r w:rsidR="00CF023A">
        <w:t xml:space="preserve"> that almost monopolized this new medium was music</w:t>
      </w:r>
      <w:r w:rsidR="00521469">
        <w:t xml:space="preserve">, and it must come to no surprise that this era also </w:t>
      </w:r>
      <w:r w:rsidR="00E64D45">
        <w:t>saw</w:t>
      </w:r>
      <w:r w:rsidR="005A13A2">
        <w:t xml:space="preserve"> singers and musicians </w:t>
      </w:r>
      <w:r w:rsidR="00FA5D04">
        <w:t>become</w:t>
      </w:r>
      <w:r w:rsidR="005A13A2">
        <w:t xml:space="preserve"> sensations</w:t>
      </w:r>
      <w:r w:rsidR="00FA5D04">
        <w:t>, in a way that would have been unthinkable only a few years prior</w:t>
      </w:r>
      <w:r w:rsidR="00D70882">
        <w:t xml:space="preserve">. </w:t>
      </w:r>
      <w:r w:rsidR="00C314DD">
        <w:t xml:space="preserve">Morse later </w:t>
      </w:r>
      <w:r w:rsidR="00032A39">
        <w:t>supplemented</w:t>
      </w:r>
      <w:r w:rsidR="00C314DD">
        <w:t xml:space="preserve"> these cylinder records with </w:t>
      </w:r>
      <w:proofErr w:type="spellStart"/>
      <w:r w:rsidR="00545328">
        <w:t>stria</w:t>
      </w:r>
      <w:r w:rsidR="00C314DD">
        <w:t>disks</w:t>
      </w:r>
      <w:proofErr w:type="spellEnd"/>
      <w:r w:rsidR="00C314DD">
        <w:t xml:space="preserve"> which could store more</w:t>
      </w:r>
      <w:r w:rsidR="00492A25">
        <w:t xml:space="preserve"> audio</w:t>
      </w:r>
      <w:r w:rsidR="005805E8">
        <w:t xml:space="preserve"> – but it merely extended </w:t>
      </w:r>
      <w:r w:rsidR="005D6258">
        <w:t>storage space</w:t>
      </w:r>
      <w:r w:rsidR="005805E8">
        <w:t xml:space="preserve"> to twenty minutes</w:t>
      </w:r>
      <w:r w:rsidR="009D767C">
        <w:t>, hardly enough to store books</w:t>
      </w:r>
      <w:r w:rsidR="00C27D79">
        <w:rPr>
          <w:rStyle w:val="EndnoteReference"/>
        </w:rPr>
        <w:endnoteReference w:id="242"/>
      </w:r>
      <w:r w:rsidR="00444A7F">
        <w:t xml:space="preserve">. Additionally, faced with the tinny nature of </w:t>
      </w:r>
      <w:proofErr w:type="spellStart"/>
      <w:r w:rsidR="00444A7F">
        <w:t>striaphone</w:t>
      </w:r>
      <w:proofErr w:type="spellEnd"/>
      <w:r w:rsidR="00444A7F">
        <w:t xml:space="preserve"> audio, </w:t>
      </w:r>
      <w:r w:rsidR="00716BCF">
        <w:t>Morse began experimenting with</w:t>
      </w:r>
      <w:r w:rsidR="00E326C9">
        <w:t xml:space="preserve"> amplifying audio through compressed air, and these</w:t>
      </w:r>
      <w:r w:rsidR="00DD089A">
        <w:t xml:space="preserve"> experiments</w:t>
      </w:r>
      <w:r w:rsidR="00E326C9">
        <w:t xml:space="preserve"> would see their vindication</w:t>
      </w:r>
      <w:r w:rsidR="002621EA">
        <w:t xml:space="preserve"> within his lifetime; </w:t>
      </w:r>
      <w:r w:rsidR="002707E4">
        <w:t>by 1868, virtually every American city had</w:t>
      </w:r>
      <w:r w:rsidR="00855284">
        <w:t xml:space="preserve"> at least one general-purpose </w:t>
      </w:r>
      <w:proofErr w:type="gramStart"/>
      <w:r w:rsidR="00855284">
        <w:t>compressed-air</w:t>
      </w:r>
      <w:proofErr w:type="gramEnd"/>
      <w:r w:rsidR="00855284">
        <w:t xml:space="preserve"> </w:t>
      </w:r>
      <w:proofErr w:type="spellStart"/>
      <w:r w:rsidR="00855284">
        <w:t>striaphone</w:t>
      </w:r>
      <w:proofErr w:type="spellEnd"/>
      <w:r w:rsidR="004077B9">
        <w:t>, although most of them were not of Morse make</w:t>
      </w:r>
      <w:r w:rsidR="00F56E13">
        <w:rPr>
          <w:rStyle w:val="EndnoteReference"/>
        </w:rPr>
        <w:endnoteReference w:id="243"/>
      </w:r>
      <w:r w:rsidR="00E326C9">
        <w:t>.</w:t>
      </w:r>
      <w:r w:rsidR="005A13A2">
        <w:t xml:space="preserve"> </w:t>
      </w:r>
      <w:r w:rsidR="00E326C9">
        <w:t>N</w:t>
      </w:r>
      <w:r w:rsidR="00444A7F">
        <w:t>evertheless,</w:t>
      </w:r>
      <w:r w:rsidR="00C314DD">
        <w:t xml:space="preserve"> h</w:t>
      </w:r>
      <w:r w:rsidR="0004533A">
        <w:t>is greatest hopes of achieving a communications revolution were hopeless</w:t>
      </w:r>
      <w:r w:rsidR="00B50C7A">
        <w:t>,</w:t>
      </w:r>
      <w:r w:rsidR="003B455F">
        <w:t xml:space="preserve"> </w:t>
      </w:r>
      <w:r w:rsidR="00023941">
        <w:t>at least</w:t>
      </w:r>
      <w:r w:rsidR="00B50C7A">
        <w:t xml:space="preserve"> for the time</w:t>
      </w:r>
      <w:r w:rsidR="004C6271">
        <w:t>, and it remained something for the future</w:t>
      </w:r>
      <w:r w:rsidR="00B50C7A">
        <w:t xml:space="preserve">. </w:t>
      </w:r>
    </w:p>
    <w:p w14:paraId="58A22FDC" w14:textId="3E697687" w:rsidR="00AF09A6" w:rsidRPr="00457581" w:rsidRDefault="00AF09A6" w:rsidP="00773F3D">
      <w:r>
        <w:t xml:space="preserve">Despite this, </w:t>
      </w:r>
      <w:r w:rsidR="00594D97">
        <w:t xml:space="preserve">Samuel </w:t>
      </w:r>
      <w:r>
        <w:t xml:space="preserve">Morse had </w:t>
      </w:r>
      <w:r w:rsidR="00195901">
        <w:t xml:space="preserve">made for himself a </w:t>
      </w:r>
      <w:r w:rsidR="00EF39BD">
        <w:t xml:space="preserve">fortune which turned him into </w:t>
      </w:r>
      <w:r w:rsidR="00C12B57">
        <w:t>a quite influential man. He had become a</w:t>
      </w:r>
      <w:r w:rsidR="00BE09ED">
        <w:t xml:space="preserve"> robber knight</w:t>
      </w:r>
      <w:r w:rsidR="0066506D">
        <w:t xml:space="preserve">, one of the new rich created by the </w:t>
      </w:r>
      <w:r w:rsidR="007735EA">
        <w:t>boom of the Webster and Stockton years</w:t>
      </w:r>
      <w:r w:rsidR="00BE09ED">
        <w:t>, and he poured much of his fortune into the Republican Party</w:t>
      </w:r>
      <w:r w:rsidR="007F0FE1">
        <w:t xml:space="preserve"> in the hopes of strengthening the causes of slavery and nativism. </w:t>
      </w:r>
      <w:r w:rsidR="00715E6F">
        <w:t xml:space="preserve">His name was famous not only in </w:t>
      </w:r>
      <w:r w:rsidR="00715E6F">
        <w:lastRenderedPageBreak/>
        <w:t xml:space="preserve">America, but around the world – for he was the man who turned sound into </w:t>
      </w:r>
      <w:r w:rsidR="00355B04">
        <w:t xml:space="preserve">something which could be recorded and played back for all eternity. </w:t>
      </w:r>
      <w:r w:rsidR="009D6819">
        <w:t>If Morse’s unyielding support of proslavery and nativist politics</w:t>
      </w:r>
      <w:r w:rsidR="008C0045">
        <w:t xml:space="preserve">, and his </w:t>
      </w:r>
      <w:proofErr w:type="spellStart"/>
      <w:r w:rsidR="008C0045">
        <w:t>Ri</w:t>
      </w:r>
      <w:r w:rsidR="006A3298">
        <w:t>c</w:t>
      </w:r>
      <w:r w:rsidR="008C0045">
        <w:t>hmondism</w:t>
      </w:r>
      <w:proofErr w:type="spellEnd"/>
      <w:r w:rsidR="008C0045">
        <w:t xml:space="preserve"> during the Liberty and Union War</w:t>
      </w:r>
      <w:r w:rsidR="005042A1">
        <w:t xml:space="preserve"> for which he ultimately emigrated</w:t>
      </w:r>
      <w:r w:rsidR="008C0045">
        <w:t>,</w:t>
      </w:r>
      <w:r w:rsidR="009D6819">
        <w:t xml:space="preserve"> </w:t>
      </w:r>
      <w:r w:rsidR="00AF4041">
        <w:t>adds</w:t>
      </w:r>
      <w:r w:rsidR="009D6819">
        <w:t xml:space="preserve"> a few shudders</w:t>
      </w:r>
      <w:r w:rsidR="00AF4041">
        <w:t xml:space="preserve"> to his name</w:t>
      </w:r>
      <w:r w:rsidR="009D6819">
        <w:t xml:space="preserve"> today</w:t>
      </w:r>
      <w:r w:rsidR="00647C5C">
        <w:t>, it does not then erase that he was</w:t>
      </w:r>
      <w:r w:rsidR="006116C6">
        <w:t xml:space="preserve"> one of the most influential men of the nineteenth century, who forever</w:t>
      </w:r>
      <w:r w:rsidR="002046D6">
        <w:t xml:space="preserve"> revolutionized the way human beings think </w:t>
      </w:r>
      <w:r w:rsidR="00DA3229">
        <w:t>about sound</w:t>
      </w:r>
      <w:r w:rsidR="002046D6">
        <w:t xml:space="preserve">. </w:t>
      </w:r>
    </w:p>
    <w:p w14:paraId="4545EE5E" w14:textId="77777777" w:rsidR="00710CED" w:rsidRDefault="00710CED" w:rsidP="00710CED">
      <w:r>
        <w:br w:type="page"/>
      </w:r>
    </w:p>
    <w:p w14:paraId="660B913F" w14:textId="77777777" w:rsidR="00223251" w:rsidRDefault="00223251" w:rsidP="00223251"/>
    <w:p w14:paraId="64CFFF11" w14:textId="77777777" w:rsidR="00223251" w:rsidRDefault="00223251" w:rsidP="00223251">
      <w:pPr>
        <w:sectPr w:rsidR="00223251" w:rsidSect="00223251">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A791F92" w14:textId="77777777" w:rsidR="00223251" w:rsidRDefault="00223251" w:rsidP="00223251">
      <w:r>
        <w:br w:type="page"/>
      </w:r>
    </w:p>
    <w:p w14:paraId="0E14958A" w14:textId="09405999" w:rsidR="005152FE" w:rsidRDefault="00223251" w:rsidP="00223251">
      <w:pPr>
        <w:pStyle w:val="Heading1"/>
      </w:pPr>
      <w:bookmarkStart w:id="60" w:name="_Toc202006247"/>
      <w:r>
        <w:lastRenderedPageBreak/>
        <w:t>4</w:t>
      </w:r>
      <w:r w:rsidR="00F93DCA">
        <w:t>8</w:t>
      </w:r>
      <w:r>
        <w:t>. Rise of the Wire</w:t>
      </w:r>
      <w:bookmarkEnd w:id="60"/>
    </w:p>
    <w:p w14:paraId="6870CB0F" w14:textId="7EAFB5B2" w:rsidR="00F467C6" w:rsidRDefault="00223251" w:rsidP="00F467C6">
      <w:r>
        <w:t xml:space="preserve">By 1853, the electric telegraph was an </w:t>
      </w:r>
      <w:r w:rsidR="00015221">
        <w:t>emergent</w:t>
      </w:r>
      <w:r>
        <w:t xml:space="preserve"> technology. Though experiments with it had begun as early as the 1790s, and though</w:t>
      </w:r>
      <w:r w:rsidR="00DD6239">
        <w:t xml:space="preserve"> Joseph Henry’s discovery of electromagnetic induction in the 1830s had made it viable, it took some time for it to become regarded as anything other than one of the many </w:t>
      </w:r>
      <w:proofErr w:type="spellStart"/>
      <w:r w:rsidR="00DD6239">
        <w:t>quackish</w:t>
      </w:r>
      <w:proofErr w:type="spellEnd"/>
      <w:r w:rsidR="00DD6239">
        <w:t xml:space="preserve"> electric schemes that emerged in this era. </w:t>
      </w:r>
      <w:r w:rsidR="00884208">
        <w:t>But it ultimately did, thanks to a man no less credible as Joseph Henry making his own telegraph</w:t>
      </w:r>
      <w:r w:rsidR="0072724A">
        <w:t xml:space="preserve"> line in 1847</w:t>
      </w:r>
      <w:r w:rsidR="00884208">
        <w:t>, complete with relays that made long-range electric telegraphy viable</w:t>
      </w:r>
      <w:r w:rsidR="008F5608">
        <w:t>. This allowed for much higher capacity than the semaphoric telegraph</w:t>
      </w:r>
      <w:r w:rsidR="00C6654D">
        <w:t xml:space="preserve"> which had already reshaped communications in the nation</w:t>
      </w:r>
      <w:r w:rsidR="00884208">
        <w:t xml:space="preserve">, and the Webster administration began the process of replacing semaphore towers with </w:t>
      </w:r>
      <w:r w:rsidR="002F4A6D">
        <w:t>wires. Come</w:t>
      </w:r>
      <w:r w:rsidR="00B96EC3">
        <w:t xml:space="preserve"> </w:t>
      </w:r>
      <w:r w:rsidR="002F4A6D">
        <w:t xml:space="preserve">1853, most large American cities were now part of a </w:t>
      </w:r>
      <w:r w:rsidR="00E84160">
        <w:t>network of wire</w:t>
      </w:r>
      <w:r w:rsidR="00AB2AD5">
        <w:t xml:space="preserve"> and cable which allowed </w:t>
      </w:r>
      <w:proofErr w:type="gramStart"/>
      <w:r w:rsidR="00AB2AD5">
        <w:t>nearly-instantaneous</w:t>
      </w:r>
      <w:proofErr w:type="gramEnd"/>
      <w:r w:rsidR="00AB2AD5">
        <w:t xml:space="preserve"> communication</w:t>
      </w:r>
      <w:r w:rsidR="00A92793">
        <w:t xml:space="preserve">, with much higher </w:t>
      </w:r>
      <w:r w:rsidR="00036343">
        <w:t>capacity</w:t>
      </w:r>
      <w:r w:rsidR="00AB2AD5">
        <w:t xml:space="preserve">. </w:t>
      </w:r>
      <w:r w:rsidR="009D7685">
        <w:t>But it wasn’t a complete</w:t>
      </w:r>
      <w:r w:rsidR="00085AAD">
        <w:t xml:space="preserve"> network</w:t>
      </w:r>
      <w:r w:rsidR="00647D99">
        <w:t>; to send a message</w:t>
      </w:r>
      <w:r w:rsidR="007230FC">
        <w:t xml:space="preserve"> beyond these connected cities</w:t>
      </w:r>
      <w:r w:rsidR="00647D99">
        <w:t>,</w:t>
      </w:r>
      <w:r w:rsidR="009F7E53">
        <w:t xml:space="preserve"> one still needed to transmit them through the semaphoric telegraph</w:t>
      </w:r>
      <w:r w:rsidR="00E80555">
        <w:t xml:space="preserve"> to and from the</w:t>
      </w:r>
      <w:r w:rsidR="00291A1E">
        <w:t xml:space="preserve"> wired city in question</w:t>
      </w:r>
      <w:r w:rsidR="009F7E53">
        <w:t>. That the electric telegraph in this era used needles which, through electromagnetism, modelled Chappe code, made this easier than it would be</w:t>
      </w:r>
      <w:r w:rsidR="00AC1E8F">
        <w:t xml:space="preserve"> to convert</w:t>
      </w:r>
      <w:r w:rsidR="00286604">
        <w:t xml:space="preserve"> the message. </w:t>
      </w:r>
      <w:r w:rsidR="00202389">
        <w:t>Nevertheless,</w:t>
      </w:r>
      <w:r w:rsidR="00F467C6">
        <w:t xml:space="preserve"> the semaphoric telegraph was still a bottleneck which </w:t>
      </w:r>
      <w:r w:rsidR="008C20D5">
        <w:t>made the dream of mass communication through telegraphy unviable</w:t>
      </w:r>
      <w:r w:rsidR="00D93BFE">
        <w:t xml:space="preserve">. </w:t>
      </w:r>
    </w:p>
    <w:p w14:paraId="1702A8FA" w14:textId="77777777" w:rsidR="004E10C9" w:rsidRDefault="0030447F" w:rsidP="00013F6B">
      <w:r>
        <w:t xml:space="preserve">Nevertheless, when Stockton came to power in 1853, he </w:t>
      </w:r>
      <w:r w:rsidR="00181FFF">
        <w:t>saw a future where</w:t>
      </w:r>
      <w:r w:rsidR="006E28ED">
        <w:t xml:space="preserve"> the post office would run a letter service and a telegraph service in tandem</w:t>
      </w:r>
      <w:r w:rsidR="00FB2B5A">
        <w:t>, with similar and even rules</w:t>
      </w:r>
      <w:r w:rsidR="00450310">
        <w:t xml:space="preserve">. </w:t>
      </w:r>
      <w:r w:rsidR="0053289A">
        <w:t xml:space="preserve">To this end the Postmaster-General he appointed, Amos Kendall, a veteran politician well-connected with the growing </w:t>
      </w:r>
      <w:r w:rsidR="000866B1">
        <w:t>number</w:t>
      </w:r>
      <w:r w:rsidR="0053289A">
        <w:t xml:space="preserve"> of Republican robber knights</w:t>
      </w:r>
      <w:r w:rsidR="009C3A77">
        <w:t xml:space="preserve">, </w:t>
      </w:r>
      <w:r w:rsidR="00B353D7">
        <w:t>acted like a</w:t>
      </w:r>
      <w:r w:rsidR="0025427F">
        <w:t xml:space="preserve"> </w:t>
      </w:r>
      <w:r w:rsidR="004556BE">
        <w:t>T</w:t>
      </w:r>
      <w:r w:rsidR="00615EC2">
        <w:t>elegraphist-General</w:t>
      </w:r>
      <w:r w:rsidR="004556BE">
        <w:t xml:space="preserve"> under him. </w:t>
      </w:r>
      <w:r w:rsidR="008F1B08">
        <w:t xml:space="preserve">Beyond general desires to reduce the corruption that shaped the Post Office in the </w:t>
      </w:r>
      <w:r w:rsidR="00BD561E">
        <w:t xml:space="preserve">Webster years, he embarked on some </w:t>
      </w:r>
      <w:proofErr w:type="gramStart"/>
      <w:r w:rsidR="00BD561E">
        <w:t>pretty seismic</w:t>
      </w:r>
      <w:proofErr w:type="gramEnd"/>
      <w:r w:rsidR="00BD561E">
        <w:t xml:space="preserve"> reforms</w:t>
      </w:r>
      <w:r w:rsidR="008F1B08">
        <w:t xml:space="preserve"> </w:t>
      </w:r>
      <w:r w:rsidR="004556BE">
        <w:t>He</w:t>
      </w:r>
      <w:r w:rsidR="0025427F">
        <w:t xml:space="preserve"> </w:t>
      </w:r>
      <w:r w:rsidR="009C3A77">
        <w:t xml:space="preserve">declared his intentions to </w:t>
      </w:r>
      <w:r w:rsidR="003A2A33">
        <w:t>reform the telegraph service</w:t>
      </w:r>
      <w:r w:rsidR="00643473">
        <w:t xml:space="preserve"> on the same lines as </w:t>
      </w:r>
      <w:r w:rsidR="00864A70">
        <w:t xml:space="preserve">the </w:t>
      </w:r>
      <w:r w:rsidR="004176D2">
        <w:t xml:space="preserve">letter service. </w:t>
      </w:r>
      <w:r w:rsidR="000F1E4E">
        <w:t xml:space="preserve">Like a letter, he declared, </w:t>
      </w:r>
      <w:r w:rsidR="004C69CC">
        <w:t xml:space="preserve">the telegraph service </w:t>
      </w:r>
      <w:r w:rsidR="004C69CC">
        <w:lastRenderedPageBreak/>
        <w:t xml:space="preserve">would </w:t>
      </w:r>
      <w:r w:rsidR="00AE0CB8">
        <w:t>offer a</w:t>
      </w:r>
      <w:r w:rsidR="00CB77AC">
        <w:t xml:space="preserve"> uniform rate for transmitting messages anywhere in the United States. </w:t>
      </w:r>
      <w:r w:rsidR="00464D88">
        <w:t>And like a letter, he declared</w:t>
      </w:r>
      <w:r w:rsidR="005B178C">
        <w:t xml:space="preserve">, </w:t>
      </w:r>
      <w:r w:rsidR="00C02A3B">
        <w:t>it would be strictly prepaid, and mailmen would then send the message to the recipient</w:t>
      </w:r>
      <w:r w:rsidR="00722811">
        <w:t xml:space="preserve"> like a regular letter</w:t>
      </w:r>
      <w:r w:rsidR="00C02A3B">
        <w:t xml:space="preserve">. </w:t>
      </w:r>
      <w:r w:rsidR="002E4A44">
        <w:t>This couldn’t be done immediately</w:t>
      </w:r>
      <w:r w:rsidR="009C538F">
        <w:t xml:space="preserve"> – the semaphoric telegraph</w:t>
      </w:r>
      <w:r w:rsidR="00E74F9D">
        <w:t xml:space="preserve"> served as a bottleneck</w:t>
      </w:r>
      <w:r w:rsidR="00BD727A">
        <w:t xml:space="preserve">, and the </w:t>
      </w:r>
      <w:r w:rsidR="00FA3EB1">
        <w:t xml:space="preserve">Post Office still needed to train telegraphists with the </w:t>
      </w:r>
      <w:r w:rsidR="00397CC5">
        <w:t>new electric technology – but it was something he began to plan out. As the Post Office laid wires across</w:t>
      </w:r>
      <w:r w:rsidR="0080041B">
        <w:t xml:space="preserve"> former</w:t>
      </w:r>
      <w:r w:rsidR="00397CC5">
        <w:t xml:space="preserve"> semaphore towers</w:t>
      </w:r>
      <w:r w:rsidR="006476B7">
        <w:t xml:space="preserve">, and as </w:t>
      </w:r>
      <w:r w:rsidR="006B10EB">
        <w:t xml:space="preserve">the existing telegraph message service </w:t>
      </w:r>
      <w:r w:rsidR="002E5C97">
        <w:t>became cheaper</w:t>
      </w:r>
      <w:r w:rsidR="00765A0A">
        <w:t xml:space="preserve">, the possibility of </w:t>
      </w:r>
      <w:r w:rsidR="00BD374C">
        <w:t>establishing a uniform rate became</w:t>
      </w:r>
      <w:r w:rsidR="0029095F">
        <w:t xml:space="preserve"> more viable</w:t>
      </w:r>
      <w:r w:rsidR="00C10F79">
        <w:t xml:space="preserve">. Come 1855, Postmaster Kendall announced a new policy for the telegraph message service. For </w:t>
      </w:r>
      <w:r w:rsidR="00670AEE">
        <w:t>twenty</w:t>
      </w:r>
      <w:r w:rsidR="0009032A">
        <w:t>-five</w:t>
      </w:r>
      <w:r w:rsidR="005D65BF">
        <w:t xml:space="preserve"> cents, </w:t>
      </w:r>
      <w:r w:rsidR="00307023">
        <w:t xml:space="preserve">anyone could </w:t>
      </w:r>
      <w:r w:rsidR="00DE1294">
        <w:t>send a message on the electric telegraph network</w:t>
      </w:r>
      <w:r w:rsidR="006B58B2">
        <w:t xml:space="preserve"> to anywhere else along the same</w:t>
      </w:r>
      <w:r w:rsidR="007960CF">
        <w:t xml:space="preserve"> network</w:t>
      </w:r>
      <w:r w:rsidR="00E45520">
        <w:t>, and for an additional fee they could then</w:t>
      </w:r>
      <w:r w:rsidR="00BE7AA7">
        <w:t xml:space="preserve"> send the message to the mailbox of the recipient</w:t>
      </w:r>
      <w:r w:rsidR="007960CF">
        <w:t xml:space="preserve">. </w:t>
      </w:r>
      <w:r w:rsidR="00C55A17">
        <w:t>This suddenly attracted a great deal of business</w:t>
      </w:r>
      <w:r w:rsidR="0078524A">
        <w:t xml:space="preserve">, and </w:t>
      </w:r>
      <w:r w:rsidR="00450D47">
        <w:t xml:space="preserve">it turned what had formerly been </w:t>
      </w:r>
      <w:r w:rsidR="00675FBC">
        <w:t>the reserve of</w:t>
      </w:r>
      <w:r w:rsidR="000D13EE">
        <w:t xml:space="preserve"> commercial enterprises and the rich to something much more commonplace. </w:t>
      </w:r>
    </w:p>
    <w:p w14:paraId="13ABFDE0" w14:textId="4C607462" w:rsidR="00FA0FB5" w:rsidRDefault="00020ADE" w:rsidP="00013F6B">
      <w:r>
        <w:t xml:space="preserve">But this had several growing pains; the rush of people </w:t>
      </w:r>
      <w:r w:rsidR="00B313F8">
        <w:t>trying to get their messages through resulted in this network reaching a bottleneck</w:t>
      </w:r>
      <w:r w:rsidR="005F3722">
        <w:t>, as senders found themselves placed in queues</w:t>
      </w:r>
      <w:r w:rsidR="009205F4">
        <w:t xml:space="preserve"> </w:t>
      </w:r>
      <w:r w:rsidR="00DF6FD5">
        <w:t xml:space="preserve">in </w:t>
      </w:r>
      <w:r w:rsidR="009205F4">
        <w:t xml:space="preserve">which they’d need to </w:t>
      </w:r>
      <w:r w:rsidR="00FF640E">
        <w:t>pay extra fees to be expedited</w:t>
      </w:r>
      <w:r w:rsidR="002E7D66">
        <w:t>. These queues were still quicker than</w:t>
      </w:r>
      <w:r w:rsidR="009C5D54">
        <w:t xml:space="preserve"> sending a </w:t>
      </w:r>
      <w:r w:rsidR="005D5B03">
        <w:t>mail message</w:t>
      </w:r>
      <w:r w:rsidR="009C5D54">
        <w:t xml:space="preserve">, but it hampered the communications revolution that the telegraph represented. </w:t>
      </w:r>
      <w:r w:rsidR="006B6333">
        <w:t>But as the telegraph network matured</w:t>
      </w:r>
      <w:r w:rsidR="00A90DAE">
        <w:t xml:space="preserve">, and as its capacity grew, </w:t>
      </w:r>
      <w:r w:rsidR="002B55F5">
        <w:t>the queue</w:t>
      </w:r>
      <w:r w:rsidR="00BA73C1">
        <w:t>s</w:t>
      </w:r>
      <w:r w:rsidR="002B55F5">
        <w:t xml:space="preserve"> shrunk</w:t>
      </w:r>
      <w:r w:rsidR="00BA73C1">
        <w:t xml:space="preserve"> in size, and message transmission became </w:t>
      </w:r>
      <w:proofErr w:type="gramStart"/>
      <w:r w:rsidR="00BA73C1">
        <w:t>more timely</w:t>
      </w:r>
      <w:proofErr w:type="gramEnd"/>
      <w:r w:rsidR="002B55F5">
        <w:t>. Communications expanded</w:t>
      </w:r>
      <w:r w:rsidR="003B210A">
        <w:t xml:space="preserve">, and indeed every American political constituency campaigned for their own </w:t>
      </w:r>
      <w:r w:rsidR="00BE2F07">
        <w:t xml:space="preserve">electric </w:t>
      </w:r>
      <w:r w:rsidR="003B210A">
        <w:t>telegraph</w:t>
      </w:r>
      <w:r w:rsidR="00D32691">
        <w:rPr>
          <w:rStyle w:val="EndnoteReference"/>
        </w:rPr>
        <w:endnoteReference w:id="244"/>
      </w:r>
      <w:r w:rsidR="003014C5">
        <w:t xml:space="preserve">. </w:t>
      </w:r>
      <w:r w:rsidR="00CF6F60">
        <w:t xml:space="preserve">This was a demonstration of the power of the state control of the telegraph, and its integration with the </w:t>
      </w:r>
      <w:r w:rsidR="00AC181B">
        <w:t>P</w:t>
      </w:r>
      <w:r w:rsidR="00CF6F60">
        <w:t xml:space="preserve">ost </w:t>
      </w:r>
      <w:r w:rsidR="00AC181B">
        <w:t>O</w:t>
      </w:r>
      <w:r w:rsidR="00CF6F60">
        <w:t>ffice; similar attempts to establish uniform rates in</w:t>
      </w:r>
      <w:r w:rsidR="005362C0">
        <w:t xml:space="preserve"> the British Isles, and elsewhere, failed because</w:t>
      </w:r>
      <w:r w:rsidR="00AC279A">
        <w:t xml:space="preserve"> telegraph companies didn’t have the infrastructure to easily send messages to every customer, and</w:t>
      </w:r>
      <w:r w:rsidR="006E2BE6">
        <w:t xml:space="preserve"> lacking control over the entire telegraph system</w:t>
      </w:r>
      <w:r w:rsidR="00AC279A">
        <w:t xml:space="preserve"> </w:t>
      </w:r>
      <w:r w:rsidR="003F6BC4">
        <w:t xml:space="preserve">they simply couldn’t </w:t>
      </w:r>
      <w:r w:rsidR="00E24EBF">
        <w:t xml:space="preserve">take advantage </w:t>
      </w:r>
      <w:r w:rsidR="00EB7BE9">
        <w:t>o</w:t>
      </w:r>
      <w:r w:rsidR="00E24EBF">
        <w:t>f</w:t>
      </w:r>
      <w:r w:rsidR="00AC181B">
        <w:t xml:space="preserve"> economies of </w:t>
      </w:r>
      <w:r w:rsidR="006E0907">
        <w:t>scale the same way America’s could</w:t>
      </w:r>
      <w:r w:rsidR="003F6BC4">
        <w:t xml:space="preserve">. </w:t>
      </w:r>
    </w:p>
    <w:p w14:paraId="650880CF" w14:textId="56445331" w:rsidR="00013F6B" w:rsidRDefault="00013F6B" w:rsidP="00013F6B">
      <w:r>
        <w:lastRenderedPageBreak/>
        <w:t>Thus, it was in the 1850s United States that the power of the telegraph to rival the letter-post became decidedly clear</w:t>
      </w:r>
      <w:r w:rsidR="00BA616D">
        <w:t xml:space="preserve">; finally, after over a century of some sort of telegraph being an international phenomenon, it now </w:t>
      </w:r>
      <w:r w:rsidR="00724499">
        <w:t xml:space="preserve">became a tool for </w:t>
      </w:r>
      <w:proofErr w:type="gramStart"/>
      <w:r w:rsidR="00724499">
        <w:t>general public</w:t>
      </w:r>
      <w:proofErr w:type="gramEnd"/>
      <w:r w:rsidR="00724499">
        <w:t xml:space="preserve"> use which </w:t>
      </w:r>
      <w:r w:rsidR="00BA616D">
        <w:t>connected people like never before</w:t>
      </w:r>
      <w:r w:rsidR="00CB7629">
        <w:t>. All somebody needed to do to send a telegra</w:t>
      </w:r>
      <w:r w:rsidR="007339E6">
        <w:t>ph message</w:t>
      </w:r>
      <w:r w:rsidR="00CB7629">
        <w:t xml:space="preserve"> was fill out a form with a postal address, pay a quarter, and send the message over</w:t>
      </w:r>
      <w:r w:rsidR="007339E6">
        <w:t>.</w:t>
      </w:r>
      <w:r w:rsidR="003A5E94">
        <w:t xml:space="preserve"> </w:t>
      </w:r>
      <w:r w:rsidR="007339E6">
        <w:t>E</w:t>
      </w:r>
      <w:r w:rsidR="003A5E94">
        <w:t>ven this got simplified</w:t>
      </w:r>
      <w:r w:rsidR="005815B9">
        <w:t>, because</w:t>
      </w:r>
      <w:r w:rsidR="007339E6">
        <w:t xml:space="preserve"> businesses were able to, for a special fee, get a telegraph address</w:t>
      </w:r>
      <w:r w:rsidR="00041463">
        <w:t>; several, like</w:t>
      </w:r>
      <w:r w:rsidR="00E64680">
        <w:t xml:space="preserve"> </w:t>
      </w:r>
      <w:proofErr w:type="spellStart"/>
      <w:r w:rsidR="00E64680">
        <w:t>Morsephone</w:t>
      </w:r>
      <w:proofErr w:type="spellEnd"/>
      <w:r w:rsidR="00E64680">
        <w:t xml:space="preserve">, </w:t>
      </w:r>
      <w:proofErr w:type="spellStart"/>
      <w:r w:rsidR="00F02AB8">
        <w:t>Civiguard</w:t>
      </w:r>
      <w:proofErr w:type="spellEnd"/>
      <w:r w:rsidR="00F02AB8">
        <w:t>, and Dramatique, have since become more iconic than the company name themselves</w:t>
      </w:r>
      <w:r w:rsidR="00BA616D">
        <w:t xml:space="preserve">. </w:t>
      </w:r>
      <w:r w:rsidR="00347C8B">
        <w:t>At a fundamental level, this</w:t>
      </w:r>
      <w:r w:rsidR="00F011B8">
        <w:t xml:space="preserve"> allowed for </w:t>
      </w:r>
      <w:r w:rsidR="00FA0FB5">
        <w:t>people at entirely different ends of the nation to interact with one another almost as easy</w:t>
      </w:r>
      <w:r w:rsidR="00451348">
        <w:t xml:space="preserve"> as they could within the same city. </w:t>
      </w:r>
      <w:r w:rsidR="00540E01">
        <w:t xml:space="preserve">It was now easier to manage companies which crossed thousands of kilometers of territory, for now operations far away could be managed by the center, which could continually receive information. </w:t>
      </w:r>
      <w:r w:rsidR="00815322">
        <w:t>Though newspaper associations for using telegraph lines to transmit stories quickly, like Green Pine, already existed, they were now larger and more able to transmit stories than ever before</w:t>
      </w:r>
      <w:r w:rsidR="0068348D">
        <w:t>, to such an extent that newspapers which subscribed to any of these associations faced something of an information overload</w:t>
      </w:r>
      <w:r w:rsidR="00201B62">
        <w:t xml:space="preserve">. </w:t>
      </w:r>
      <w:r w:rsidR="008F000A">
        <w:t xml:space="preserve">And the National Bank, tied </w:t>
      </w:r>
      <w:r w:rsidR="003F22F6">
        <w:t xml:space="preserve">with the state and therefore to the Post Office, </w:t>
      </w:r>
      <w:r w:rsidR="00245E9D">
        <w:t>was now able to provide services for transmitting, or “wiring”, money</w:t>
      </w:r>
      <w:r w:rsidR="00D369CA">
        <w:t xml:space="preserve"> around the nation</w:t>
      </w:r>
      <w:r w:rsidR="005E0F95">
        <w:t xml:space="preserve"> within a day</w:t>
      </w:r>
      <w:r w:rsidR="00EF6260">
        <w:t>, providing unprecedented amounts of convenience in the fields of commerce</w:t>
      </w:r>
      <w:r w:rsidR="00B01E6D">
        <w:rPr>
          <w:rStyle w:val="EndnoteReference"/>
        </w:rPr>
        <w:endnoteReference w:id="245"/>
      </w:r>
      <w:r w:rsidR="00D369CA">
        <w:t xml:space="preserve">. </w:t>
      </w:r>
      <w:r w:rsidR="004B7214">
        <w:t xml:space="preserve">Indeed, the English language itself changed around the rise of the </w:t>
      </w:r>
      <w:r w:rsidR="0019277D">
        <w:t>telegraph, as people compressed language into fewer words or characters so they could pay less</w:t>
      </w:r>
      <w:r w:rsidR="00975BC6">
        <w:t>, in a puzzling dialect nicknamed “telegraphese”</w:t>
      </w:r>
      <w:r w:rsidR="00761731">
        <w:t>. The scale of communications was such that</w:t>
      </w:r>
      <w:r w:rsidR="004B7214">
        <w:t xml:space="preserve"> </w:t>
      </w:r>
      <w:r w:rsidR="00761731">
        <w:t>p</w:t>
      </w:r>
      <w:r w:rsidR="004B7214">
        <w:t>eople fell in love and even married one another, just through interacting over the wire.</w:t>
      </w:r>
      <w:r w:rsidR="00B16B46">
        <w:t xml:space="preserve"> And though the biggest hope, that the</w:t>
      </w:r>
      <w:r w:rsidR="00BF69C9">
        <w:t xml:space="preserve"> electric</w:t>
      </w:r>
      <w:r w:rsidR="00B16B46">
        <w:t xml:space="preserve"> telegraph would</w:t>
      </w:r>
      <w:r w:rsidR="00283FCC">
        <w:t xml:space="preserve"> put an end to all disagreements</w:t>
      </w:r>
      <w:r w:rsidR="008F0177">
        <w:t xml:space="preserve"> and establish world peace, ultimately came to naught, the effects that it </w:t>
      </w:r>
      <w:r w:rsidR="009165AB">
        <w:t>had</w:t>
      </w:r>
      <w:r w:rsidR="008F0177">
        <w:t xml:space="preserve"> were nevertheless massive</w:t>
      </w:r>
      <w:r w:rsidR="00BF69C9">
        <w:t xml:space="preserve">. </w:t>
      </w:r>
    </w:p>
    <w:p w14:paraId="1A276424" w14:textId="77777777" w:rsidR="00392F3B" w:rsidRDefault="00DE4CD6" w:rsidP="004C5BD4">
      <w:r>
        <w:lastRenderedPageBreak/>
        <w:t>But even with the state monopoly on the telegraph</w:t>
      </w:r>
      <w:r w:rsidR="00FE7EC8">
        <w:t>, its zealous guarding</w:t>
      </w:r>
      <w:r w:rsidR="00583267">
        <w:t xml:space="preserve"> of the patents involved</w:t>
      </w:r>
      <w:r w:rsidR="00DE00F3">
        <w:t>, and the idea that mediums of communication should be held by the state</w:t>
      </w:r>
      <w:r w:rsidR="00D3448F">
        <w:t xml:space="preserve"> for the benefit of the people</w:t>
      </w:r>
      <w:r w:rsidR="00DE00F3">
        <w:t xml:space="preserve"> having very deep American roots</w:t>
      </w:r>
      <w:r>
        <w:t>, several</w:t>
      </w:r>
      <w:r w:rsidR="00DE00F3">
        <w:t xml:space="preserve"> telegraph</w:t>
      </w:r>
      <w:r w:rsidR="0098402C">
        <w:t xml:space="preserve"> companies still emerged.</w:t>
      </w:r>
      <w:r w:rsidR="008D7A53">
        <w:t xml:space="preserve"> This was because the Post </w:t>
      </w:r>
      <w:r w:rsidR="00204F87">
        <w:t>O</w:t>
      </w:r>
      <w:r w:rsidR="008D7A53">
        <w:t>ffice</w:t>
      </w:r>
      <w:r w:rsidR="00C2279E">
        <w:t xml:space="preserve"> specialized in a telegraph network that gilded and connected its offices, with mailmen doing the last leg of physically moving</w:t>
      </w:r>
      <w:r w:rsidR="004501D5">
        <w:t xml:space="preserve"> the letters – companies specialized in additional uses beyond this.</w:t>
      </w:r>
      <w:r w:rsidR="0098402C">
        <w:t xml:space="preserve"> </w:t>
      </w:r>
      <w:r w:rsidR="004F1981">
        <w:t>The railroads needed telegraphy to signal about issues</w:t>
      </w:r>
      <w:r w:rsidR="00084AE6">
        <w:t xml:space="preserve"> between stations</w:t>
      </w:r>
      <w:r w:rsidR="00AC26EF">
        <w:t xml:space="preserve">, </w:t>
      </w:r>
      <w:r w:rsidR="008D7A53">
        <w:t>and</w:t>
      </w:r>
      <w:r w:rsidR="00AC26EF">
        <w:t xml:space="preserve"> they’d</w:t>
      </w:r>
      <w:r w:rsidR="008D7A53">
        <w:t xml:space="preserve"> only sometimes</w:t>
      </w:r>
      <w:r w:rsidR="00AC26EF">
        <w:t xml:space="preserve"> request and get state support for new lines</w:t>
      </w:r>
      <w:r w:rsidR="00084AE6">
        <w:t xml:space="preserve">; nevertheless, this allowed for private telegraphs to </w:t>
      </w:r>
      <w:r w:rsidR="00806695">
        <w:t>get</w:t>
      </w:r>
      <w:r w:rsidR="006B21E5">
        <w:t xml:space="preserve"> some degree of</w:t>
      </w:r>
      <w:r w:rsidR="00806695">
        <w:t xml:space="preserve"> business</w:t>
      </w:r>
      <w:r w:rsidR="00426E65">
        <w:t xml:space="preserve"> –</w:t>
      </w:r>
      <w:r w:rsidR="00732EC6">
        <w:t xml:space="preserve"> and though they competed with</w:t>
      </w:r>
      <w:r w:rsidR="000E29D5">
        <w:t xml:space="preserve"> pneumatic message lines</w:t>
      </w:r>
      <w:r w:rsidR="000F267A">
        <w:t>, private telegraph companies could</w:t>
      </w:r>
      <w:r w:rsidR="002F198E">
        <w:t xml:space="preserve"> and did make business here</w:t>
      </w:r>
      <w:r w:rsidR="00AC26EF">
        <w:t xml:space="preserve">. </w:t>
      </w:r>
    </w:p>
    <w:p w14:paraId="1AB5FBA7" w14:textId="762715E1" w:rsidR="004C5BD4" w:rsidRDefault="005C1C6E" w:rsidP="004C5BD4">
      <w:r>
        <w:t xml:space="preserve">Another place where private telegraph companies saw success was </w:t>
      </w:r>
      <w:r w:rsidR="000B6BF6">
        <w:t>catering to private businesses, where the Post Office did not build lines</w:t>
      </w:r>
      <w:r w:rsidR="00374F50">
        <w:t xml:space="preserve">; </w:t>
      </w:r>
      <w:r w:rsidR="00B262ED">
        <w:t xml:space="preserve">to the extent to which the Post Office built lines away from existing postal stops, </w:t>
      </w:r>
      <w:r w:rsidR="00A27185">
        <w:t>they were to halls of government, or schoolhouses, or stock exchanges, or other places where</w:t>
      </w:r>
      <w:r w:rsidR="005B3248">
        <w:t xml:space="preserve"> the state considered it necessary</w:t>
      </w:r>
      <w:r w:rsidR="000B1966">
        <w:t xml:space="preserve">. </w:t>
      </w:r>
      <w:r w:rsidR="004C5BD4">
        <w:t>Thus, if private institutions wanted to build</w:t>
      </w:r>
      <w:r w:rsidR="00C9598D">
        <w:t xml:space="preserve"> immediate connections, they needed to subscribe to a telegraph company.</w:t>
      </w:r>
      <w:r w:rsidR="004C5BD4">
        <w:t xml:space="preserve"> </w:t>
      </w:r>
      <w:r w:rsidR="004A2996">
        <w:t xml:space="preserve">What allowed </w:t>
      </w:r>
      <w:r w:rsidR="00F4485E">
        <w:t xml:space="preserve">this industry to grow, without </w:t>
      </w:r>
      <w:r w:rsidR="00583267">
        <w:t xml:space="preserve">much state scrutiny, was that it did not use </w:t>
      </w:r>
      <w:r w:rsidR="00B81061">
        <w:t>the Henry patents owned by the state, but instead</w:t>
      </w:r>
      <w:r w:rsidR="007D4503">
        <w:t xml:space="preserve"> an entirely different system invented and patented by one </w:t>
      </w:r>
      <w:r w:rsidR="00773717">
        <w:t xml:space="preserve">David Edward Hughes. </w:t>
      </w:r>
      <w:r w:rsidR="000B54A8">
        <w:t>T</w:t>
      </w:r>
      <w:r w:rsidR="00B92E45">
        <w:t>his system, invented in 1851 and called</w:t>
      </w:r>
      <w:r w:rsidR="007A7E88">
        <w:t xml:space="preserve"> a “type-graph”, </w:t>
      </w:r>
      <w:r w:rsidR="00C47C8A">
        <w:t>allowed</w:t>
      </w:r>
      <w:r w:rsidR="007A7E88">
        <w:t xml:space="preserve"> a way </w:t>
      </w:r>
      <w:r w:rsidR="005E07EB">
        <w:t xml:space="preserve">for users </w:t>
      </w:r>
      <w:r w:rsidR="007A7E88">
        <w:t>to type messages</w:t>
      </w:r>
      <w:r w:rsidR="00C47C8A">
        <w:t xml:space="preserve"> through a keyboard – an adjusted piano keyboard – and based on what key was pressed, it would</w:t>
      </w:r>
      <w:r w:rsidR="007C3399">
        <w:t xml:space="preserve"> adjust </w:t>
      </w:r>
      <w:r w:rsidR="00697A21">
        <w:t>the</w:t>
      </w:r>
      <w:r w:rsidR="007C3399">
        <w:t xml:space="preserve"> typewheel</w:t>
      </w:r>
      <w:r w:rsidR="00586D66">
        <w:t xml:space="preserve">, consisting of a position for every </w:t>
      </w:r>
      <w:r w:rsidR="00964335">
        <w:t>key</w:t>
      </w:r>
      <w:r w:rsidR="00586D66">
        <w:t>,</w:t>
      </w:r>
      <w:r w:rsidR="007C3399">
        <w:t xml:space="preserve"> to </w:t>
      </w:r>
      <w:r w:rsidR="004E5CAE">
        <w:t>the</w:t>
      </w:r>
      <w:r w:rsidR="007C3399">
        <w:t xml:space="preserve"> corresponding position. </w:t>
      </w:r>
      <w:r w:rsidR="003D16C1">
        <w:t xml:space="preserve">The wire would then transmit this position </w:t>
      </w:r>
      <w:r w:rsidR="007C3399">
        <w:t>t</w:t>
      </w:r>
      <w:r w:rsidR="003D16C1">
        <w:t>o</w:t>
      </w:r>
      <w:r w:rsidR="007C3399">
        <w:t xml:space="preserve"> the other end,</w:t>
      </w:r>
      <w:r w:rsidR="003D16C1">
        <w:t xml:space="preserve"> which would adjust</w:t>
      </w:r>
      <w:r w:rsidR="007C3399">
        <w:t xml:space="preserve"> the typewheel </w:t>
      </w:r>
      <w:r w:rsidR="00085D7E">
        <w:t xml:space="preserve">to the </w:t>
      </w:r>
      <w:r w:rsidR="003D16C1">
        <w:t>corresponding</w:t>
      </w:r>
      <w:r w:rsidR="00085D7E">
        <w:t xml:space="preserve"> position</w:t>
      </w:r>
      <w:r w:rsidR="003D16C1">
        <w:t xml:space="preserve">; </w:t>
      </w:r>
      <w:r w:rsidR="00085D7E">
        <w:t>based on this</w:t>
      </w:r>
      <w:r w:rsidR="003D16C1">
        <w:t>,</w:t>
      </w:r>
      <w:r w:rsidR="00085D7E">
        <w:t xml:space="preserve"> it would </w:t>
      </w:r>
      <w:r w:rsidR="003D16C1">
        <w:t xml:space="preserve">then </w:t>
      </w:r>
      <w:r w:rsidR="00085D7E">
        <w:t xml:space="preserve">print the </w:t>
      </w:r>
      <w:r w:rsidR="003D16C1">
        <w:t>corresponding</w:t>
      </w:r>
      <w:r w:rsidR="00085D7E">
        <w:t xml:space="preserve"> letter. </w:t>
      </w:r>
      <w:r w:rsidR="007C6520">
        <w:t>This thus allowed for transmission of messages</w:t>
      </w:r>
      <w:r w:rsidR="00863E0E">
        <w:t xml:space="preserve">, but </w:t>
      </w:r>
      <w:r w:rsidR="00BB01E6">
        <w:t xml:space="preserve">through plaintext; users did not need to learn some elaborate code to </w:t>
      </w:r>
      <w:r w:rsidR="00336B90">
        <w:t>send messages. All they needed to do was type and receive, in plain English</w:t>
      </w:r>
      <w:r w:rsidR="00BB01E6">
        <w:t xml:space="preserve">. </w:t>
      </w:r>
      <w:r w:rsidR="006E5739">
        <w:t>And though the</w:t>
      </w:r>
      <w:r w:rsidR="003A2BB8">
        <w:t xml:space="preserve"> Hughes</w:t>
      </w:r>
      <w:r w:rsidR="006E5739">
        <w:t xml:space="preserve"> type-graph</w:t>
      </w:r>
      <w:r w:rsidR="00103BEA">
        <w:t xml:space="preserve"> was</w:t>
      </w:r>
      <w:r w:rsidR="003C5D90">
        <w:t xml:space="preserve"> a great deal</w:t>
      </w:r>
      <w:r w:rsidR="00103BEA">
        <w:t xml:space="preserve"> slower than </w:t>
      </w:r>
      <w:r w:rsidR="00E72511">
        <w:t xml:space="preserve">the Henry </w:t>
      </w:r>
      <w:r w:rsidR="00643518">
        <w:lastRenderedPageBreak/>
        <w:t>telegraph</w:t>
      </w:r>
      <w:r w:rsidR="00E72511">
        <w:t xml:space="preserve">, </w:t>
      </w:r>
      <w:r w:rsidR="00436F29">
        <w:t xml:space="preserve">though </w:t>
      </w:r>
      <w:r w:rsidR="00E72511">
        <w:t xml:space="preserve">it frequently </w:t>
      </w:r>
      <w:r w:rsidR="008F25FE">
        <w:t>jammed</w:t>
      </w:r>
      <w:r w:rsidR="00F7232F">
        <w:t>,</w:t>
      </w:r>
      <w:r w:rsidR="008F25FE">
        <w:t xml:space="preserve"> and </w:t>
      </w:r>
      <w:r w:rsidR="00F7232F">
        <w:t>though it required either somebody else to crank the wheel or the use of steam or pneumatic power</w:t>
      </w:r>
      <w:r w:rsidR="008F25FE">
        <w:t xml:space="preserve">, it was user-friendly – and the patent was not owned by the state. </w:t>
      </w:r>
      <w:r w:rsidR="003C5D90">
        <w:t xml:space="preserve">Thus, the 1850s saw </w:t>
      </w:r>
      <w:r w:rsidR="004A42F4">
        <w:t>several Hughes type-graph networks</w:t>
      </w:r>
      <w:r w:rsidR="00DA3EC6">
        <w:t>, municipal in scope,</w:t>
      </w:r>
      <w:r w:rsidR="004A42F4">
        <w:t xml:space="preserve"> emerge across the nation, connecting businesses</w:t>
      </w:r>
      <w:r w:rsidR="00392F3B">
        <w:t xml:space="preserve"> which frequently subscribed and built networks through chambers of commerce, professionals such as lawyers,</w:t>
      </w:r>
      <w:r w:rsidR="004A42F4">
        <w:t xml:space="preserve"> and</w:t>
      </w:r>
      <w:r w:rsidR="00463AA2">
        <w:t xml:space="preserve"> even</w:t>
      </w:r>
      <w:r w:rsidR="004A42F4">
        <w:t xml:space="preserve"> homes of the rich to one another in a tighter but simpler network</w:t>
      </w:r>
      <w:r w:rsidR="00336B90">
        <w:t xml:space="preserve">; indeed, it </w:t>
      </w:r>
      <w:r w:rsidR="00020C77">
        <w:t>helped escalate the</w:t>
      </w:r>
      <w:r w:rsidR="00F450E8">
        <w:t xml:space="preserve"> use</w:t>
      </w:r>
      <w:r w:rsidR="00020C77">
        <w:t>s</w:t>
      </w:r>
      <w:r w:rsidR="00F450E8">
        <w:t xml:space="preserve"> of the telegraph</w:t>
      </w:r>
      <w:r w:rsidR="004A42F4">
        <w:t xml:space="preserve">. </w:t>
      </w:r>
      <w:r w:rsidR="00761D17">
        <w:t xml:space="preserve">And though </w:t>
      </w:r>
      <w:r w:rsidR="00C71BE6">
        <w:t>many Americans</w:t>
      </w:r>
      <w:r w:rsidR="007762C0">
        <w:t xml:space="preserve"> w</w:t>
      </w:r>
      <w:r w:rsidR="00C71BE6">
        <w:t>ere</w:t>
      </w:r>
      <w:r w:rsidR="007762C0">
        <w:t xml:space="preserve"> critical of these private networks</w:t>
      </w:r>
      <w:r w:rsidR="006C5D60">
        <w:t xml:space="preserve"> – they granted to elite subscribers a special room for communication, which gave them an advantage over those who couldn’t afford it – </w:t>
      </w:r>
      <w:r w:rsidR="007762C0">
        <w:t>and</w:t>
      </w:r>
      <w:r w:rsidR="009415B1">
        <w:t xml:space="preserve"> though</w:t>
      </w:r>
      <w:r w:rsidR="007762C0">
        <w:t xml:space="preserve"> several </w:t>
      </w:r>
      <w:r w:rsidR="00463AA2">
        <w:t xml:space="preserve">politicians advocated their nationalization, </w:t>
      </w:r>
      <w:r w:rsidR="008D7946">
        <w:t>the type-graph</w:t>
      </w:r>
      <w:r w:rsidR="00463AA2">
        <w:t xml:space="preserve"> would </w:t>
      </w:r>
      <w:r w:rsidR="005E25D4">
        <w:t>remain an influential</w:t>
      </w:r>
      <w:r w:rsidR="000941C2">
        <w:t xml:space="preserve"> part of the American </w:t>
      </w:r>
      <w:r w:rsidR="00782B7C">
        <w:t>telegraph scene</w:t>
      </w:r>
      <w:r w:rsidR="009F5BDD">
        <w:rPr>
          <w:rStyle w:val="EndnoteReference"/>
        </w:rPr>
        <w:endnoteReference w:id="246"/>
      </w:r>
      <w:r w:rsidR="00D64A0F">
        <w:t>, and private telegraph companies would remain part of the American system until the Liberty and Union War</w:t>
      </w:r>
      <w:r w:rsidR="00DE0B31">
        <w:t xml:space="preserve">. </w:t>
      </w:r>
    </w:p>
    <w:p w14:paraId="3343DF86" w14:textId="0FDDEEF8" w:rsidR="00F6579C" w:rsidRDefault="00D64A0F" w:rsidP="00013F6B">
      <w:r>
        <w:t>The other part of the American telegraph network</w:t>
      </w:r>
      <w:r w:rsidR="001A4768">
        <w:t xml:space="preserve"> was the </w:t>
      </w:r>
      <w:r w:rsidR="002A56C7">
        <w:t>submarine</w:t>
      </w:r>
      <w:r w:rsidR="000B4D57">
        <w:t xml:space="preserve"> cable</w:t>
      </w:r>
      <w:r w:rsidR="00D94FBA">
        <w:t>, connecting it to Europe and the world at large</w:t>
      </w:r>
      <w:r w:rsidR="000B4D57">
        <w:t xml:space="preserve">. </w:t>
      </w:r>
      <w:r w:rsidR="007E5B50">
        <w:t xml:space="preserve">Experiments in </w:t>
      </w:r>
      <w:r w:rsidR="00F7614F">
        <w:t>laying cables under the water</w:t>
      </w:r>
      <w:r w:rsidR="007E5B50">
        <w:t xml:space="preserve"> would fail</w:t>
      </w:r>
      <w:r w:rsidR="009670B2">
        <w:t xml:space="preserve"> over the 1830s and 40s, as the materials</w:t>
      </w:r>
      <w:r w:rsidR="000C31B6">
        <w:t xml:space="preserve">, </w:t>
      </w:r>
      <w:r w:rsidR="009670B2">
        <w:t>to</w:t>
      </w:r>
      <w:r w:rsidR="000C31B6">
        <w:t xml:space="preserve"> cover wires with,</w:t>
      </w:r>
      <w:r w:rsidR="009670B2">
        <w:t xml:space="preserve"> simply did not exist. </w:t>
      </w:r>
      <w:r w:rsidR="006D04EF">
        <w:t xml:space="preserve">The </w:t>
      </w:r>
      <w:proofErr w:type="spellStart"/>
      <w:r w:rsidR="006D04EF">
        <w:t>calorization</w:t>
      </w:r>
      <w:proofErr w:type="spellEnd"/>
      <w:r w:rsidR="006D04EF">
        <w:t xml:space="preserve"> of rubber was still several decades away, after all</w:t>
      </w:r>
      <w:r w:rsidR="008D5520">
        <w:t>, and experiments with leather and other</w:t>
      </w:r>
      <w:r w:rsidR="000C31B6">
        <w:t xml:space="preserve"> insulants</w:t>
      </w:r>
      <w:r w:rsidR="00880F1F">
        <w:t xml:space="preserve"> </w:t>
      </w:r>
      <w:proofErr w:type="gramStart"/>
      <w:r w:rsidR="00880F1F">
        <w:t>did not succeed</w:t>
      </w:r>
      <w:proofErr w:type="gramEnd"/>
      <w:r w:rsidR="006D04EF">
        <w:t xml:space="preserve">. </w:t>
      </w:r>
      <w:r w:rsidR="000D24F0">
        <w:t xml:space="preserve">Indeed, </w:t>
      </w:r>
      <w:r w:rsidR="002119B3">
        <w:t>until the submarine cable became viable</w:t>
      </w:r>
      <w:r w:rsidR="000D24F0">
        <w:t xml:space="preserve">, to transmit messages over bodies of water, there were only a few ways to do this. One was to send messages by ship, which </w:t>
      </w:r>
      <w:r w:rsidR="006058FD">
        <w:t>was</w:t>
      </w:r>
      <w:r w:rsidR="000D24F0">
        <w:t xml:space="preserve"> the only way to do so across oceans and </w:t>
      </w:r>
      <w:r w:rsidR="006058FD">
        <w:t>large seas and lakes</w:t>
      </w:r>
      <w:r w:rsidR="000D24F0">
        <w:t xml:space="preserve">. </w:t>
      </w:r>
      <w:r w:rsidR="002119B3">
        <w:t>Another was to use semaphore towers</w:t>
      </w:r>
      <w:r w:rsidR="006058FD">
        <w:t xml:space="preserve">, where the two ends of a body of water were within eye of sight of one another; the </w:t>
      </w:r>
      <w:r w:rsidR="008801DE">
        <w:t>best-known example of this</w:t>
      </w:r>
      <w:r w:rsidR="00393271">
        <w:t xml:space="preserve"> remains the towers at Cap Gris-Nez in France and the Cliffs of Dover in the British Isles, which allowed for cross-channel communications and would only be retired permanently in </w:t>
      </w:r>
      <w:r w:rsidR="00FE11C9">
        <w:t>1874</w:t>
      </w:r>
      <w:r w:rsidR="00926136">
        <w:rPr>
          <w:rStyle w:val="EndnoteReference"/>
        </w:rPr>
        <w:endnoteReference w:id="247"/>
      </w:r>
      <w:r w:rsidR="00436569">
        <w:t xml:space="preserve">. </w:t>
      </w:r>
      <w:r w:rsidR="00D52174">
        <w:t>Another was to simply lay wire across a bridge, although this could only be done if a bridge could be constructed at al</w:t>
      </w:r>
      <w:r w:rsidR="00E70D33">
        <w:t>l; nevertheless, this did allow for communications across most American rivers</w:t>
      </w:r>
      <w:r w:rsidR="006605DF">
        <w:t xml:space="preserve">. The means to build a submarine cable did not, </w:t>
      </w:r>
      <w:proofErr w:type="gramStart"/>
      <w:r w:rsidR="006605DF">
        <w:t>as of yet</w:t>
      </w:r>
      <w:proofErr w:type="gramEnd"/>
      <w:r w:rsidR="006605DF">
        <w:t>, exist</w:t>
      </w:r>
      <w:r w:rsidR="001424C6">
        <w:t xml:space="preserve">. </w:t>
      </w:r>
    </w:p>
    <w:p w14:paraId="4FDE4F7F" w14:textId="0995E4CA" w:rsidR="00D64A0F" w:rsidRDefault="001424C6" w:rsidP="00013F6B">
      <w:r>
        <w:lastRenderedPageBreak/>
        <w:t xml:space="preserve">What changed this was when, in 1853, </w:t>
      </w:r>
      <w:r w:rsidR="00497AD0">
        <w:t>the</w:t>
      </w:r>
      <w:r>
        <w:t xml:space="preserve"> French scientist</w:t>
      </w:r>
      <w:r w:rsidR="00497AD0">
        <w:t xml:space="preserve"> </w:t>
      </w:r>
      <w:r w:rsidR="00497AD0" w:rsidRPr="00497AD0">
        <w:t>Rémi</w:t>
      </w:r>
      <w:r w:rsidR="00497AD0">
        <w:t xml:space="preserve"> Cerf</w:t>
      </w:r>
      <w:r>
        <w:t xml:space="preserve"> serendipitously discovered that rubber from the balata tree, being both naturally hard and an insulant, </w:t>
      </w:r>
      <w:r w:rsidR="00DB7B6A">
        <w:t xml:space="preserve">was a perfect material to </w:t>
      </w:r>
      <w:r w:rsidR="002E7880">
        <w:t xml:space="preserve">use for </w:t>
      </w:r>
      <w:r w:rsidR="00212FCB">
        <w:t>insulant for submarine cables</w:t>
      </w:r>
      <w:r w:rsidR="00161312">
        <w:rPr>
          <w:rStyle w:val="EndnoteReference"/>
        </w:rPr>
        <w:endnoteReference w:id="248"/>
      </w:r>
      <w:r w:rsidR="00212FCB">
        <w:t>. In the years that followed</w:t>
      </w:r>
      <w:r w:rsidR="00EE54D2">
        <w:t xml:space="preserve">, submarine cable projects escalated dramatically – </w:t>
      </w:r>
      <w:r w:rsidR="004468D9">
        <w:t xml:space="preserve">first came </w:t>
      </w:r>
      <w:r w:rsidR="00EE54D2">
        <w:t xml:space="preserve">a cable from Britain to </w:t>
      </w:r>
      <w:proofErr w:type="gramStart"/>
      <w:r w:rsidR="00EE54D2">
        <w:t>Ireland</w:t>
      </w:r>
      <w:r w:rsidR="00860EA8">
        <w:t>, and</w:t>
      </w:r>
      <w:proofErr w:type="gramEnd"/>
      <w:r w:rsidR="00860EA8">
        <w:t xml:space="preserve"> next came in quick succession a cable from </w:t>
      </w:r>
      <w:r w:rsidR="008C1221">
        <w:t xml:space="preserve">France to the British Isles. </w:t>
      </w:r>
      <w:r w:rsidR="00231A7D">
        <w:t xml:space="preserve">These faced severe issues, however; the signal came out tinny and weak, and it also came slower than expected. </w:t>
      </w:r>
      <w:r w:rsidR="009D5CA4">
        <w:t>This was because of the Leyden jar effect: the wire induced a reverse electric current in the water around it, which both weakened and slowed the signal. The brilliant British scientist William Thomson discovered the law of squares, in which the signal deteriorated at a rate</w:t>
      </w:r>
      <w:r w:rsidR="001E155D">
        <w:t xml:space="preserve"> equal to the square of distance</w:t>
      </w:r>
      <w:r w:rsidR="005D2C34">
        <w:rPr>
          <w:rStyle w:val="EndnoteReference"/>
        </w:rPr>
        <w:endnoteReference w:id="249"/>
      </w:r>
      <w:r w:rsidR="001E155D">
        <w:t xml:space="preserve">. </w:t>
      </w:r>
      <w:r w:rsidR="00A47996">
        <w:t xml:space="preserve">It was a sobering </w:t>
      </w:r>
      <w:proofErr w:type="gramStart"/>
      <w:r w:rsidR="00A47996">
        <w:t>thought, and</w:t>
      </w:r>
      <w:proofErr w:type="gramEnd"/>
      <w:r w:rsidR="00A47996">
        <w:t xml:space="preserve"> attempts to overcome this effect by dramatically increasing pressure only shorted the cables in question. </w:t>
      </w:r>
      <w:r w:rsidR="009C21E4">
        <w:t xml:space="preserve">The Britain-Ireland cable failed in 1859, and so too did the France-British Isles cable in 1864. </w:t>
      </w:r>
      <w:r w:rsidR="00BE2A8B">
        <w:t xml:space="preserve">Eventually, the Leyden jar effect would be overcome through experimentation, improved manufacture, and the use of repeaters – but it put an end, for the time being, to dreams of building a cable across the Atlantic. </w:t>
      </w:r>
      <w:r w:rsidR="00AB4D22">
        <w:t>Dreams of connecting America and Europe instead looked the other way</w:t>
      </w:r>
      <w:r w:rsidR="00696BFC">
        <w:t xml:space="preserve"> so that a message could be sent from Washington, transmitted through the Oregon Country, up to Alaska, under the Bering Strait, over Siberia</w:t>
      </w:r>
      <w:r w:rsidR="00CE04AF">
        <w:t>, to Moscow, and then finally to the rest of Europe</w:t>
      </w:r>
      <w:r w:rsidR="00AB4D22">
        <w:t xml:space="preserve">. </w:t>
      </w:r>
      <w:r w:rsidR="00CD659B">
        <w:t>This was a daunting endeavor, to be sure, and at the time many condemned it as folly, but it was more thinkable in the 1850s than it would have been before. For the collapse of the Qing dynasty in China had allowed Russia to take over much of China’s northern fringe, in the name of protecting the Qing rump state</w:t>
      </w:r>
      <w:r w:rsidR="00FE67E5">
        <w:t>. Building a telegraph line across Siberia would be a way to protect</w:t>
      </w:r>
      <w:r w:rsidR="00EF17B9">
        <w:t xml:space="preserve"> these holdings</w:t>
      </w:r>
      <w:r w:rsidR="00D0605D">
        <w:t xml:space="preserve"> while also giving room for the Tsar’s desires to </w:t>
      </w:r>
      <w:r w:rsidR="00831CD8">
        <w:t>send settlers East</w:t>
      </w:r>
      <w:r w:rsidR="00EF17B9">
        <w:t>, and that building the line across</w:t>
      </w:r>
      <w:r w:rsidR="006710BB">
        <w:t xml:space="preserve"> the Bering Strait would bring American investors on the project</w:t>
      </w:r>
      <w:r w:rsidR="00673813">
        <w:t xml:space="preserve">, only made that a logical extension of it. </w:t>
      </w:r>
      <w:r w:rsidR="00C834AB">
        <w:t xml:space="preserve">So began the </w:t>
      </w:r>
      <w:proofErr w:type="gramStart"/>
      <w:r w:rsidR="00C834AB">
        <w:t>Russian-American</w:t>
      </w:r>
      <w:proofErr w:type="gramEnd"/>
      <w:r w:rsidR="00C834AB">
        <w:t xml:space="preserve"> Telegraph. </w:t>
      </w:r>
    </w:p>
    <w:p w14:paraId="6BC1F97B" w14:textId="3622548E" w:rsidR="00B81CAF" w:rsidRDefault="00AC450D" w:rsidP="00013F6B">
      <w:r>
        <w:lastRenderedPageBreak/>
        <w:t xml:space="preserve">Beginning in </w:t>
      </w:r>
      <w:r w:rsidR="00DA7562">
        <w:t xml:space="preserve">1856, this project represented a </w:t>
      </w:r>
      <w:r w:rsidR="00B63788">
        <w:t xml:space="preserve">strange </w:t>
      </w:r>
      <w:r w:rsidR="00DA7562">
        <w:t xml:space="preserve">union of </w:t>
      </w:r>
      <w:r w:rsidR="000C39E3">
        <w:t xml:space="preserve">American and Russian capital. From one end, the United States would need to send a telegraph line far and wide, over </w:t>
      </w:r>
      <w:r w:rsidR="00C5173D">
        <w:t>its frontier into the</w:t>
      </w:r>
      <w:r w:rsidR="00996327">
        <w:t xml:space="preserve"> Oregon Country, with its overlapping British, Russian, and Spanish claims. From there, it would then need to draw it into Vancouver Island</w:t>
      </w:r>
      <w:r w:rsidR="005F0A72">
        <w:t>, to a Russian settlement in its north, and from there Russia would draw it into its Alaskan holdings</w:t>
      </w:r>
      <w:r w:rsidR="0022523F">
        <w:t xml:space="preserve">, to the seaport of </w:t>
      </w:r>
      <w:proofErr w:type="spellStart"/>
      <w:r w:rsidR="0022523F">
        <w:t>Mednovtsy</w:t>
      </w:r>
      <w:proofErr w:type="spellEnd"/>
      <w:r w:rsidR="005F0A72">
        <w:t xml:space="preserve">. </w:t>
      </w:r>
      <w:r w:rsidR="0022523F">
        <w:t>On the other end, Russia would need to construct a huge telegraph</w:t>
      </w:r>
      <w:r w:rsidR="00DB2A22">
        <w:t xml:space="preserve"> line all the way to the eastern coastal port of Vladivostok (today </w:t>
      </w:r>
      <w:proofErr w:type="spellStart"/>
      <w:r w:rsidR="00DB2A22">
        <w:t>Haishenwai</w:t>
      </w:r>
      <w:proofErr w:type="spellEnd"/>
      <w:r w:rsidR="00DB2A22">
        <w:t xml:space="preserve">). </w:t>
      </w:r>
      <w:r w:rsidR="00B63788">
        <w:t>And though both Russian and American</w:t>
      </w:r>
      <w:r w:rsidR="00671FA1">
        <w:t xml:space="preserve"> investors saw that building a submarine cable between Vladivostok and </w:t>
      </w:r>
      <w:proofErr w:type="spellStart"/>
      <w:r w:rsidR="00671FA1">
        <w:t>Mednovtsy</w:t>
      </w:r>
      <w:proofErr w:type="spellEnd"/>
      <w:r w:rsidR="00671FA1">
        <w:t xml:space="preserve"> would be no easy feat, they hoped it would be </w:t>
      </w:r>
      <w:r w:rsidR="00C2647C">
        <w:t xml:space="preserve">doable </w:t>
      </w:r>
      <w:r w:rsidR="002E3C8D">
        <w:t>by the time the cables got to that point</w:t>
      </w:r>
      <w:r w:rsidR="00B555F9">
        <w:t>; if it wasn’t, then for the time being, telegraph messages could simply be</w:t>
      </w:r>
      <w:r w:rsidR="001344A0">
        <w:t xml:space="preserve"> printed out on ticker tape,</w:t>
      </w:r>
      <w:r w:rsidR="00B555F9">
        <w:t xml:space="preserve"> conveyed</w:t>
      </w:r>
      <w:r w:rsidR="00B553AB">
        <w:t xml:space="preserve"> by boat from one of these ports to the other</w:t>
      </w:r>
      <w:r w:rsidR="001344A0">
        <w:t>, and then fed into the telegraph on the other end</w:t>
      </w:r>
      <w:r w:rsidR="002E3C8D">
        <w:t xml:space="preserve">. </w:t>
      </w:r>
      <w:r w:rsidR="00E65DA5">
        <w:t>Constructing the Russian-American Telegraph would be no easy feat – the American government had to construct it beyond its loosely controlled frontier</w:t>
      </w:r>
      <w:r w:rsidR="007238DF">
        <w:t xml:space="preserve">, avoid the expected dispute with British and Spanish claims over the Oregon </w:t>
      </w:r>
      <w:r w:rsidR="001F42E9">
        <w:t>C</w:t>
      </w:r>
      <w:r w:rsidR="007238DF">
        <w:t>ountry</w:t>
      </w:r>
      <w:r w:rsidR="00E65DA5">
        <w:t xml:space="preserve">, convince the </w:t>
      </w:r>
      <w:proofErr w:type="spellStart"/>
      <w:r w:rsidR="007238DF">
        <w:t>Sophians</w:t>
      </w:r>
      <w:proofErr w:type="spellEnd"/>
      <w:r w:rsidR="007238DF">
        <w:t xml:space="preserve"> on Vancouver Island who viewed America with much suspicion</w:t>
      </w:r>
      <w:r w:rsidR="00A658A9">
        <w:t>; while the Russian government had to survey much land in Siberia, and indeed even in its holdings in Alaska which it only technically controlled</w:t>
      </w:r>
      <w:r w:rsidR="008C6950">
        <w:t>.</w:t>
      </w:r>
      <w:r w:rsidR="00A658A9">
        <w:t xml:space="preserve"> </w:t>
      </w:r>
      <w:r w:rsidR="00E44D58">
        <w:t xml:space="preserve">But it would be done; </w:t>
      </w:r>
      <w:r w:rsidR="00AA14FF">
        <w:t xml:space="preserve">both Russia and the United States had </w:t>
      </w:r>
      <w:r w:rsidR="00651927">
        <w:t>full</w:t>
      </w:r>
      <w:r w:rsidR="00AA14FF">
        <w:t xml:space="preserve"> incentive</w:t>
      </w:r>
      <w:r w:rsidR="00153AD7">
        <w:t>s to see a telegraph connection through</w:t>
      </w:r>
      <w:r w:rsidR="00D84C1D">
        <w:rPr>
          <w:rStyle w:val="EndnoteReference"/>
        </w:rPr>
        <w:endnoteReference w:id="250"/>
      </w:r>
      <w:r w:rsidR="00153AD7">
        <w:t xml:space="preserve">. </w:t>
      </w:r>
    </w:p>
    <w:p w14:paraId="4E237386" w14:textId="4EF2A8BE" w:rsidR="00AC450D" w:rsidRDefault="008C6950" w:rsidP="00013F6B">
      <w:r>
        <w:t>T</w:t>
      </w:r>
      <w:r w:rsidR="00A658A9">
        <w:t>he project ran well over its expected</w:t>
      </w:r>
      <w:r w:rsidR="004549D9">
        <w:t xml:space="preserve"> price</w:t>
      </w:r>
      <w:r w:rsidR="00AC3E4C">
        <w:t xml:space="preserve"> and negotiations would be tough</w:t>
      </w:r>
      <w:r w:rsidR="00464D2B">
        <w:t xml:space="preserve">, but by 1867 it would be possible to send a message from Washington to </w:t>
      </w:r>
      <w:proofErr w:type="gramStart"/>
      <w:r w:rsidR="00464D2B">
        <w:t>Paris, and</w:t>
      </w:r>
      <w:proofErr w:type="gramEnd"/>
      <w:r w:rsidR="00464D2B">
        <w:t xml:space="preserve"> save only for </w:t>
      </w:r>
      <w:r w:rsidR="009764BF">
        <w:t>it travelling from</w:t>
      </w:r>
      <w:r w:rsidR="00464D2B">
        <w:t xml:space="preserve"> </w:t>
      </w:r>
      <w:r w:rsidR="009764BF">
        <w:t xml:space="preserve">Vladivostok to </w:t>
      </w:r>
      <w:proofErr w:type="spellStart"/>
      <w:r w:rsidR="009764BF">
        <w:t>Mednovtsy</w:t>
      </w:r>
      <w:proofErr w:type="spellEnd"/>
      <w:r w:rsidR="009764BF">
        <w:t xml:space="preserve"> on a boat, it would</w:t>
      </w:r>
      <w:r w:rsidR="00DB1C35">
        <w:t xml:space="preserve"> </w:t>
      </w:r>
      <w:r w:rsidR="006C795B">
        <w:t>be transmitted</w:t>
      </w:r>
      <w:r w:rsidR="00DB1C35">
        <w:t xml:space="preserve"> </w:t>
      </w:r>
      <w:r w:rsidR="005A3F58">
        <w:t xml:space="preserve">on the wire </w:t>
      </w:r>
      <w:r w:rsidR="00DB1C35">
        <w:t>almost instantaneously</w:t>
      </w:r>
      <w:r w:rsidR="00C31830">
        <w:t>. Now, the perilous nature of this boat leg meant that taking telegraphs</w:t>
      </w:r>
      <w:r w:rsidR="00D57675">
        <w:t xml:space="preserve"> across the Strait</w:t>
      </w:r>
      <w:r w:rsidR="00C31830">
        <w:t xml:space="preserve"> could take anywhere from less than a week in the best of conditions to a month in the worst</w:t>
      </w:r>
      <w:r w:rsidR="00E527F7">
        <w:t>– but</w:t>
      </w:r>
      <w:r w:rsidR="00692B81">
        <w:t xml:space="preserve"> it did not take long for these perilous voyages to be romanticized as the </w:t>
      </w:r>
      <w:proofErr w:type="spellStart"/>
      <w:r w:rsidR="00692B81">
        <w:t>Ice</w:t>
      </w:r>
      <w:r w:rsidR="006B5B9D">
        <w:t>clipper</w:t>
      </w:r>
      <w:proofErr w:type="spellEnd"/>
      <w:r w:rsidR="00692B81">
        <w:t xml:space="preserve"> Express</w:t>
      </w:r>
      <w:r w:rsidR="00CE063B">
        <w:rPr>
          <w:rStyle w:val="EndnoteReference"/>
        </w:rPr>
        <w:endnoteReference w:id="251"/>
      </w:r>
      <w:r w:rsidR="001659EA">
        <w:t xml:space="preserve">. And though the submarine cable from Vladivostok to </w:t>
      </w:r>
      <w:proofErr w:type="spellStart"/>
      <w:r w:rsidR="001659EA">
        <w:t>Mednovtsy</w:t>
      </w:r>
      <w:proofErr w:type="spellEnd"/>
      <w:r w:rsidR="001659EA">
        <w:t xml:space="preserve"> was only fully laid in 1871</w:t>
      </w:r>
      <w:r w:rsidR="00B13CB4">
        <w:t xml:space="preserve">, it would be done piece </w:t>
      </w:r>
      <w:r w:rsidR="00B13CB4">
        <w:lastRenderedPageBreak/>
        <w:t>by piece, along the way gradually reducing the size of the voyages</w:t>
      </w:r>
      <w:r w:rsidR="002E3E51">
        <w:rPr>
          <w:rStyle w:val="EndnoteReference"/>
        </w:rPr>
        <w:endnoteReference w:id="252"/>
      </w:r>
      <w:r w:rsidR="00674F53">
        <w:t xml:space="preserve">; and when it was fully laid, it </w:t>
      </w:r>
      <w:r w:rsidR="009C3662">
        <w:t>turned this faraway northern line into a chokepoint for global communications</w:t>
      </w:r>
      <w:r w:rsidR="0074612E">
        <w:rPr>
          <w:rStyle w:val="EndnoteReference"/>
        </w:rPr>
        <w:endnoteReference w:id="253"/>
      </w:r>
      <w:r w:rsidR="00692B81">
        <w:t xml:space="preserve">. </w:t>
      </w:r>
      <w:r w:rsidR="00F6579C">
        <w:t>Additionally, with its integration in the European telegraph network</w:t>
      </w:r>
      <w:r w:rsidR="00964916">
        <w:rPr>
          <w:rStyle w:val="EndnoteReference"/>
        </w:rPr>
        <w:endnoteReference w:id="254"/>
      </w:r>
      <w:r w:rsidR="00F6579C">
        <w:t xml:space="preserve">, the United States began the process </w:t>
      </w:r>
      <w:r w:rsidR="00E452F3">
        <w:t xml:space="preserve">of transitioning over to </w:t>
      </w:r>
      <w:r w:rsidR="00E104D1">
        <w:t xml:space="preserve">Gauss code, which had </w:t>
      </w:r>
      <w:r w:rsidR="006E5029">
        <w:t>by then already become</w:t>
      </w:r>
      <w:r w:rsidR="00E104D1">
        <w:t xml:space="preserve"> the norm in Europe and, though</w:t>
      </w:r>
      <w:r w:rsidR="00E67874">
        <w:t xml:space="preserve"> certainly</w:t>
      </w:r>
      <w:r w:rsidR="00E104D1">
        <w:t xml:space="preserve"> less intuitive than the Chappe needle telegraph, it was quicker</w:t>
      </w:r>
      <w:r w:rsidR="00F1050B">
        <w:rPr>
          <w:rStyle w:val="EndnoteReference"/>
        </w:rPr>
        <w:endnoteReference w:id="255"/>
      </w:r>
      <w:r w:rsidR="00E104D1">
        <w:t>.</w:t>
      </w:r>
      <w:r w:rsidR="00F6579C">
        <w:t xml:space="preserve"> </w:t>
      </w:r>
      <w:r w:rsidR="00692B81">
        <w:t>And ultimately,</w:t>
      </w:r>
      <w:r w:rsidR="00E527F7">
        <w:t xml:space="preserve"> it was an impressive communications revolution</w:t>
      </w:r>
      <w:r w:rsidR="006260ED">
        <w:t xml:space="preserve">. </w:t>
      </w:r>
    </w:p>
    <w:p w14:paraId="65BF11C6" w14:textId="00CF52F0" w:rsidR="00545A7D" w:rsidRPr="00AB4D22" w:rsidRDefault="00545A7D" w:rsidP="00013F6B">
      <w:r>
        <w:t>Thus, the United States had</w:t>
      </w:r>
      <w:r w:rsidR="0067052A">
        <w:t xml:space="preserve"> become, in truth, a telegraph nation. </w:t>
      </w:r>
      <w:r w:rsidR="008245EB">
        <w:t xml:space="preserve">It saw the promise of the telegraph truly come to be, as now for a </w:t>
      </w:r>
      <w:r w:rsidR="00AE41C3">
        <w:t>uniform</w:t>
      </w:r>
      <w:r w:rsidR="008245EB">
        <w:t xml:space="preserve"> fee any American could send a telegraph message anywhere else</w:t>
      </w:r>
      <w:r w:rsidR="009051F4">
        <w:t xml:space="preserve"> in the nation</w:t>
      </w:r>
      <w:r w:rsidR="008245EB">
        <w:t xml:space="preserve">. </w:t>
      </w:r>
      <w:r w:rsidR="00A4470F">
        <w:t xml:space="preserve">Private telegraph companies rose, </w:t>
      </w:r>
      <w:r w:rsidR="00171631">
        <w:t>catering</w:t>
      </w:r>
      <w:r w:rsidR="00A4470F">
        <w:t xml:space="preserve"> to a separate</w:t>
      </w:r>
      <w:r w:rsidR="00163FAA">
        <w:t xml:space="preserve"> niche for private business and for the homes of the rich</w:t>
      </w:r>
      <w:r w:rsidR="00180E97">
        <w:t>, as they could not possibly compete with the postal telegraph</w:t>
      </w:r>
      <w:r w:rsidR="00086E2F">
        <w:t xml:space="preserve">. </w:t>
      </w:r>
      <w:r w:rsidR="00402AC6">
        <w:t>The promise of the telegraph era was reaching fruition</w:t>
      </w:r>
      <w:r w:rsidR="009637A2">
        <w:t>, as it became increasingly common in its use</w:t>
      </w:r>
      <w:r w:rsidR="00402AC6">
        <w:t xml:space="preserve">. </w:t>
      </w:r>
      <w:r w:rsidR="009637A2">
        <w:t>And a new wire connected America to Europe, through the great</w:t>
      </w:r>
      <w:r w:rsidR="001975FF">
        <w:t xml:space="preserve"> expanse</w:t>
      </w:r>
      <w:r w:rsidR="00E005B5">
        <w:t>s</w:t>
      </w:r>
      <w:r w:rsidR="001975FF">
        <w:t xml:space="preserve"> of Siberia</w:t>
      </w:r>
      <w:r w:rsidR="00E005B5">
        <w:t xml:space="preserve"> and Alaska, allowing for </w:t>
      </w:r>
      <w:r w:rsidR="00B11D14">
        <w:t>their</w:t>
      </w:r>
      <w:r w:rsidR="00E005B5">
        <w:t xml:space="preserve"> integration into a global</w:t>
      </w:r>
      <w:r w:rsidR="00C652EF">
        <w:t xml:space="preserve"> telegraph network. </w:t>
      </w:r>
      <w:r w:rsidR="00456CAA">
        <w:t xml:space="preserve">This would all be a momentous event, which allowed for near-instantaneous communications </w:t>
      </w:r>
      <w:r w:rsidR="005B7A63">
        <w:t>within</w:t>
      </w:r>
      <w:r w:rsidR="00456CAA">
        <w:t xml:space="preserve"> </w:t>
      </w:r>
      <w:r w:rsidR="00312407">
        <w:t>the United States</w:t>
      </w:r>
      <w:r w:rsidR="005B7A63">
        <w:t>, and from it</w:t>
      </w:r>
      <w:r w:rsidR="00312407">
        <w:t xml:space="preserve"> to the rest of the world</w:t>
      </w:r>
      <w:r w:rsidR="00337045">
        <w:t xml:space="preserve">. </w:t>
      </w:r>
      <w:r w:rsidR="002160C8">
        <w:t>But this all came with several consequences</w:t>
      </w:r>
      <w:r w:rsidR="001659EA">
        <w:t xml:space="preserve">. </w:t>
      </w:r>
      <w:r w:rsidR="00DE52C2">
        <w:t>The rise of rapid communications between the South and the North, and censors found</w:t>
      </w:r>
      <w:r w:rsidR="00FD31E0">
        <w:t xml:space="preserve"> it almost impossible</w:t>
      </w:r>
      <w:r w:rsidR="00DE52C2">
        <w:t xml:space="preserve"> </w:t>
      </w:r>
      <w:r w:rsidR="00FD31E0">
        <w:t>to</w:t>
      </w:r>
      <w:r w:rsidR="00DE52C2">
        <w:t xml:space="preserve"> </w:t>
      </w:r>
      <w:r w:rsidR="0007540B">
        <w:t>keep</w:t>
      </w:r>
      <w:r w:rsidR="00A4546A">
        <w:t xml:space="preserve"> news of the brutality of the slave system from reaching the North</w:t>
      </w:r>
      <w:r w:rsidR="008752E9">
        <w:t>.</w:t>
      </w:r>
      <w:r w:rsidR="009E45E5">
        <w:t xml:space="preserve"> The electric telegraph system, like the semaphore before it, was used to catch and detain criminals</w:t>
      </w:r>
      <w:r w:rsidR="00CA7270">
        <w:t>, among them runaway slaves; unlike the semaphore bef</w:t>
      </w:r>
      <w:r w:rsidR="007419C0">
        <w:t xml:space="preserve">ore it, it had much higher capacity </w:t>
      </w:r>
      <w:r w:rsidR="003D3D38">
        <w:t>which allowed for the transmission of the minutiae</w:t>
      </w:r>
      <w:r w:rsidR="00FB179B">
        <w:t xml:space="preserve"> – and the minutiae horrified </w:t>
      </w:r>
      <w:r w:rsidR="00567D66">
        <w:t>observers.</w:t>
      </w:r>
      <w:r w:rsidR="003D3D38">
        <w:t xml:space="preserve"> </w:t>
      </w:r>
      <w:r w:rsidR="008752E9">
        <w:t xml:space="preserve">The abolitionist movement found it much easier to </w:t>
      </w:r>
      <w:r w:rsidR="00E104F7">
        <w:t>act</w:t>
      </w:r>
      <w:r w:rsidR="008752E9">
        <w:t xml:space="preserve"> with near-instantaneous communication</w:t>
      </w:r>
      <w:r w:rsidR="0026666C">
        <w:t xml:space="preserve">; the deluge of information that </w:t>
      </w:r>
      <w:r w:rsidR="005C27E4">
        <w:t>the telegraph allowed, also meant</w:t>
      </w:r>
      <w:r w:rsidR="00621C74">
        <w:t xml:space="preserve"> it received far more intelligence, and though it could not organize in the South</w:t>
      </w:r>
      <w:r w:rsidR="009E587C">
        <w:t xml:space="preserve">, it </w:t>
      </w:r>
      <w:r w:rsidR="00654BE8">
        <w:t>could gather information from it</w:t>
      </w:r>
      <w:r w:rsidR="007806B9">
        <w:t xml:space="preserve"> and organize on the North upon it</w:t>
      </w:r>
      <w:r w:rsidR="001D3C7E">
        <w:t xml:space="preserve">. </w:t>
      </w:r>
      <w:r w:rsidR="004F2072">
        <w:t xml:space="preserve">The </w:t>
      </w:r>
      <w:r w:rsidR="004F2072">
        <w:lastRenderedPageBreak/>
        <w:t>sectional divides that wrapped the nation were being tested</w:t>
      </w:r>
      <w:r w:rsidR="0092362A">
        <w:t xml:space="preserve"> – and it must surprise no one that, ultimately, the 1860s saw it</w:t>
      </w:r>
      <w:r w:rsidR="009C060D">
        <w:t xml:space="preserve"> snap. </w:t>
      </w:r>
    </w:p>
    <w:p w14:paraId="61111BD4" w14:textId="77777777" w:rsidR="008E19F6" w:rsidRDefault="008E19F6" w:rsidP="008E19F6">
      <w:r>
        <w:br w:type="page"/>
      </w:r>
    </w:p>
    <w:p w14:paraId="012C4641" w14:textId="77777777" w:rsidR="00710CED" w:rsidRDefault="00710CED" w:rsidP="00C620D0"/>
    <w:p w14:paraId="06A090C5" w14:textId="77777777" w:rsidR="008E19F6" w:rsidRDefault="008E19F6" w:rsidP="00866405">
      <w:pPr>
        <w:ind w:firstLine="0"/>
        <w:sectPr w:rsidR="008E19F6" w:rsidSect="00C620D0">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58DE97A7" w14:textId="77777777" w:rsidR="00C620D0" w:rsidRDefault="00C620D0" w:rsidP="00C620D0">
      <w:r>
        <w:br w:type="page"/>
      </w:r>
    </w:p>
    <w:p w14:paraId="70AE7C82" w14:textId="6C1BDAE3" w:rsidR="00A518CD" w:rsidRDefault="00C620D0" w:rsidP="00C620D0">
      <w:pPr>
        <w:pStyle w:val="Heading1"/>
      </w:pPr>
      <w:bookmarkStart w:id="61" w:name="_Toc202006248"/>
      <w:r>
        <w:lastRenderedPageBreak/>
        <w:t>4</w:t>
      </w:r>
      <w:r w:rsidR="00F93DCA">
        <w:t>9</w:t>
      </w:r>
      <w:r>
        <w:t xml:space="preserve">. </w:t>
      </w:r>
      <w:r w:rsidR="00D6363B">
        <w:t xml:space="preserve">The Path of </w:t>
      </w:r>
      <w:r w:rsidR="00CD4D46">
        <w:t>Horrors</w:t>
      </w:r>
      <w:bookmarkEnd w:id="61"/>
    </w:p>
    <w:p w14:paraId="37A46FFC" w14:textId="02E6BBA2" w:rsidR="00AA313E" w:rsidRDefault="00A9003D" w:rsidP="00AA313E">
      <w:r>
        <w:t xml:space="preserve">As 1855 turned to 1856, it was clear that </w:t>
      </w:r>
      <w:r w:rsidR="0096316C">
        <w:t xml:space="preserve">Robert F. Stockton was </w:t>
      </w:r>
      <w:r w:rsidR="000B1132">
        <w:t xml:space="preserve">a success. </w:t>
      </w:r>
      <w:r w:rsidR="00AC16A1">
        <w:t xml:space="preserve">Industrial growth continued unabated and </w:t>
      </w:r>
      <w:r w:rsidR="00F40B5E">
        <w:t>in fact</w:t>
      </w:r>
      <w:r w:rsidR="00AC16A1">
        <w:t xml:space="preserve"> escalated, and though it </w:t>
      </w:r>
      <w:r w:rsidR="00131E97">
        <w:t>was hardly a corruption-free affair</w:t>
      </w:r>
      <w:r w:rsidR="004768E9">
        <w:t>, the corruption was now detached from the government</w:t>
      </w:r>
      <w:r w:rsidR="006C1FE5">
        <w:t>. The beginnings of the California Gold Rush</w:t>
      </w:r>
      <w:r w:rsidR="002C430C">
        <w:t xml:space="preserve"> in 1854 allowed a flush of gold into the United States, and this also allowed for a dramatic increase in banknotes issued; this inflation fuelled the economic boom</w:t>
      </w:r>
      <w:r w:rsidR="004768E9">
        <w:t xml:space="preserve">. </w:t>
      </w:r>
      <w:r w:rsidR="00755870">
        <w:t xml:space="preserve">The nation </w:t>
      </w:r>
      <w:r w:rsidR="00233B80">
        <w:t>maintained a new, aggressive foreign policy based on hemispheric</w:t>
      </w:r>
      <w:r w:rsidR="00512DA3">
        <w:t xml:space="preserve"> solidarity and </w:t>
      </w:r>
      <w:r w:rsidR="00EC3192">
        <w:t xml:space="preserve">which inspired a new rush of trade across the </w:t>
      </w:r>
      <w:r w:rsidR="0095193B">
        <w:t xml:space="preserve">Americas. </w:t>
      </w:r>
      <w:r w:rsidR="00A50AF4">
        <w:t xml:space="preserve">To be sure there were many dissenters, be they abolitionists sickened by the trans-Caribbean slave trade or </w:t>
      </w:r>
      <w:r w:rsidR="00117068">
        <w:t xml:space="preserve">Northern mechanics and producers who felt themselves squeezed by the </w:t>
      </w:r>
      <w:r w:rsidR="00090C2B">
        <w:t>new industrial economy – but such dissent lay at the margins, and the national boom</w:t>
      </w:r>
      <w:r w:rsidR="004A4454">
        <w:t xml:space="preserve"> was such that </w:t>
      </w:r>
      <w:r w:rsidR="008264F2">
        <w:t>it masked the</w:t>
      </w:r>
      <w:r w:rsidR="00D52923">
        <w:t xml:space="preserve">se growing issues. </w:t>
      </w:r>
      <w:r w:rsidR="00062215">
        <w:t xml:space="preserve">Despite this, the Democrats were not </w:t>
      </w:r>
      <w:r w:rsidR="00D80A99">
        <w:t xml:space="preserve">silent in this </w:t>
      </w:r>
      <w:r w:rsidR="00E6580C">
        <w:t>era,</w:t>
      </w:r>
      <w:r w:rsidR="00537545">
        <w:t xml:space="preserve"> </w:t>
      </w:r>
      <w:r w:rsidR="00E6580C">
        <w:t xml:space="preserve">and </w:t>
      </w:r>
      <w:r w:rsidR="00195E0F">
        <w:t xml:space="preserve">they tried to lay as many aspersions at Stockton as they could. </w:t>
      </w:r>
      <w:r w:rsidR="0062255D">
        <w:t xml:space="preserve">They accused him of corruption, pointing not only to the railroad schemes but also to his use of patronage, which they derided as </w:t>
      </w:r>
      <w:r w:rsidR="006870BB">
        <w:t xml:space="preserve">not only corrupt, but also hypocritical given Republican aspersions towards Webster. </w:t>
      </w:r>
      <w:r w:rsidR="00F240F0">
        <w:t>Democratic opposition had continued virtually unabated at the Stockton administration in this era</w:t>
      </w:r>
      <w:r w:rsidR="003E2DCA">
        <w:t>, and many hoped th</w:t>
      </w:r>
      <w:r w:rsidR="00641B31">
        <w:t xml:space="preserve">is </w:t>
      </w:r>
      <w:r w:rsidR="000B42E9">
        <w:t xml:space="preserve">would be enough to narrow the vote in the coming election. </w:t>
      </w:r>
      <w:r w:rsidR="009D097B">
        <w:t xml:space="preserve">Additionally, within the Republican Party, many considered Stockton to be weak on the slavery question. </w:t>
      </w:r>
      <w:r w:rsidR="004F1BDE">
        <w:t>He had, after all, supported the Tariff of 1845</w:t>
      </w:r>
      <w:r w:rsidR="005658EE">
        <w:t xml:space="preserve">, and </w:t>
      </w:r>
      <w:r w:rsidR="005E4E1F">
        <w:t xml:space="preserve">at this point </w:t>
      </w:r>
      <w:r w:rsidR="005658EE">
        <w:t xml:space="preserve">he did not seek to annex </w:t>
      </w:r>
      <w:proofErr w:type="spellStart"/>
      <w:r w:rsidR="005658EE">
        <w:t>Walkerist</w:t>
      </w:r>
      <w:proofErr w:type="spellEnd"/>
      <w:r w:rsidR="005658EE">
        <w:t xml:space="preserve"> Jamaica</w:t>
      </w:r>
      <w:r w:rsidR="001D4FFC">
        <w:t xml:space="preserve">; though he </w:t>
      </w:r>
      <w:r w:rsidR="003B7485">
        <w:t>supported</w:t>
      </w:r>
      <w:r w:rsidR="00740737">
        <w:t xml:space="preserve"> </w:t>
      </w:r>
      <w:r w:rsidR="003B7485">
        <w:t xml:space="preserve">a more aggressive enforcement of the </w:t>
      </w:r>
      <w:r w:rsidR="00631A27">
        <w:t xml:space="preserve">Fugitive Slave Act and his foreign policy was supportive of Planter Ascendancy interests, to many this simply wasn’t enough. </w:t>
      </w:r>
      <w:r w:rsidR="008369B8">
        <w:t>Thus, this period saw the organization of a Whig Party in the South, so named because just as the Whigs of England opposed executive power, they opposed the power of the federal government</w:t>
      </w:r>
      <w:r w:rsidR="006B74E4">
        <w:t>.</w:t>
      </w:r>
      <w:r w:rsidR="008369B8">
        <w:t xml:space="preserve"> </w:t>
      </w:r>
      <w:r w:rsidR="006B74E4">
        <w:t>Opposing</w:t>
      </w:r>
      <w:r w:rsidR="008369B8">
        <w:t xml:space="preserve"> both </w:t>
      </w:r>
      <w:r w:rsidR="006B74E4">
        <w:t>the Democrats and Republicans</w:t>
      </w:r>
      <w:r w:rsidR="00171966">
        <w:t xml:space="preserve">, they failed to make much headway – most </w:t>
      </w:r>
      <w:r w:rsidR="00171966">
        <w:lastRenderedPageBreak/>
        <w:t xml:space="preserve">Southerners were still happy with </w:t>
      </w:r>
      <w:proofErr w:type="gramStart"/>
      <w:r w:rsidR="00171966">
        <w:t>Stockton</w:t>
      </w:r>
      <w:r w:rsidR="002F79B1">
        <w:t>, or</w:t>
      </w:r>
      <w:proofErr w:type="gramEnd"/>
      <w:r w:rsidR="002F79B1">
        <w:t xml:space="preserve"> given </w:t>
      </w:r>
      <w:proofErr w:type="spellStart"/>
      <w:r w:rsidR="002F79B1">
        <w:t>Websterism</w:t>
      </w:r>
      <w:proofErr w:type="spellEnd"/>
      <w:r w:rsidR="002F79B1">
        <w:t xml:space="preserve"> </w:t>
      </w:r>
      <w:r w:rsidR="009D4A53">
        <w:t xml:space="preserve">they </w:t>
      </w:r>
      <w:r w:rsidR="002F79B1">
        <w:t>at least considered him a lesser evil</w:t>
      </w:r>
      <w:r w:rsidR="00171966">
        <w:t xml:space="preserve"> – but they did make themselves known as a presence. </w:t>
      </w:r>
    </w:p>
    <w:p w14:paraId="3C3339E3" w14:textId="046D3A5F" w:rsidR="00AA240C" w:rsidRDefault="00AA240C" w:rsidP="00AA313E">
      <w:r>
        <w:t xml:space="preserve">Nevertheless, the Democrats did believe they had a shot to win the presidency. </w:t>
      </w:r>
      <w:r w:rsidR="00D870E8">
        <w:t xml:space="preserve">Their convention nominated the man who they thought could’ve </w:t>
      </w:r>
      <w:r w:rsidR="006352B6">
        <w:t xml:space="preserve">beaten Stockton in 1852 – Edward Everett. He was the man of the North – he was the </w:t>
      </w:r>
      <w:r w:rsidR="002413D9">
        <w:t xml:space="preserve">successor to </w:t>
      </w:r>
      <w:r w:rsidR="00636488">
        <w:t xml:space="preserve">Daniel Webster – and thus the man to return to the Democratic fold those who had voted for Hale in the last election. </w:t>
      </w:r>
      <w:r w:rsidR="003A2275">
        <w:t xml:space="preserve">The rank humiliation of the </w:t>
      </w:r>
      <w:r w:rsidR="00D3243C">
        <w:t>last election discredited the possibility of nominating a figure from the southern moderate Clay wing</w:t>
      </w:r>
      <w:r w:rsidR="00FC4A16">
        <w:t xml:space="preserve">, and though </w:t>
      </w:r>
      <w:r w:rsidR="00B57DAA">
        <w:t xml:space="preserve">the youthful Kentuckian </w:t>
      </w:r>
      <w:r w:rsidR="00FC4A16">
        <w:t xml:space="preserve">Richard Menefee ran for the nomination it was fundamentally an unserious candidacy. </w:t>
      </w:r>
      <w:r w:rsidR="00692140">
        <w:t xml:space="preserve">Perhaps the greatest orator of his day, </w:t>
      </w:r>
      <w:r w:rsidR="00D86529">
        <w:t xml:space="preserve">Everett immediately launched a tour of the nation, and </w:t>
      </w:r>
      <w:r w:rsidR="00970A6B">
        <w:t>he attracted vast crowds which wanted to see him speak; however, they were rather unenthusiastic</w:t>
      </w:r>
      <w:r w:rsidR="001F608C">
        <w:t xml:space="preserve"> about his actual policies</w:t>
      </w:r>
      <w:r w:rsidR="00970A6B">
        <w:t xml:space="preserve">, and </w:t>
      </w:r>
      <w:r w:rsidR="001F608C">
        <w:t>many considered him something of a damp squi</w:t>
      </w:r>
      <w:r w:rsidR="00C323F4">
        <w:t>b</w:t>
      </w:r>
      <w:r w:rsidR="001F608C">
        <w:t xml:space="preserve">. </w:t>
      </w:r>
      <w:r w:rsidR="00C323F4">
        <w:t xml:space="preserve">Few were convinced that a National Bank owning shares in the new railroad corporations was necessary to keep the economy stable, and </w:t>
      </w:r>
      <w:r w:rsidR="00FD7EA0">
        <w:t>few</w:t>
      </w:r>
      <w:r w:rsidR="00C323F4">
        <w:t xml:space="preserve"> considered Everett’s assailing of the </w:t>
      </w:r>
      <w:r w:rsidR="00FD7EA0">
        <w:t xml:space="preserve">alleged </w:t>
      </w:r>
      <w:r w:rsidR="00C323F4">
        <w:t xml:space="preserve">corruption </w:t>
      </w:r>
      <w:r w:rsidR="00FD7EA0">
        <w:t>of the Stockton administration to be credible.</w:t>
      </w:r>
      <w:r w:rsidR="0087763F">
        <w:t xml:space="preserve"> Additionally, he declined to push the Planter Ascendancy critique of slavery, </w:t>
      </w:r>
      <w:r w:rsidR="00B81E6C">
        <w:t>as he worried</w:t>
      </w:r>
      <w:r w:rsidR="0087763F">
        <w:t xml:space="preserve"> of losing support from </w:t>
      </w:r>
      <w:r w:rsidR="00B81E6C">
        <w:t>Southern Democrats</w:t>
      </w:r>
      <w:r w:rsidR="00FA3CA6">
        <w:t xml:space="preserve">; </w:t>
      </w:r>
      <w:r w:rsidR="0033615C">
        <w:t>by avoiding these</w:t>
      </w:r>
      <w:r w:rsidR="00FA3CA6">
        <w:t xml:space="preserve"> more visceral critiques</w:t>
      </w:r>
      <w:r w:rsidR="0033615C">
        <w:t>, he failed to win</w:t>
      </w:r>
      <w:r w:rsidR="00FA3CA6">
        <w:t xml:space="preserve"> support from moralist abolitionists</w:t>
      </w:r>
      <w:r w:rsidR="0033615C">
        <w:t xml:space="preserve"> who might have otherwise considered him the second coming of Daniel Webster</w:t>
      </w:r>
      <w:r w:rsidR="00FA3CA6">
        <w:t>.</w:t>
      </w:r>
      <w:r w:rsidR="00FD7EA0">
        <w:t xml:space="preserve"> </w:t>
      </w:r>
      <w:r w:rsidR="001D456D">
        <w:t xml:space="preserve">Thus, </w:t>
      </w:r>
      <w:r w:rsidR="00C06471">
        <w:t>his national tour was a failure, and to most</w:t>
      </w:r>
      <w:r w:rsidR="001D456D">
        <w:t xml:space="preserve"> </w:t>
      </w:r>
      <w:r w:rsidR="00C06471">
        <w:t xml:space="preserve">Stockton </w:t>
      </w:r>
      <w:r w:rsidR="005303DE">
        <w:t xml:space="preserve">was still in the lead. Additionally, though Everett did swallow most of the </w:t>
      </w:r>
      <w:r w:rsidR="00A55897">
        <w:t xml:space="preserve">Young America vote, the Hale candidacy of the same year was still a force in the North, mostly at the expense of Everett. </w:t>
      </w:r>
    </w:p>
    <w:p w14:paraId="2471C3A2" w14:textId="265BA1C0" w:rsidR="00B96935" w:rsidRDefault="00B96935" w:rsidP="00AA313E">
      <w:r>
        <w:t xml:space="preserve">At the same time, </w:t>
      </w:r>
      <w:r w:rsidR="004B3243">
        <w:t xml:space="preserve">the Whigs sought to make their mark on the scenes of American politics. </w:t>
      </w:r>
      <w:r w:rsidR="008350FA">
        <w:t xml:space="preserve">Very much the residue of </w:t>
      </w:r>
      <w:proofErr w:type="spellStart"/>
      <w:r w:rsidR="008350FA">
        <w:t>Calhounism</w:t>
      </w:r>
      <w:proofErr w:type="spellEnd"/>
      <w:r w:rsidR="008350FA">
        <w:t xml:space="preserve">, they only existed within the South, and even there they were </w:t>
      </w:r>
      <w:r w:rsidR="0091023F">
        <w:t xml:space="preserve">a minority party; even South Carolina, </w:t>
      </w:r>
      <w:r w:rsidR="00756B7B">
        <w:t xml:space="preserve">chastened after the Second Nullification Crisis, was severely </w:t>
      </w:r>
      <w:r w:rsidR="00756B7B">
        <w:lastRenderedPageBreak/>
        <w:t xml:space="preserve">divided between a </w:t>
      </w:r>
      <w:r w:rsidR="0004629A">
        <w:t>Republican</w:t>
      </w:r>
      <w:r w:rsidR="00756B7B">
        <w:t xml:space="preserve"> faction, led by </w:t>
      </w:r>
      <w:r w:rsidR="00160E78">
        <w:t>James L. Orr</w:t>
      </w:r>
      <w:r w:rsidR="00C4714F">
        <w:t xml:space="preserve"> which sought to turn the state into a normal Southern state</w:t>
      </w:r>
      <w:r w:rsidR="00160E78">
        <w:t xml:space="preserve">, and a Whig faction, led by </w:t>
      </w:r>
      <w:r w:rsidR="002A78C3">
        <w:t xml:space="preserve">Robert </w:t>
      </w:r>
      <w:proofErr w:type="spellStart"/>
      <w:r w:rsidR="002A78C3">
        <w:t>Barnewell</w:t>
      </w:r>
      <w:proofErr w:type="spellEnd"/>
      <w:r w:rsidR="002A78C3">
        <w:t xml:space="preserve"> Smith</w:t>
      </w:r>
      <w:r w:rsidR="00C4714F">
        <w:t xml:space="preserve"> which sought to keep the flame of </w:t>
      </w:r>
      <w:r w:rsidR="0012541F">
        <w:t>Calhounist radicalism alive</w:t>
      </w:r>
      <w:r w:rsidR="00D04C21">
        <w:rPr>
          <w:rStyle w:val="EndnoteReference"/>
        </w:rPr>
        <w:endnoteReference w:id="256"/>
      </w:r>
      <w:r w:rsidR="0012541F">
        <w:t xml:space="preserve">. </w:t>
      </w:r>
      <w:r w:rsidR="006647D8">
        <w:t xml:space="preserve">In this election, the Whigs wanted to force the </w:t>
      </w:r>
      <w:r w:rsidR="002460AE">
        <w:t>nation</w:t>
      </w:r>
      <w:r w:rsidR="006647D8">
        <w:t xml:space="preserve"> into a</w:t>
      </w:r>
      <w:r w:rsidR="002460AE">
        <w:t xml:space="preserve"> contingent election where the South could make itself heard as a bloc, or barring that</w:t>
      </w:r>
      <w:r w:rsidR="00082B16">
        <w:t>,</w:t>
      </w:r>
      <w:r w:rsidR="002460AE">
        <w:t xml:space="preserve"> to </w:t>
      </w:r>
      <w:r w:rsidR="00E261A8">
        <w:t xml:space="preserve">force the Republicans into a more pro-planter position. </w:t>
      </w:r>
      <w:r w:rsidR="00410B56">
        <w:t xml:space="preserve">In the coming election, </w:t>
      </w:r>
      <w:r w:rsidR="00082B16">
        <w:t xml:space="preserve">they nominated Abel Upshur for the presidency; Upshur was a </w:t>
      </w:r>
      <w:r w:rsidR="00A53ADC">
        <w:t xml:space="preserve">Virginian, and </w:t>
      </w:r>
      <w:r w:rsidR="00E41729">
        <w:t xml:space="preserve">through this the Whigs hoped of winning votes outside of </w:t>
      </w:r>
      <w:r w:rsidR="0006720A">
        <w:t>South Carolina</w:t>
      </w:r>
      <w:r w:rsidR="000D3CEE">
        <w:t xml:space="preserve">. </w:t>
      </w:r>
      <w:r w:rsidR="00482C6E">
        <w:t xml:space="preserve">However, though he was respected as an intellectual, the South was changing; no longer was </w:t>
      </w:r>
      <w:r w:rsidR="00454611">
        <w:t>it a</w:t>
      </w:r>
      <w:r w:rsidR="00B33570">
        <w:t xml:space="preserve"> land of planters who solely grew cotton on their plantations, but now its planters grew sugarcane, tea, or even owned slave-powered factories. </w:t>
      </w:r>
      <w:r w:rsidR="001B360C">
        <w:t xml:space="preserve">Many Southerners supported the tariff and </w:t>
      </w:r>
      <w:r w:rsidR="00934392">
        <w:t>were fully onboard</w:t>
      </w:r>
      <w:r w:rsidR="001B360C">
        <w:t xml:space="preserve"> Stockton</w:t>
      </w:r>
      <w:r w:rsidR="00934392">
        <w:t>’s</w:t>
      </w:r>
      <w:r w:rsidR="001B360C">
        <w:t xml:space="preserve"> </w:t>
      </w:r>
      <w:r w:rsidR="00934392">
        <w:t>refusal to</w:t>
      </w:r>
      <w:r w:rsidR="001B360C">
        <w:t xml:space="preserve"> lower it; of those who opposed it, they </w:t>
      </w:r>
      <w:r w:rsidR="00AD63D7">
        <w:t>did not wish to go as far as nullification, and they were happy with Stockton’s aggressive enforcement of the Fugitive Slave Act</w:t>
      </w:r>
      <w:r w:rsidR="001B360C">
        <w:t xml:space="preserve">. </w:t>
      </w:r>
    </w:p>
    <w:p w14:paraId="420DCA96" w14:textId="2EAD78D5" w:rsidR="006E24CF" w:rsidRDefault="006E24CF" w:rsidP="00AA313E">
      <w:r>
        <w:t>In contrast, Stockton declined to go on a national tour, and this only made him seem more presidential</w:t>
      </w:r>
      <w:r w:rsidR="00B677B4">
        <w:t>. He declared that his presidency stood for itself. What he focused on was getting support from as many interests as possible</w:t>
      </w:r>
      <w:r w:rsidR="00AA7DB7">
        <w:t>, behind the scenes</w:t>
      </w:r>
      <w:r w:rsidR="00B677B4">
        <w:t xml:space="preserve">. </w:t>
      </w:r>
      <w:r w:rsidR="00AA7DB7">
        <w:t>Among Northerners</w:t>
      </w:r>
      <w:r w:rsidR="00500086">
        <w:t>, he</w:t>
      </w:r>
      <w:r w:rsidR="007E72D2">
        <w:t xml:space="preserve"> campaigned for and</w:t>
      </w:r>
      <w:r w:rsidR="00500086">
        <w:t xml:space="preserve"> </w:t>
      </w:r>
      <w:r w:rsidR="00485427">
        <w:t xml:space="preserve">received support from industrialists and robber knights, </w:t>
      </w:r>
      <w:r w:rsidR="0024552C">
        <w:t xml:space="preserve">who did not want to be regulated by the National Bank the way </w:t>
      </w:r>
      <w:r w:rsidR="000135C0">
        <w:t>Everett</w:t>
      </w:r>
      <w:r w:rsidR="0024552C">
        <w:t xml:space="preserve"> was speaking </w:t>
      </w:r>
      <w:r w:rsidR="000E6A9E">
        <w:t>about</w:t>
      </w:r>
      <w:r w:rsidR="006F30DE">
        <w:t xml:space="preserve">. </w:t>
      </w:r>
      <w:r w:rsidR="004D0001">
        <w:t xml:space="preserve">And among Southerners, he assured that, after the election, he would do everything in his power to admit </w:t>
      </w:r>
      <w:proofErr w:type="spellStart"/>
      <w:r w:rsidR="004D0001">
        <w:t>Walkerist</w:t>
      </w:r>
      <w:proofErr w:type="spellEnd"/>
      <w:r w:rsidR="004D0001">
        <w:t xml:space="preserve"> Jamaica as a slave state, forever assuring it</w:t>
      </w:r>
      <w:r w:rsidR="007C2C8E">
        <w:t>s position in America’s economic orbit and preventing the</w:t>
      </w:r>
      <w:r w:rsidR="000D2AFA">
        <w:t xml:space="preserve"> abolitionist</w:t>
      </w:r>
      <w:r w:rsidR="007C2C8E">
        <w:t xml:space="preserve"> British from standing over it like a Sword of Damocles. </w:t>
      </w:r>
      <w:r w:rsidR="00F73C63">
        <w:t>And he succeeded</w:t>
      </w:r>
      <w:r w:rsidR="006E236B">
        <w:t xml:space="preserve">, and the ensuing election proved to be nothing less than </w:t>
      </w:r>
      <w:r w:rsidR="00851355">
        <w:t xml:space="preserve">a </w:t>
      </w:r>
      <w:r w:rsidR="000738C1">
        <w:t>coronation</w:t>
      </w:r>
      <w:r w:rsidR="000006A6">
        <w:rPr>
          <w:rStyle w:val="EndnoteReference"/>
        </w:rPr>
        <w:endnoteReference w:id="257"/>
      </w:r>
      <w:r w:rsidR="000738C1">
        <w:t xml:space="preserve">. </w:t>
      </w:r>
    </w:p>
    <w:p w14:paraId="741DD6C1" w14:textId="775333C6" w:rsidR="00592332" w:rsidRDefault="00592332">
      <w:pPr>
        <w:spacing w:before="0" w:line="259" w:lineRule="auto"/>
        <w:ind w:firstLine="0"/>
      </w:pPr>
      <w:r>
        <w:br w:type="page"/>
      </w:r>
    </w:p>
    <w:p w14:paraId="69063FD9" w14:textId="37EB2E14" w:rsidR="00592332" w:rsidRDefault="00592332" w:rsidP="00592332">
      <w:pPr>
        <w:pStyle w:val="Caption"/>
      </w:pPr>
      <w:bookmarkStart w:id="62" w:name="_Toc202006270"/>
      <w:r>
        <w:lastRenderedPageBreak/>
        <w:t xml:space="preserve">Figure </w:t>
      </w:r>
      <w:fldSimple w:instr=" SEQ Figure \* ARABIC ">
        <w:r w:rsidR="00567D66">
          <w:rPr>
            <w:noProof/>
          </w:rPr>
          <w:t>14</w:t>
        </w:r>
      </w:fldSimple>
      <w:r>
        <w:t>: The 1856 election, by state</w:t>
      </w:r>
      <w:bookmarkEnd w:id="62"/>
    </w:p>
    <w:tbl>
      <w:tblPr>
        <w:tblW w:w="9291" w:type="dxa"/>
        <w:tblLook w:val="04A0" w:firstRow="1" w:lastRow="0" w:firstColumn="1" w:lastColumn="0" w:noHBand="0" w:noVBand="1"/>
      </w:tblPr>
      <w:tblGrid>
        <w:gridCol w:w="2557"/>
        <w:gridCol w:w="2228"/>
        <w:gridCol w:w="1502"/>
        <w:gridCol w:w="1502"/>
        <w:gridCol w:w="1502"/>
      </w:tblGrid>
      <w:tr w:rsidR="006E24CF" w:rsidRPr="007C5E6A" w14:paraId="7A3A2E94" w14:textId="77777777" w:rsidTr="00435D9E">
        <w:trPr>
          <w:trHeight w:val="284"/>
        </w:trPr>
        <w:tc>
          <w:tcPr>
            <w:tcW w:w="2557" w:type="dxa"/>
            <w:tcBorders>
              <w:top w:val="nil"/>
              <w:left w:val="nil"/>
              <w:bottom w:val="single" w:sz="4" w:space="0" w:color="auto"/>
              <w:right w:val="single" w:sz="4" w:space="0" w:color="auto"/>
            </w:tcBorders>
            <w:shd w:val="clear" w:color="auto" w:fill="auto"/>
            <w:noWrap/>
            <w:vAlign w:val="bottom"/>
            <w:hideMark/>
          </w:tcPr>
          <w:p w14:paraId="2E58442F" w14:textId="77777777" w:rsidR="006E24CF" w:rsidRPr="007C5E6A" w:rsidRDefault="006E24CF" w:rsidP="00435D9E">
            <w:pPr>
              <w:pStyle w:val="NoSpacing"/>
              <w:rPr>
                <w:b/>
                <w:bCs/>
                <w:lang w:eastAsia="en-CA"/>
              </w:rPr>
            </w:pPr>
            <w:r w:rsidRPr="007C5E6A">
              <w:rPr>
                <w:b/>
                <w:bCs/>
                <w:lang w:eastAsia="en-CA"/>
              </w:rPr>
              <w:t>States</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14:paraId="0B3C8B48" w14:textId="77777777" w:rsidR="006E24CF" w:rsidRPr="007C5E6A" w:rsidRDefault="006E24CF" w:rsidP="00435D9E">
            <w:pPr>
              <w:pStyle w:val="NoSpacing"/>
              <w:rPr>
                <w:b/>
                <w:bCs/>
                <w:lang w:eastAsia="en-CA"/>
              </w:rPr>
            </w:pPr>
            <w:r w:rsidRPr="007C5E6A">
              <w:rPr>
                <w:b/>
                <w:bCs/>
                <w:lang w:eastAsia="en-CA"/>
              </w:rPr>
              <w:t>Electoral Votes</w:t>
            </w:r>
          </w:p>
        </w:tc>
        <w:tc>
          <w:tcPr>
            <w:tcW w:w="1502" w:type="dxa"/>
            <w:tcBorders>
              <w:top w:val="nil"/>
              <w:left w:val="single" w:sz="4" w:space="0" w:color="auto"/>
              <w:bottom w:val="single" w:sz="4" w:space="0" w:color="auto"/>
              <w:right w:val="nil"/>
            </w:tcBorders>
            <w:shd w:val="clear" w:color="auto" w:fill="auto"/>
            <w:noWrap/>
            <w:vAlign w:val="bottom"/>
            <w:hideMark/>
          </w:tcPr>
          <w:p w14:paraId="2CB7F238" w14:textId="77777777" w:rsidR="006E24CF" w:rsidRPr="007C5E6A" w:rsidRDefault="006E24CF" w:rsidP="00435D9E">
            <w:pPr>
              <w:pStyle w:val="NoSpacing"/>
              <w:rPr>
                <w:b/>
                <w:bCs/>
                <w:lang w:eastAsia="en-CA"/>
              </w:rPr>
            </w:pPr>
            <w:r w:rsidRPr="007C5E6A">
              <w:rPr>
                <w:b/>
                <w:bCs/>
                <w:lang w:eastAsia="en-CA"/>
              </w:rPr>
              <w:t>Stockton</w:t>
            </w:r>
          </w:p>
        </w:tc>
        <w:tc>
          <w:tcPr>
            <w:tcW w:w="1502" w:type="dxa"/>
            <w:tcBorders>
              <w:top w:val="nil"/>
              <w:left w:val="nil"/>
              <w:bottom w:val="single" w:sz="4" w:space="0" w:color="auto"/>
              <w:right w:val="nil"/>
            </w:tcBorders>
            <w:shd w:val="clear" w:color="auto" w:fill="auto"/>
            <w:noWrap/>
            <w:vAlign w:val="bottom"/>
            <w:hideMark/>
          </w:tcPr>
          <w:p w14:paraId="27D41680" w14:textId="1C91DFC9" w:rsidR="006E24CF" w:rsidRPr="007C5E6A" w:rsidRDefault="00577FBC" w:rsidP="00435D9E">
            <w:pPr>
              <w:pStyle w:val="NoSpacing"/>
              <w:rPr>
                <w:b/>
                <w:bCs/>
                <w:lang w:eastAsia="en-CA"/>
              </w:rPr>
            </w:pPr>
            <w:r>
              <w:rPr>
                <w:b/>
                <w:bCs/>
                <w:lang w:eastAsia="en-CA"/>
              </w:rPr>
              <w:t>Everett</w:t>
            </w:r>
          </w:p>
        </w:tc>
        <w:tc>
          <w:tcPr>
            <w:tcW w:w="1502" w:type="dxa"/>
            <w:tcBorders>
              <w:top w:val="nil"/>
              <w:left w:val="nil"/>
              <w:bottom w:val="single" w:sz="4" w:space="0" w:color="auto"/>
              <w:right w:val="nil"/>
            </w:tcBorders>
            <w:shd w:val="clear" w:color="auto" w:fill="auto"/>
            <w:noWrap/>
            <w:vAlign w:val="bottom"/>
            <w:hideMark/>
          </w:tcPr>
          <w:p w14:paraId="0E700345" w14:textId="06A012EB" w:rsidR="006E24CF" w:rsidRPr="007C5E6A" w:rsidRDefault="00577FBC" w:rsidP="00435D9E">
            <w:pPr>
              <w:pStyle w:val="NoSpacing"/>
              <w:rPr>
                <w:b/>
                <w:bCs/>
                <w:lang w:eastAsia="en-CA"/>
              </w:rPr>
            </w:pPr>
            <w:r>
              <w:rPr>
                <w:b/>
                <w:bCs/>
                <w:lang w:eastAsia="en-CA"/>
              </w:rPr>
              <w:t>Upshur</w:t>
            </w:r>
          </w:p>
        </w:tc>
      </w:tr>
      <w:tr w:rsidR="00577FBC" w:rsidRPr="00A125E8" w14:paraId="3012D9B2" w14:textId="77777777" w:rsidTr="00391575">
        <w:trPr>
          <w:trHeight w:val="284"/>
        </w:trPr>
        <w:tc>
          <w:tcPr>
            <w:tcW w:w="2557" w:type="dxa"/>
            <w:tcBorders>
              <w:top w:val="single" w:sz="4" w:space="0" w:color="auto"/>
              <w:left w:val="nil"/>
              <w:bottom w:val="nil"/>
              <w:right w:val="single" w:sz="4" w:space="0" w:color="auto"/>
            </w:tcBorders>
            <w:shd w:val="clear" w:color="auto" w:fill="auto"/>
            <w:noWrap/>
            <w:vAlign w:val="bottom"/>
            <w:hideMark/>
          </w:tcPr>
          <w:p w14:paraId="2519CCAB" w14:textId="77777777" w:rsidR="00577FBC" w:rsidRPr="00A125E8" w:rsidRDefault="00577FBC" w:rsidP="00577FBC">
            <w:pPr>
              <w:pStyle w:val="NoSpacing"/>
              <w:rPr>
                <w:lang w:eastAsia="en-CA"/>
              </w:rPr>
            </w:pPr>
            <w:r w:rsidRPr="00A125E8">
              <w:rPr>
                <w:lang w:eastAsia="en-CA"/>
              </w:rPr>
              <w:t>Massachusetts</w:t>
            </w:r>
          </w:p>
        </w:tc>
        <w:tc>
          <w:tcPr>
            <w:tcW w:w="2228" w:type="dxa"/>
            <w:tcBorders>
              <w:top w:val="single" w:sz="4" w:space="0" w:color="auto"/>
              <w:left w:val="single" w:sz="4" w:space="0" w:color="auto"/>
              <w:bottom w:val="nil"/>
              <w:right w:val="single" w:sz="4" w:space="0" w:color="auto"/>
            </w:tcBorders>
            <w:shd w:val="clear" w:color="auto" w:fill="auto"/>
            <w:noWrap/>
            <w:vAlign w:val="bottom"/>
            <w:hideMark/>
          </w:tcPr>
          <w:p w14:paraId="69CD7AFC" w14:textId="77777777" w:rsidR="00577FBC" w:rsidRPr="00A125E8" w:rsidRDefault="00577FBC" w:rsidP="00577FBC">
            <w:pPr>
              <w:pStyle w:val="NoSpacing"/>
              <w:rPr>
                <w:lang w:eastAsia="en-CA"/>
              </w:rPr>
            </w:pPr>
            <w:r w:rsidRPr="00A125E8">
              <w:rPr>
                <w:lang w:eastAsia="en-CA"/>
              </w:rPr>
              <w:t>24</w:t>
            </w:r>
          </w:p>
        </w:tc>
        <w:tc>
          <w:tcPr>
            <w:tcW w:w="1502" w:type="dxa"/>
            <w:tcBorders>
              <w:top w:val="single" w:sz="4" w:space="0" w:color="auto"/>
              <w:left w:val="single" w:sz="4" w:space="0" w:color="auto"/>
              <w:bottom w:val="nil"/>
              <w:right w:val="nil"/>
            </w:tcBorders>
            <w:shd w:val="clear" w:color="auto" w:fill="auto"/>
            <w:noWrap/>
            <w:hideMark/>
          </w:tcPr>
          <w:p w14:paraId="0AF3FE9A" w14:textId="5A572FB0" w:rsidR="00577FBC" w:rsidRPr="00A125E8" w:rsidRDefault="00577FBC" w:rsidP="00577FBC">
            <w:pPr>
              <w:pStyle w:val="NoSpacing"/>
              <w:rPr>
                <w:lang w:eastAsia="en-CA"/>
              </w:rPr>
            </w:pPr>
            <w:r w:rsidRPr="00DE0DC9">
              <w:t>4</w:t>
            </w:r>
          </w:p>
        </w:tc>
        <w:tc>
          <w:tcPr>
            <w:tcW w:w="1502" w:type="dxa"/>
            <w:tcBorders>
              <w:top w:val="single" w:sz="4" w:space="0" w:color="auto"/>
              <w:left w:val="nil"/>
              <w:bottom w:val="nil"/>
              <w:right w:val="nil"/>
            </w:tcBorders>
            <w:shd w:val="clear" w:color="auto" w:fill="auto"/>
            <w:noWrap/>
            <w:hideMark/>
          </w:tcPr>
          <w:p w14:paraId="4D7B0062" w14:textId="2B099D4F" w:rsidR="00577FBC" w:rsidRPr="00A125E8" w:rsidRDefault="00577FBC" w:rsidP="00577FBC">
            <w:pPr>
              <w:pStyle w:val="NoSpacing"/>
              <w:rPr>
                <w:lang w:eastAsia="en-CA"/>
              </w:rPr>
            </w:pPr>
            <w:r w:rsidRPr="00DE0DC9">
              <w:t>20</w:t>
            </w:r>
          </w:p>
        </w:tc>
        <w:tc>
          <w:tcPr>
            <w:tcW w:w="1502" w:type="dxa"/>
            <w:tcBorders>
              <w:top w:val="single" w:sz="4" w:space="0" w:color="auto"/>
              <w:left w:val="nil"/>
              <w:bottom w:val="nil"/>
              <w:right w:val="nil"/>
            </w:tcBorders>
            <w:shd w:val="clear" w:color="auto" w:fill="auto"/>
            <w:noWrap/>
            <w:vAlign w:val="bottom"/>
            <w:hideMark/>
          </w:tcPr>
          <w:p w14:paraId="02CA906A" w14:textId="77777777" w:rsidR="00577FBC" w:rsidRPr="00A125E8" w:rsidRDefault="00577FBC" w:rsidP="00577FBC">
            <w:pPr>
              <w:pStyle w:val="NoSpacing"/>
              <w:rPr>
                <w:lang w:eastAsia="en-CA"/>
              </w:rPr>
            </w:pPr>
            <w:r w:rsidRPr="00A125E8">
              <w:rPr>
                <w:lang w:eastAsia="en-CA"/>
              </w:rPr>
              <w:t>0</w:t>
            </w:r>
          </w:p>
        </w:tc>
      </w:tr>
      <w:tr w:rsidR="00577FBC" w:rsidRPr="00A125E8" w14:paraId="1E0B6ACF"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5E365B6E" w14:textId="77777777" w:rsidR="00577FBC" w:rsidRPr="00A125E8" w:rsidRDefault="00577FBC" w:rsidP="00577FBC">
            <w:pPr>
              <w:pStyle w:val="NoSpacing"/>
              <w:rPr>
                <w:lang w:eastAsia="en-CA"/>
              </w:rPr>
            </w:pPr>
            <w:r w:rsidRPr="00A125E8">
              <w:rPr>
                <w:lang w:eastAsia="en-CA"/>
              </w:rPr>
              <w:t>New Hamp</w:t>
            </w:r>
            <w:r>
              <w:rPr>
                <w:lang w:eastAsia="en-CA"/>
              </w:rPr>
              <w:t>shire</w:t>
            </w:r>
          </w:p>
        </w:tc>
        <w:tc>
          <w:tcPr>
            <w:tcW w:w="2228" w:type="dxa"/>
            <w:tcBorders>
              <w:top w:val="nil"/>
              <w:left w:val="single" w:sz="4" w:space="0" w:color="auto"/>
              <w:bottom w:val="nil"/>
              <w:right w:val="single" w:sz="4" w:space="0" w:color="auto"/>
            </w:tcBorders>
            <w:shd w:val="clear" w:color="auto" w:fill="auto"/>
            <w:noWrap/>
            <w:vAlign w:val="bottom"/>
            <w:hideMark/>
          </w:tcPr>
          <w:p w14:paraId="665E6CAA" w14:textId="77777777" w:rsidR="00577FBC" w:rsidRPr="00A125E8" w:rsidRDefault="00577FBC" w:rsidP="00577FBC">
            <w:pPr>
              <w:pStyle w:val="NoSpacing"/>
              <w:rPr>
                <w:lang w:eastAsia="en-CA"/>
              </w:rPr>
            </w:pPr>
            <w:r w:rsidRPr="00A125E8">
              <w:rPr>
                <w:lang w:eastAsia="en-CA"/>
              </w:rPr>
              <w:t>6</w:t>
            </w:r>
          </w:p>
        </w:tc>
        <w:tc>
          <w:tcPr>
            <w:tcW w:w="1502" w:type="dxa"/>
            <w:tcBorders>
              <w:top w:val="nil"/>
              <w:left w:val="single" w:sz="4" w:space="0" w:color="auto"/>
              <w:bottom w:val="nil"/>
              <w:right w:val="nil"/>
            </w:tcBorders>
            <w:shd w:val="clear" w:color="auto" w:fill="auto"/>
            <w:noWrap/>
            <w:hideMark/>
          </w:tcPr>
          <w:p w14:paraId="4F7BB091" w14:textId="1F1429D5" w:rsidR="00577FBC" w:rsidRPr="00A125E8" w:rsidRDefault="00577FBC" w:rsidP="00577FBC">
            <w:pPr>
              <w:pStyle w:val="NoSpacing"/>
              <w:rPr>
                <w:lang w:eastAsia="en-CA"/>
              </w:rPr>
            </w:pPr>
            <w:r w:rsidRPr="00DE0DC9">
              <w:t>5</w:t>
            </w:r>
          </w:p>
        </w:tc>
        <w:tc>
          <w:tcPr>
            <w:tcW w:w="1502" w:type="dxa"/>
            <w:tcBorders>
              <w:top w:val="nil"/>
              <w:left w:val="nil"/>
              <w:bottom w:val="nil"/>
              <w:right w:val="nil"/>
            </w:tcBorders>
            <w:shd w:val="clear" w:color="auto" w:fill="auto"/>
            <w:noWrap/>
            <w:hideMark/>
          </w:tcPr>
          <w:p w14:paraId="57317959" w14:textId="7A1E3828"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vAlign w:val="bottom"/>
            <w:hideMark/>
          </w:tcPr>
          <w:p w14:paraId="200940E6" w14:textId="6754F9FC" w:rsidR="00577FBC" w:rsidRPr="00A125E8" w:rsidRDefault="00577FBC" w:rsidP="00577FBC">
            <w:pPr>
              <w:pStyle w:val="NoSpacing"/>
              <w:rPr>
                <w:lang w:eastAsia="en-CA"/>
              </w:rPr>
            </w:pPr>
            <w:r>
              <w:rPr>
                <w:lang w:eastAsia="en-CA"/>
              </w:rPr>
              <w:t>0</w:t>
            </w:r>
          </w:p>
        </w:tc>
      </w:tr>
      <w:tr w:rsidR="00577FBC" w:rsidRPr="00A125E8" w14:paraId="6BD0BB90"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370D43F8" w14:textId="77777777" w:rsidR="00577FBC" w:rsidRPr="00A125E8" w:rsidRDefault="00577FBC" w:rsidP="00577FBC">
            <w:pPr>
              <w:pStyle w:val="NoSpacing"/>
              <w:rPr>
                <w:lang w:eastAsia="en-CA"/>
              </w:rPr>
            </w:pPr>
            <w:r w:rsidRPr="00A125E8">
              <w:rPr>
                <w:lang w:eastAsia="en-CA"/>
              </w:rPr>
              <w:t>Vermont</w:t>
            </w:r>
          </w:p>
        </w:tc>
        <w:tc>
          <w:tcPr>
            <w:tcW w:w="2228" w:type="dxa"/>
            <w:tcBorders>
              <w:top w:val="nil"/>
              <w:left w:val="single" w:sz="4" w:space="0" w:color="auto"/>
              <w:bottom w:val="nil"/>
              <w:right w:val="single" w:sz="4" w:space="0" w:color="auto"/>
            </w:tcBorders>
            <w:shd w:val="clear" w:color="auto" w:fill="auto"/>
            <w:noWrap/>
            <w:vAlign w:val="bottom"/>
            <w:hideMark/>
          </w:tcPr>
          <w:p w14:paraId="12F5407C" w14:textId="77777777" w:rsidR="00577FBC" w:rsidRPr="00A125E8" w:rsidRDefault="00577FBC" w:rsidP="00577FBC">
            <w:pPr>
              <w:pStyle w:val="NoSpacing"/>
              <w:rPr>
                <w:lang w:eastAsia="en-CA"/>
              </w:rPr>
            </w:pPr>
            <w:r w:rsidRPr="00A125E8">
              <w:rPr>
                <w:lang w:eastAsia="en-CA"/>
              </w:rPr>
              <w:t>5</w:t>
            </w:r>
          </w:p>
        </w:tc>
        <w:tc>
          <w:tcPr>
            <w:tcW w:w="1502" w:type="dxa"/>
            <w:tcBorders>
              <w:top w:val="nil"/>
              <w:left w:val="single" w:sz="4" w:space="0" w:color="auto"/>
              <w:bottom w:val="nil"/>
              <w:right w:val="nil"/>
            </w:tcBorders>
            <w:shd w:val="clear" w:color="auto" w:fill="auto"/>
            <w:noWrap/>
            <w:hideMark/>
          </w:tcPr>
          <w:p w14:paraId="65B7A225" w14:textId="3D61EA32" w:rsidR="00577FBC" w:rsidRPr="00A125E8" w:rsidRDefault="00577FBC" w:rsidP="00577FBC">
            <w:pPr>
              <w:pStyle w:val="NoSpacing"/>
              <w:rPr>
                <w:lang w:eastAsia="en-CA"/>
              </w:rPr>
            </w:pPr>
            <w:r w:rsidRPr="00DE0DC9">
              <w:t>0</w:t>
            </w:r>
          </w:p>
        </w:tc>
        <w:tc>
          <w:tcPr>
            <w:tcW w:w="1502" w:type="dxa"/>
            <w:tcBorders>
              <w:top w:val="nil"/>
              <w:left w:val="nil"/>
              <w:bottom w:val="nil"/>
              <w:right w:val="nil"/>
            </w:tcBorders>
            <w:shd w:val="clear" w:color="auto" w:fill="auto"/>
            <w:noWrap/>
            <w:hideMark/>
          </w:tcPr>
          <w:p w14:paraId="50D4621F" w14:textId="0A235305" w:rsidR="00577FBC" w:rsidRPr="00A125E8" w:rsidRDefault="00577FBC" w:rsidP="00577FBC">
            <w:pPr>
              <w:pStyle w:val="NoSpacing"/>
              <w:rPr>
                <w:lang w:eastAsia="en-CA"/>
              </w:rPr>
            </w:pPr>
            <w:r w:rsidRPr="00DE0DC9">
              <w:t>5</w:t>
            </w:r>
          </w:p>
        </w:tc>
        <w:tc>
          <w:tcPr>
            <w:tcW w:w="1502" w:type="dxa"/>
            <w:tcBorders>
              <w:top w:val="nil"/>
              <w:left w:val="nil"/>
              <w:bottom w:val="nil"/>
              <w:right w:val="nil"/>
            </w:tcBorders>
            <w:shd w:val="clear" w:color="auto" w:fill="auto"/>
            <w:noWrap/>
            <w:vAlign w:val="bottom"/>
            <w:hideMark/>
          </w:tcPr>
          <w:p w14:paraId="7EC522B0" w14:textId="77777777" w:rsidR="00577FBC" w:rsidRPr="00A125E8" w:rsidRDefault="00577FBC" w:rsidP="00577FBC">
            <w:pPr>
              <w:pStyle w:val="NoSpacing"/>
              <w:rPr>
                <w:lang w:eastAsia="en-CA"/>
              </w:rPr>
            </w:pPr>
            <w:r w:rsidRPr="00A125E8">
              <w:rPr>
                <w:lang w:eastAsia="en-CA"/>
              </w:rPr>
              <w:t>0</w:t>
            </w:r>
          </w:p>
        </w:tc>
      </w:tr>
      <w:tr w:rsidR="00577FBC" w:rsidRPr="00A125E8" w14:paraId="691E15E0"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41B86671" w14:textId="77777777" w:rsidR="00577FBC" w:rsidRPr="00A125E8" w:rsidRDefault="00577FBC" w:rsidP="00577FBC">
            <w:pPr>
              <w:pStyle w:val="NoSpacing"/>
              <w:rPr>
                <w:lang w:eastAsia="en-CA"/>
              </w:rPr>
            </w:pPr>
            <w:r w:rsidRPr="00A125E8">
              <w:rPr>
                <w:lang w:eastAsia="en-CA"/>
              </w:rPr>
              <w:t>Rhode Is</w:t>
            </w:r>
            <w:r>
              <w:rPr>
                <w:lang w:eastAsia="en-CA"/>
              </w:rPr>
              <w:t>land</w:t>
            </w:r>
          </w:p>
        </w:tc>
        <w:tc>
          <w:tcPr>
            <w:tcW w:w="2228" w:type="dxa"/>
            <w:tcBorders>
              <w:top w:val="nil"/>
              <w:left w:val="single" w:sz="4" w:space="0" w:color="auto"/>
              <w:bottom w:val="nil"/>
              <w:right w:val="single" w:sz="4" w:space="0" w:color="auto"/>
            </w:tcBorders>
            <w:shd w:val="clear" w:color="auto" w:fill="auto"/>
            <w:noWrap/>
            <w:vAlign w:val="bottom"/>
            <w:hideMark/>
          </w:tcPr>
          <w:p w14:paraId="5A3EE2E1" w14:textId="77777777" w:rsidR="00577FBC" w:rsidRPr="00A125E8" w:rsidRDefault="00577FBC" w:rsidP="00577FBC">
            <w:pPr>
              <w:pStyle w:val="NoSpacing"/>
              <w:rPr>
                <w:lang w:eastAsia="en-CA"/>
              </w:rPr>
            </w:pPr>
            <w:r w:rsidRPr="00A125E8">
              <w:rPr>
                <w:lang w:eastAsia="en-CA"/>
              </w:rPr>
              <w:t>4</w:t>
            </w:r>
          </w:p>
        </w:tc>
        <w:tc>
          <w:tcPr>
            <w:tcW w:w="1502" w:type="dxa"/>
            <w:tcBorders>
              <w:top w:val="nil"/>
              <w:left w:val="single" w:sz="4" w:space="0" w:color="auto"/>
              <w:bottom w:val="nil"/>
              <w:right w:val="nil"/>
            </w:tcBorders>
            <w:shd w:val="clear" w:color="auto" w:fill="auto"/>
            <w:noWrap/>
            <w:hideMark/>
          </w:tcPr>
          <w:p w14:paraId="3992A5CF" w14:textId="644C89B6"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hideMark/>
          </w:tcPr>
          <w:p w14:paraId="49EFC865" w14:textId="674A8946" w:rsidR="00577FBC" w:rsidRPr="00A125E8" w:rsidRDefault="00577FBC" w:rsidP="00577FBC">
            <w:pPr>
              <w:pStyle w:val="NoSpacing"/>
              <w:rPr>
                <w:lang w:eastAsia="en-CA"/>
              </w:rPr>
            </w:pPr>
            <w:r w:rsidRPr="00DE0DC9">
              <w:t>3</w:t>
            </w:r>
          </w:p>
        </w:tc>
        <w:tc>
          <w:tcPr>
            <w:tcW w:w="1502" w:type="dxa"/>
            <w:tcBorders>
              <w:top w:val="nil"/>
              <w:left w:val="nil"/>
              <w:bottom w:val="nil"/>
              <w:right w:val="nil"/>
            </w:tcBorders>
            <w:shd w:val="clear" w:color="auto" w:fill="auto"/>
            <w:noWrap/>
            <w:vAlign w:val="bottom"/>
            <w:hideMark/>
          </w:tcPr>
          <w:p w14:paraId="0EE7AE80" w14:textId="77777777" w:rsidR="00577FBC" w:rsidRPr="00A125E8" w:rsidRDefault="00577FBC" w:rsidP="00577FBC">
            <w:pPr>
              <w:pStyle w:val="NoSpacing"/>
              <w:rPr>
                <w:lang w:eastAsia="en-CA"/>
              </w:rPr>
            </w:pPr>
            <w:r w:rsidRPr="00A125E8">
              <w:rPr>
                <w:lang w:eastAsia="en-CA"/>
              </w:rPr>
              <w:t>0</w:t>
            </w:r>
          </w:p>
        </w:tc>
      </w:tr>
      <w:tr w:rsidR="00577FBC" w:rsidRPr="00A125E8" w14:paraId="19DB7B56"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423A271D" w14:textId="77777777" w:rsidR="00577FBC" w:rsidRPr="00A125E8" w:rsidRDefault="00577FBC" w:rsidP="00577FBC">
            <w:pPr>
              <w:pStyle w:val="NoSpacing"/>
              <w:rPr>
                <w:lang w:eastAsia="en-CA"/>
              </w:rPr>
            </w:pPr>
            <w:r w:rsidRPr="00A125E8">
              <w:rPr>
                <w:lang w:eastAsia="en-CA"/>
              </w:rPr>
              <w:t>Conn</w:t>
            </w:r>
            <w:r>
              <w:rPr>
                <w:lang w:eastAsia="en-CA"/>
              </w:rPr>
              <w:t>ecticut</w:t>
            </w:r>
          </w:p>
        </w:tc>
        <w:tc>
          <w:tcPr>
            <w:tcW w:w="2228" w:type="dxa"/>
            <w:tcBorders>
              <w:top w:val="nil"/>
              <w:left w:val="single" w:sz="4" w:space="0" w:color="auto"/>
              <w:bottom w:val="nil"/>
              <w:right w:val="single" w:sz="4" w:space="0" w:color="auto"/>
            </w:tcBorders>
            <w:shd w:val="clear" w:color="auto" w:fill="auto"/>
            <w:noWrap/>
            <w:vAlign w:val="bottom"/>
            <w:hideMark/>
          </w:tcPr>
          <w:p w14:paraId="4BFB5D39" w14:textId="77777777" w:rsidR="00577FBC" w:rsidRPr="00A125E8" w:rsidRDefault="00577FBC" w:rsidP="00577FBC">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hideMark/>
          </w:tcPr>
          <w:p w14:paraId="05343DCF" w14:textId="462E1ACD"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hideMark/>
          </w:tcPr>
          <w:p w14:paraId="4033E978" w14:textId="7A340BC9" w:rsidR="00577FBC" w:rsidRPr="00A125E8" w:rsidRDefault="00577FBC" w:rsidP="00577FBC">
            <w:pPr>
              <w:pStyle w:val="NoSpacing"/>
              <w:rPr>
                <w:lang w:eastAsia="en-CA"/>
              </w:rPr>
            </w:pPr>
            <w:r w:rsidRPr="00DE0DC9">
              <w:t>5</w:t>
            </w:r>
          </w:p>
        </w:tc>
        <w:tc>
          <w:tcPr>
            <w:tcW w:w="1502" w:type="dxa"/>
            <w:tcBorders>
              <w:top w:val="nil"/>
              <w:left w:val="nil"/>
              <w:bottom w:val="nil"/>
              <w:right w:val="nil"/>
            </w:tcBorders>
            <w:shd w:val="clear" w:color="auto" w:fill="auto"/>
            <w:noWrap/>
            <w:vAlign w:val="bottom"/>
            <w:hideMark/>
          </w:tcPr>
          <w:p w14:paraId="22906E12" w14:textId="77777777" w:rsidR="00577FBC" w:rsidRPr="00A125E8" w:rsidRDefault="00577FBC" w:rsidP="00577FBC">
            <w:pPr>
              <w:pStyle w:val="NoSpacing"/>
              <w:rPr>
                <w:lang w:eastAsia="en-CA"/>
              </w:rPr>
            </w:pPr>
            <w:r w:rsidRPr="00A125E8">
              <w:rPr>
                <w:lang w:eastAsia="en-CA"/>
              </w:rPr>
              <w:t>0</w:t>
            </w:r>
          </w:p>
        </w:tc>
      </w:tr>
      <w:tr w:rsidR="00577FBC" w:rsidRPr="00A125E8" w14:paraId="62F80533"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14176112" w14:textId="77777777" w:rsidR="00577FBC" w:rsidRPr="00A125E8" w:rsidRDefault="00577FBC" w:rsidP="00577FBC">
            <w:pPr>
              <w:pStyle w:val="NoSpacing"/>
              <w:rPr>
                <w:lang w:eastAsia="en-CA"/>
              </w:rPr>
            </w:pPr>
            <w:r w:rsidRPr="00A125E8">
              <w:rPr>
                <w:lang w:eastAsia="en-CA"/>
              </w:rPr>
              <w:t>New York</w:t>
            </w:r>
          </w:p>
        </w:tc>
        <w:tc>
          <w:tcPr>
            <w:tcW w:w="2228" w:type="dxa"/>
            <w:tcBorders>
              <w:top w:val="nil"/>
              <w:left w:val="single" w:sz="4" w:space="0" w:color="auto"/>
              <w:bottom w:val="nil"/>
              <w:right w:val="single" w:sz="4" w:space="0" w:color="auto"/>
            </w:tcBorders>
            <w:shd w:val="clear" w:color="auto" w:fill="auto"/>
            <w:noWrap/>
            <w:vAlign w:val="bottom"/>
            <w:hideMark/>
          </w:tcPr>
          <w:p w14:paraId="5FF3A64F" w14:textId="77777777" w:rsidR="00577FBC" w:rsidRPr="00A125E8" w:rsidRDefault="00577FBC" w:rsidP="00577FBC">
            <w:pPr>
              <w:pStyle w:val="NoSpacing"/>
              <w:rPr>
                <w:lang w:eastAsia="en-CA"/>
              </w:rPr>
            </w:pPr>
            <w:r w:rsidRPr="00A125E8">
              <w:rPr>
                <w:lang w:eastAsia="en-CA"/>
              </w:rPr>
              <w:t>41</w:t>
            </w:r>
          </w:p>
        </w:tc>
        <w:tc>
          <w:tcPr>
            <w:tcW w:w="1502" w:type="dxa"/>
            <w:tcBorders>
              <w:top w:val="nil"/>
              <w:left w:val="single" w:sz="4" w:space="0" w:color="auto"/>
              <w:bottom w:val="nil"/>
              <w:right w:val="nil"/>
            </w:tcBorders>
            <w:shd w:val="clear" w:color="auto" w:fill="auto"/>
            <w:noWrap/>
            <w:hideMark/>
          </w:tcPr>
          <w:p w14:paraId="21401C70" w14:textId="7180E30B" w:rsidR="00577FBC" w:rsidRPr="00A125E8" w:rsidRDefault="00577FBC" w:rsidP="00577FBC">
            <w:pPr>
              <w:pStyle w:val="NoSpacing"/>
              <w:rPr>
                <w:lang w:eastAsia="en-CA"/>
              </w:rPr>
            </w:pPr>
            <w:r w:rsidRPr="00DE0DC9">
              <w:t>32</w:t>
            </w:r>
          </w:p>
        </w:tc>
        <w:tc>
          <w:tcPr>
            <w:tcW w:w="1502" w:type="dxa"/>
            <w:tcBorders>
              <w:top w:val="nil"/>
              <w:left w:val="nil"/>
              <w:bottom w:val="nil"/>
              <w:right w:val="nil"/>
            </w:tcBorders>
            <w:shd w:val="clear" w:color="auto" w:fill="auto"/>
            <w:noWrap/>
            <w:hideMark/>
          </w:tcPr>
          <w:p w14:paraId="338FB234" w14:textId="3A75D1A8" w:rsidR="00577FBC" w:rsidRPr="00A125E8" w:rsidRDefault="00577FBC" w:rsidP="00577FBC">
            <w:pPr>
              <w:pStyle w:val="NoSpacing"/>
              <w:rPr>
                <w:lang w:eastAsia="en-CA"/>
              </w:rPr>
            </w:pPr>
            <w:r w:rsidRPr="00DE0DC9">
              <w:t>9</w:t>
            </w:r>
          </w:p>
        </w:tc>
        <w:tc>
          <w:tcPr>
            <w:tcW w:w="1502" w:type="dxa"/>
            <w:tcBorders>
              <w:top w:val="nil"/>
              <w:left w:val="nil"/>
              <w:bottom w:val="nil"/>
              <w:right w:val="nil"/>
            </w:tcBorders>
            <w:shd w:val="clear" w:color="auto" w:fill="auto"/>
            <w:noWrap/>
            <w:vAlign w:val="bottom"/>
            <w:hideMark/>
          </w:tcPr>
          <w:p w14:paraId="2AB4539A" w14:textId="77777777" w:rsidR="00577FBC" w:rsidRPr="00A125E8" w:rsidRDefault="00577FBC" w:rsidP="00577FBC">
            <w:pPr>
              <w:pStyle w:val="NoSpacing"/>
              <w:rPr>
                <w:lang w:eastAsia="en-CA"/>
              </w:rPr>
            </w:pPr>
            <w:r w:rsidRPr="00A125E8">
              <w:rPr>
                <w:lang w:eastAsia="en-CA"/>
              </w:rPr>
              <w:t>0</w:t>
            </w:r>
          </w:p>
        </w:tc>
      </w:tr>
      <w:tr w:rsidR="00577FBC" w:rsidRPr="00A125E8" w14:paraId="5E841F9E"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5FEC4F97" w14:textId="77777777" w:rsidR="00577FBC" w:rsidRPr="00A125E8" w:rsidRDefault="00577FBC" w:rsidP="00577FBC">
            <w:pPr>
              <w:pStyle w:val="NoSpacing"/>
              <w:rPr>
                <w:lang w:eastAsia="en-CA"/>
              </w:rPr>
            </w:pPr>
            <w:r w:rsidRPr="00A125E8">
              <w:rPr>
                <w:lang w:eastAsia="en-CA"/>
              </w:rPr>
              <w:t>Penn</w:t>
            </w:r>
            <w:r>
              <w:rPr>
                <w:lang w:eastAsia="en-CA"/>
              </w:rPr>
              <w:t>sylvania</w:t>
            </w:r>
          </w:p>
        </w:tc>
        <w:tc>
          <w:tcPr>
            <w:tcW w:w="2228" w:type="dxa"/>
            <w:tcBorders>
              <w:top w:val="nil"/>
              <w:left w:val="single" w:sz="4" w:space="0" w:color="auto"/>
              <w:bottom w:val="nil"/>
              <w:right w:val="single" w:sz="4" w:space="0" w:color="auto"/>
            </w:tcBorders>
            <w:shd w:val="clear" w:color="auto" w:fill="auto"/>
            <w:noWrap/>
            <w:vAlign w:val="bottom"/>
            <w:hideMark/>
          </w:tcPr>
          <w:p w14:paraId="07B63A70" w14:textId="77777777" w:rsidR="00577FBC" w:rsidRPr="00A125E8" w:rsidRDefault="00577FBC" w:rsidP="00577FBC">
            <w:pPr>
              <w:pStyle w:val="NoSpacing"/>
              <w:rPr>
                <w:lang w:eastAsia="en-CA"/>
              </w:rPr>
            </w:pPr>
            <w:r w:rsidRPr="00A125E8">
              <w:rPr>
                <w:lang w:eastAsia="en-CA"/>
              </w:rPr>
              <w:t>28</w:t>
            </w:r>
          </w:p>
        </w:tc>
        <w:tc>
          <w:tcPr>
            <w:tcW w:w="1502" w:type="dxa"/>
            <w:tcBorders>
              <w:top w:val="nil"/>
              <w:left w:val="single" w:sz="4" w:space="0" w:color="auto"/>
              <w:bottom w:val="nil"/>
              <w:right w:val="nil"/>
            </w:tcBorders>
            <w:shd w:val="clear" w:color="auto" w:fill="auto"/>
            <w:noWrap/>
            <w:hideMark/>
          </w:tcPr>
          <w:p w14:paraId="74EC8159" w14:textId="6E7F7A5F" w:rsidR="00577FBC" w:rsidRPr="00A125E8" w:rsidRDefault="00577FBC" w:rsidP="00577FBC">
            <w:pPr>
              <w:pStyle w:val="NoSpacing"/>
              <w:rPr>
                <w:lang w:eastAsia="en-CA"/>
              </w:rPr>
            </w:pPr>
            <w:r w:rsidRPr="00DE0DC9">
              <w:t>24</w:t>
            </w:r>
          </w:p>
        </w:tc>
        <w:tc>
          <w:tcPr>
            <w:tcW w:w="1502" w:type="dxa"/>
            <w:tcBorders>
              <w:top w:val="nil"/>
              <w:left w:val="nil"/>
              <w:bottom w:val="nil"/>
              <w:right w:val="nil"/>
            </w:tcBorders>
            <w:shd w:val="clear" w:color="auto" w:fill="auto"/>
            <w:noWrap/>
            <w:hideMark/>
          </w:tcPr>
          <w:p w14:paraId="302B290C" w14:textId="5FD3C5A1" w:rsidR="00577FBC" w:rsidRPr="00A125E8" w:rsidRDefault="00577FBC" w:rsidP="00577FBC">
            <w:pPr>
              <w:pStyle w:val="NoSpacing"/>
              <w:rPr>
                <w:lang w:eastAsia="en-CA"/>
              </w:rPr>
            </w:pPr>
            <w:r w:rsidRPr="00DE0DC9">
              <w:t>4</w:t>
            </w:r>
          </w:p>
        </w:tc>
        <w:tc>
          <w:tcPr>
            <w:tcW w:w="1502" w:type="dxa"/>
            <w:tcBorders>
              <w:top w:val="nil"/>
              <w:left w:val="nil"/>
              <w:bottom w:val="nil"/>
              <w:right w:val="nil"/>
            </w:tcBorders>
            <w:shd w:val="clear" w:color="auto" w:fill="auto"/>
            <w:noWrap/>
            <w:vAlign w:val="bottom"/>
            <w:hideMark/>
          </w:tcPr>
          <w:p w14:paraId="02D272A0" w14:textId="77777777" w:rsidR="00577FBC" w:rsidRPr="00A125E8" w:rsidRDefault="00577FBC" w:rsidP="00577FBC">
            <w:pPr>
              <w:pStyle w:val="NoSpacing"/>
              <w:rPr>
                <w:lang w:eastAsia="en-CA"/>
              </w:rPr>
            </w:pPr>
            <w:r w:rsidRPr="00A125E8">
              <w:rPr>
                <w:lang w:eastAsia="en-CA"/>
              </w:rPr>
              <w:t>0</w:t>
            </w:r>
          </w:p>
        </w:tc>
      </w:tr>
      <w:tr w:rsidR="00577FBC" w:rsidRPr="00A125E8" w14:paraId="1979ECF7"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0DBDD2C9" w14:textId="77777777" w:rsidR="00577FBC" w:rsidRPr="00A125E8" w:rsidRDefault="00577FBC" w:rsidP="00577FBC">
            <w:pPr>
              <w:pStyle w:val="NoSpacing"/>
              <w:rPr>
                <w:lang w:eastAsia="en-CA"/>
              </w:rPr>
            </w:pPr>
            <w:r w:rsidRPr="00A125E8">
              <w:rPr>
                <w:lang w:eastAsia="en-CA"/>
              </w:rPr>
              <w:t>New Jersey</w:t>
            </w:r>
          </w:p>
        </w:tc>
        <w:tc>
          <w:tcPr>
            <w:tcW w:w="2228" w:type="dxa"/>
            <w:tcBorders>
              <w:top w:val="nil"/>
              <w:left w:val="single" w:sz="4" w:space="0" w:color="auto"/>
              <w:bottom w:val="nil"/>
              <w:right w:val="single" w:sz="4" w:space="0" w:color="auto"/>
            </w:tcBorders>
            <w:shd w:val="clear" w:color="auto" w:fill="auto"/>
            <w:noWrap/>
            <w:vAlign w:val="bottom"/>
            <w:hideMark/>
          </w:tcPr>
          <w:p w14:paraId="464C2017" w14:textId="77777777" w:rsidR="00577FBC" w:rsidRPr="00A125E8" w:rsidRDefault="00577FBC" w:rsidP="00577FBC">
            <w:pPr>
              <w:pStyle w:val="NoSpacing"/>
              <w:rPr>
                <w:lang w:eastAsia="en-CA"/>
              </w:rPr>
            </w:pPr>
            <w:r w:rsidRPr="00A125E8">
              <w:rPr>
                <w:lang w:eastAsia="en-CA"/>
              </w:rPr>
              <w:t>8</w:t>
            </w:r>
          </w:p>
        </w:tc>
        <w:tc>
          <w:tcPr>
            <w:tcW w:w="1502" w:type="dxa"/>
            <w:tcBorders>
              <w:top w:val="nil"/>
              <w:left w:val="single" w:sz="4" w:space="0" w:color="auto"/>
              <w:bottom w:val="nil"/>
              <w:right w:val="nil"/>
            </w:tcBorders>
            <w:shd w:val="clear" w:color="auto" w:fill="auto"/>
            <w:noWrap/>
            <w:hideMark/>
          </w:tcPr>
          <w:p w14:paraId="7177FF99" w14:textId="0688B99D" w:rsidR="00577FBC" w:rsidRPr="00A125E8" w:rsidRDefault="00577FBC" w:rsidP="00577FBC">
            <w:pPr>
              <w:pStyle w:val="NoSpacing"/>
              <w:rPr>
                <w:lang w:eastAsia="en-CA"/>
              </w:rPr>
            </w:pPr>
            <w:r w:rsidRPr="00DE0DC9">
              <w:t>8</w:t>
            </w:r>
          </w:p>
        </w:tc>
        <w:tc>
          <w:tcPr>
            <w:tcW w:w="1502" w:type="dxa"/>
            <w:tcBorders>
              <w:top w:val="nil"/>
              <w:left w:val="nil"/>
              <w:bottom w:val="nil"/>
              <w:right w:val="nil"/>
            </w:tcBorders>
            <w:shd w:val="clear" w:color="auto" w:fill="auto"/>
            <w:noWrap/>
            <w:hideMark/>
          </w:tcPr>
          <w:p w14:paraId="23958A58" w14:textId="6F277987" w:rsidR="00577FBC" w:rsidRPr="00A125E8" w:rsidRDefault="00577FBC" w:rsidP="00577FBC">
            <w:pPr>
              <w:pStyle w:val="NoSpacing"/>
              <w:rPr>
                <w:lang w:eastAsia="en-CA"/>
              </w:rPr>
            </w:pPr>
            <w:r w:rsidRPr="00DE0DC9">
              <w:t>0</w:t>
            </w:r>
          </w:p>
        </w:tc>
        <w:tc>
          <w:tcPr>
            <w:tcW w:w="1502" w:type="dxa"/>
            <w:tcBorders>
              <w:top w:val="nil"/>
              <w:left w:val="nil"/>
              <w:bottom w:val="nil"/>
              <w:right w:val="nil"/>
            </w:tcBorders>
            <w:shd w:val="clear" w:color="auto" w:fill="auto"/>
            <w:noWrap/>
            <w:vAlign w:val="bottom"/>
            <w:hideMark/>
          </w:tcPr>
          <w:p w14:paraId="3AE90BE4" w14:textId="77777777" w:rsidR="00577FBC" w:rsidRPr="00A125E8" w:rsidRDefault="00577FBC" w:rsidP="00577FBC">
            <w:pPr>
              <w:pStyle w:val="NoSpacing"/>
              <w:rPr>
                <w:lang w:eastAsia="en-CA"/>
              </w:rPr>
            </w:pPr>
            <w:r w:rsidRPr="00A125E8">
              <w:rPr>
                <w:lang w:eastAsia="en-CA"/>
              </w:rPr>
              <w:t>0</w:t>
            </w:r>
          </w:p>
        </w:tc>
      </w:tr>
      <w:tr w:rsidR="00577FBC" w:rsidRPr="00A125E8" w14:paraId="3EDEEF97"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75848FFA" w14:textId="77777777" w:rsidR="00577FBC" w:rsidRPr="00A125E8" w:rsidRDefault="00577FBC" w:rsidP="00577FBC">
            <w:pPr>
              <w:pStyle w:val="NoSpacing"/>
              <w:rPr>
                <w:lang w:eastAsia="en-CA"/>
              </w:rPr>
            </w:pPr>
            <w:r w:rsidRPr="00A125E8">
              <w:rPr>
                <w:lang w:eastAsia="en-CA"/>
              </w:rPr>
              <w:t>Delaware</w:t>
            </w:r>
          </w:p>
        </w:tc>
        <w:tc>
          <w:tcPr>
            <w:tcW w:w="2228" w:type="dxa"/>
            <w:tcBorders>
              <w:top w:val="nil"/>
              <w:left w:val="single" w:sz="4" w:space="0" w:color="auto"/>
              <w:bottom w:val="nil"/>
              <w:right w:val="single" w:sz="4" w:space="0" w:color="auto"/>
            </w:tcBorders>
            <w:shd w:val="clear" w:color="auto" w:fill="auto"/>
            <w:noWrap/>
            <w:vAlign w:val="bottom"/>
            <w:hideMark/>
          </w:tcPr>
          <w:p w14:paraId="79945843" w14:textId="77777777" w:rsidR="00577FBC" w:rsidRPr="00A125E8" w:rsidRDefault="00577FBC" w:rsidP="00577FBC">
            <w:pPr>
              <w:pStyle w:val="NoSpacing"/>
              <w:rPr>
                <w:lang w:eastAsia="en-CA"/>
              </w:rPr>
            </w:pPr>
            <w:r w:rsidRPr="00A125E8">
              <w:rPr>
                <w:lang w:eastAsia="en-CA"/>
              </w:rPr>
              <w:t>3</w:t>
            </w:r>
          </w:p>
        </w:tc>
        <w:tc>
          <w:tcPr>
            <w:tcW w:w="1502" w:type="dxa"/>
            <w:tcBorders>
              <w:top w:val="nil"/>
              <w:left w:val="single" w:sz="4" w:space="0" w:color="auto"/>
              <w:bottom w:val="nil"/>
              <w:right w:val="nil"/>
            </w:tcBorders>
            <w:shd w:val="clear" w:color="auto" w:fill="auto"/>
            <w:noWrap/>
            <w:hideMark/>
          </w:tcPr>
          <w:p w14:paraId="4B0AF8A7" w14:textId="163512F3" w:rsidR="00577FBC" w:rsidRPr="00A125E8" w:rsidRDefault="00577FBC" w:rsidP="00577FBC">
            <w:pPr>
              <w:pStyle w:val="NoSpacing"/>
              <w:rPr>
                <w:lang w:eastAsia="en-CA"/>
              </w:rPr>
            </w:pPr>
            <w:r w:rsidRPr="00DE0DC9">
              <w:t>3</w:t>
            </w:r>
          </w:p>
        </w:tc>
        <w:tc>
          <w:tcPr>
            <w:tcW w:w="1502" w:type="dxa"/>
            <w:tcBorders>
              <w:top w:val="nil"/>
              <w:left w:val="nil"/>
              <w:bottom w:val="nil"/>
              <w:right w:val="nil"/>
            </w:tcBorders>
            <w:shd w:val="clear" w:color="auto" w:fill="auto"/>
            <w:noWrap/>
            <w:hideMark/>
          </w:tcPr>
          <w:p w14:paraId="7EF1F14F" w14:textId="540D7439" w:rsidR="00577FBC" w:rsidRPr="00A125E8" w:rsidRDefault="00577FBC" w:rsidP="00577FBC">
            <w:pPr>
              <w:pStyle w:val="NoSpacing"/>
              <w:rPr>
                <w:lang w:eastAsia="en-CA"/>
              </w:rPr>
            </w:pPr>
            <w:r w:rsidRPr="00DE0DC9">
              <w:t>0</w:t>
            </w:r>
          </w:p>
        </w:tc>
        <w:tc>
          <w:tcPr>
            <w:tcW w:w="1502" w:type="dxa"/>
            <w:tcBorders>
              <w:top w:val="nil"/>
              <w:left w:val="nil"/>
              <w:bottom w:val="nil"/>
              <w:right w:val="nil"/>
            </w:tcBorders>
            <w:shd w:val="clear" w:color="auto" w:fill="auto"/>
            <w:noWrap/>
            <w:vAlign w:val="bottom"/>
            <w:hideMark/>
          </w:tcPr>
          <w:p w14:paraId="22C37151" w14:textId="77777777" w:rsidR="00577FBC" w:rsidRPr="00A125E8" w:rsidRDefault="00577FBC" w:rsidP="00577FBC">
            <w:pPr>
              <w:pStyle w:val="NoSpacing"/>
              <w:rPr>
                <w:lang w:eastAsia="en-CA"/>
              </w:rPr>
            </w:pPr>
            <w:r w:rsidRPr="00A125E8">
              <w:rPr>
                <w:lang w:eastAsia="en-CA"/>
              </w:rPr>
              <w:t>0</w:t>
            </w:r>
          </w:p>
        </w:tc>
      </w:tr>
      <w:tr w:rsidR="00577FBC" w:rsidRPr="00A125E8" w14:paraId="6692F911"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099A526B" w14:textId="77777777" w:rsidR="00577FBC" w:rsidRPr="00A125E8" w:rsidRDefault="00577FBC" w:rsidP="00577FBC">
            <w:pPr>
              <w:pStyle w:val="NoSpacing"/>
              <w:rPr>
                <w:lang w:eastAsia="en-CA"/>
              </w:rPr>
            </w:pPr>
            <w:r w:rsidRPr="00A125E8">
              <w:rPr>
                <w:lang w:eastAsia="en-CA"/>
              </w:rPr>
              <w:t>Maryland</w:t>
            </w:r>
          </w:p>
        </w:tc>
        <w:tc>
          <w:tcPr>
            <w:tcW w:w="2228" w:type="dxa"/>
            <w:tcBorders>
              <w:top w:val="nil"/>
              <w:left w:val="single" w:sz="4" w:space="0" w:color="auto"/>
              <w:bottom w:val="nil"/>
              <w:right w:val="single" w:sz="4" w:space="0" w:color="auto"/>
            </w:tcBorders>
            <w:shd w:val="clear" w:color="auto" w:fill="auto"/>
            <w:noWrap/>
            <w:vAlign w:val="bottom"/>
            <w:hideMark/>
          </w:tcPr>
          <w:p w14:paraId="00588F31" w14:textId="77777777" w:rsidR="00577FBC" w:rsidRPr="00A125E8" w:rsidRDefault="00577FBC" w:rsidP="00577FBC">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hideMark/>
          </w:tcPr>
          <w:p w14:paraId="607A06BE" w14:textId="176C1A9D" w:rsidR="00577FBC" w:rsidRPr="00A125E8" w:rsidRDefault="00577FBC" w:rsidP="00577FBC">
            <w:pPr>
              <w:pStyle w:val="NoSpacing"/>
              <w:rPr>
                <w:lang w:eastAsia="en-CA"/>
              </w:rPr>
            </w:pPr>
            <w:r w:rsidRPr="00DE0DC9">
              <w:t>6</w:t>
            </w:r>
          </w:p>
        </w:tc>
        <w:tc>
          <w:tcPr>
            <w:tcW w:w="1502" w:type="dxa"/>
            <w:tcBorders>
              <w:top w:val="nil"/>
              <w:left w:val="nil"/>
              <w:bottom w:val="nil"/>
              <w:right w:val="nil"/>
            </w:tcBorders>
            <w:shd w:val="clear" w:color="auto" w:fill="auto"/>
            <w:noWrap/>
            <w:hideMark/>
          </w:tcPr>
          <w:p w14:paraId="44618CDA" w14:textId="712E8CCD"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vAlign w:val="bottom"/>
            <w:hideMark/>
          </w:tcPr>
          <w:p w14:paraId="6D6569A6" w14:textId="77777777" w:rsidR="00577FBC" w:rsidRPr="00A125E8" w:rsidRDefault="00577FBC" w:rsidP="00577FBC">
            <w:pPr>
              <w:pStyle w:val="NoSpacing"/>
              <w:rPr>
                <w:lang w:eastAsia="en-CA"/>
              </w:rPr>
            </w:pPr>
            <w:r w:rsidRPr="00A125E8">
              <w:rPr>
                <w:lang w:eastAsia="en-CA"/>
              </w:rPr>
              <w:t>0</w:t>
            </w:r>
          </w:p>
        </w:tc>
      </w:tr>
      <w:tr w:rsidR="00577FBC" w:rsidRPr="00A125E8" w14:paraId="1223DB36"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2F69F371" w14:textId="77777777" w:rsidR="00577FBC" w:rsidRPr="00A125E8" w:rsidRDefault="00577FBC" w:rsidP="00577FBC">
            <w:pPr>
              <w:pStyle w:val="NoSpacing"/>
              <w:rPr>
                <w:lang w:eastAsia="en-CA"/>
              </w:rPr>
            </w:pPr>
            <w:r w:rsidRPr="00A125E8">
              <w:rPr>
                <w:lang w:eastAsia="en-CA"/>
              </w:rPr>
              <w:t>Ohio</w:t>
            </w:r>
          </w:p>
        </w:tc>
        <w:tc>
          <w:tcPr>
            <w:tcW w:w="2228" w:type="dxa"/>
            <w:tcBorders>
              <w:top w:val="nil"/>
              <w:left w:val="single" w:sz="4" w:space="0" w:color="auto"/>
              <w:bottom w:val="nil"/>
              <w:right w:val="single" w:sz="4" w:space="0" w:color="auto"/>
            </w:tcBorders>
            <w:shd w:val="clear" w:color="auto" w:fill="auto"/>
            <w:noWrap/>
            <w:vAlign w:val="bottom"/>
            <w:hideMark/>
          </w:tcPr>
          <w:p w14:paraId="0EAD0FF8" w14:textId="77777777" w:rsidR="00577FBC" w:rsidRPr="00A125E8" w:rsidRDefault="00577FBC" w:rsidP="00577FBC">
            <w:pPr>
              <w:pStyle w:val="NoSpacing"/>
              <w:rPr>
                <w:lang w:eastAsia="en-CA"/>
              </w:rPr>
            </w:pPr>
            <w:r>
              <w:rPr>
                <w:lang w:eastAsia="en-CA"/>
              </w:rPr>
              <w:t>25</w:t>
            </w:r>
          </w:p>
        </w:tc>
        <w:tc>
          <w:tcPr>
            <w:tcW w:w="1502" w:type="dxa"/>
            <w:tcBorders>
              <w:top w:val="nil"/>
              <w:left w:val="single" w:sz="4" w:space="0" w:color="auto"/>
              <w:bottom w:val="nil"/>
              <w:right w:val="nil"/>
            </w:tcBorders>
            <w:shd w:val="clear" w:color="auto" w:fill="auto"/>
            <w:noWrap/>
            <w:hideMark/>
          </w:tcPr>
          <w:p w14:paraId="204A4F5F" w14:textId="25F2E603" w:rsidR="00577FBC" w:rsidRPr="00A125E8" w:rsidRDefault="00577FBC" w:rsidP="00577FBC">
            <w:pPr>
              <w:pStyle w:val="NoSpacing"/>
              <w:rPr>
                <w:lang w:eastAsia="en-CA"/>
              </w:rPr>
            </w:pPr>
            <w:r w:rsidRPr="00DE0DC9">
              <w:t>19</w:t>
            </w:r>
          </w:p>
        </w:tc>
        <w:tc>
          <w:tcPr>
            <w:tcW w:w="1502" w:type="dxa"/>
            <w:tcBorders>
              <w:top w:val="nil"/>
              <w:left w:val="nil"/>
              <w:bottom w:val="nil"/>
              <w:right w:val="nil"/>
            </w:tcBorders>
            <w:shd w:val="clear" w:color="auto" w:fill="auto"/>
            <w:noWrap/>
            <w:hideMark/>
          </w:tcPr>
          <w:p w14:paraId="5DD3C4C7" w14:textId="212DD582" w:rsidR="00577FBC" w:rsidRPr="00A125E8" w:rsidRDefault="00577FBC" w:rsidP="00577FBC">
            <w:pPr>
              <w:pStyle w:val="NoSpacing"/>
              <w:rPr>
                <w:lang w:eastAsia="en-CA"/>
              </w:rPr>
            </w:pPr>
            <w:r w:rsidRPr="00DE0DC9">
              <w:t>6</w:t>
            </w:r>
          </w:p>
        </w:tc>
        <w:tc>
          <w:tcPr>
            <w:tcW w:w="1502" w:type="dxa"/>
            <w:tcBorders>
              <w:top w:val="nil"/>
              <w:left w:val="nil"/>
              <w:bottom w:val="nil"/>
              <w:right w:val="nil"/>
            </w:tcBorders>
            <w:shd w:val="clear" w:color="auto" w:fill="auto"/>
            <w:noWrap/>
            <w:vAlign w:val="bottom"/>
            <w:hideMark/>
          </w:tcPr>
          <w:p w14:paraId="2030FB42" w14:textId="77777777" w:rsidR="00577FBC" w:rsidRPr="00A125E8" w:rsidRDefault="00577FBC" w:rsidP="00577FBC">
            <w:pPr>
              <w:pStyle w:val="NoSpacing"/>
              <w:rPr>
                <w:lang w:eastAsia="en-CA"/>
              </w:rPr>
            </w:pPr>
            <w:r w:rsidRPr="00A125E8">
              <w:rPr>
                <w:lang w:eastAsia="en-CA"/>
              </w:rPr>
              <w:t>0</w:t>
            </w:r>
          </w:p>
        </w:tc>
      </w:tr>
      <w:tr w:rsidR="00577FBC" w:rsidRPr="00A125E8" w14:paraId="3A47945C"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049D5DFE" w14:textId="77777777" w:rsidR="00577FBC" w:rsidRPr="00A125E8" w:rsidRDefault="00577FBC" w:rsidP="00577FBC">
            <w:pPr>
              <w:pStyle w:val="NoSpacing"/>
              <w:rPr>
                <w:lang w:eastAsia="en-CA"/>
              </w:rPr>
            </w:pPr>
            <w:r>
              <w:rPr>
                <w:lang w:eastAsia="en-CA"/>
              </w:rPr>
              <w:t>New Ireland</w:t>
            </w:r>
          </w:p>
        </w:tc>
        <w:tc>
          <w:tcPr>
            <w:tcW w:w="2228" w:type="dxa"/>
            <w:tcBorders>
              <w:top w:val="nil"/>
              <w:left w:val="single" w:sz="4" w:space="0" w:color="auto"/>
              <w:bottom w:val="nil"/>
              <w:right w:val="single" w:sz="4" w:space="0" w:color="auto"/>
            </w:tcBorders>
            <w:shd w:val="clear" w:color="auto" w:fill="auto"/>
            <w:noWrap/>
            <w:vAlign w:val="bottom"/>
            <w:hideMark/>
          </w:tcPr>
          <w:p w14:paraId="242B95AB" w14:textId="77777777" w:rsidR="00577FBC" w:rsidRPr="00A125E8" w:rsidRDefault="00577FBC" w:rsidP="00577FBC">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hideMark/>
          </w:tcPr>
          <w:p w14:paraId="37198408" w14:textId="0B907691" w:rsidR="00577FBC" w:rsidRPr="00A125E8" w:rsidRDefault="00577FBC" w:rsidP="00577FBC">
            <w:pPr>
              <w:pStyle w:val="NoSpacing"/>
              <w:rPr>
                <w:lang w:eastAsia="en-CA"/>
              </w:rPr>
            </w:pPr>
            <w:r w:rsidRPr="00DE0DC9">
              <w:t>7</w:t>
            </w:r>
          </w:p>
        </w:tc>
        <w:tc>
          <w:tcPr>
            <w:tcW w:w="1502" w:type="dxa"/>
            <w:tcBorders>
              <w:top w:val="nil"/>
              <w:left w:val="nil"/>
              <w:bottom w:val="nil"/>
              <w:right w:val="nil"/>
            </w:tcBorders>
            <w:shd w:val="clear" w:color="auto" w:fill="auto"/>
            <w:noWrap/>
            <w:hideMark/>
          </w:tcPr>
          <w:p w14:paraId="68EB089C" w14:textId="570ED5E0"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vAlign w:val="bottom"/>
            <w:hideMark/>
          </w:tcPr>
          <w:p w14:paraId="1BB6437B" w14:textId="77777777" w:rsidR="00577FBC" w:rsidRPr="00A125E8" w:rsidRDefault="00577FBC" w:rsidP="00577FBC">
            <w:pPr>
              <w:pStyle w:val="NoSpacing"/>
              <w:rPr>
                <w:lang w:eastAsia="en-CA"/>
              </w:rPr>
            </w:pPr>
            <w:r w:rsidRPr="00A125E8">
              <w:rPr>
                <w:lang w:eastAsia="en-CA"/>
              </w:rPr>
              <w:t>0</w:t>
            </w:r>
          </w:p>
        </w:tc>
      </w:tr>
      <w:tr w:rsidR="00577FBC" w:rsidRPr="00A125E8" w14:paraId="023F0F5D"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67135C9E" w14:textId="77777777" w:rsidR="00577FBC" w:rsidRPr="00A125E8" w:rsidRDefault="00577FBC" w:rsidP="00577FBC">
            <w:pPr>
              <w:pStyle w:val="NoSpacing"/>
              <w:rPr>
                <w:lang w:eastAsia="en-CA"/>
              </w:rPr>
            </w:pPr>
            <w:r>
              <w:rPr>
                <w:lang w:eastAsia="en-CA"/>
              </w:rPr>
              <w:t>Huron</w:t>
            </w:r>
          </w:p>
        </w:tc>
        <w:tc>
          <w:tcPr>
            <w:tcW w:w="2228" w:type="dxa"/>
            <w:tcBorders>
              <w:top w:val="nil"/>
              <w:left w:val="single" w:sz="4" w:space="0" w:color="auto"/>
              <w:bottom w:val="nil"/>
              <w:right w:val="single" w:sz="4" w:space="0" w:color="auto"/>
            </w:tcBorders>
            <w:shd w:val="clear" w:color="auto" w:fill="auto"/>
            <w:noWrap/>
            <w:vAlign w:val="bottom"/>
            <w:hideMark/>
          </w:tcPr>
          <w:p w14:paraId="6CD51960" w14:textId="77777777" w:rsidR="00577FBC" w:rsidRPr="00A125E8" w:rsidRDefault="00577FBC" w:rsidP="00577FBC">
            <w:pPr>
              <w:pStyle w:val="NoSpacing"/>
              <w:rPr>
                <w:lang w:eastAsia="en-CA"/>
              </w:rPr>
            </w:pPr>
            <w:r w:rsidRPr="00A125E8">
              <w:rPr>
                <w:lang w:eastAsia="en-CA"/>
              </w:rPr>
              <w:t>7</w:t>
            </w:r>
          </w:p>
        </w:tc>
        <w:tc>
          <w:tcPr>
            <w:tcW w:w="1502" w:type="dxa"/>
            <w:tcBorders>
              <w:top w:val="nil"/>
              <w:left w:val="single" w:sz="4" w:space="0" w:color="auto"/>
              <w:bottom w:val="nil"/>
              <w:right w:val="nil"/>
            </w:tcBorders>
            <w:shd w:val="clear" w:color="auto" w:fill="auto"/>
            <w:noWrap/>
            <w:hideMark/>
          </w:tcPr>
          <w:p w14:paraId="463B5B01" w14:textId="19805739" w:rsidR="00577FBC" w:rsidRPr="00A125E8" w:rsidRDefault="00577FBC" w:rsidP="00577FBC">
            <w:pPr>
              <w:pStyle w:val="NoSpacing"/>
              <w:rPr>
                <w:lang w:eastAsia="en-CA"/>
              </w:rPr>
            </w:pPr>
            <w:r w:rsidRPr="00DE0DC9">
              <w:t>7</w:t>
            </w:r>
          </w:p>
        </w:tc>
        <w:tc>
          <w:tcPr>
            <w:tcW w:w="1502" w:type="dxa"/>
            <w:tcBorders>
              <w:top w:val="nil"/>
              <w:left w:val="nil"/>
              <w:bottom w:val="nil"/>
              <w:right w:val="nil"/>
            </w:tcBorders>
            <w:shd w:val="clear" w:color="auto" w:fill="auto"/>
            <w:noWrap/>
            <w:hideMark/>
          </w:tcPr>
          <w:p w14:paraId="6E1F1B30" w14:textId="4815B0B6" w:rsidR="00577FBC" w:rsidRPr="00A125E8" w:rsidRDefault="00577FBC" w:rsidP="00577FBC">
            <w:pPr>
              <w:pStyle w:val="NoSpacing"/>
              <w:rPr>
                <w:lang w:eastAsia="en-CA"/>
              </w:rPr>
            </w:pPr>
            <w:r w:rsidRPr="00DE0DC9">
              <w:t>0</w:t>
            </w:r>
          </w:p>
        </w:tc>
        <w:tc>
          <w:tcPr>
            <w:tcW w:w="1502" w:type="dxa"/>
            <w:tcBorders>
              <w:top w:val="nil"/>
              <w:left w:val="nil"/>
              <w:bottom w:val="nil"/>
              <w:right w:val="nil"/>
            </w:tcBorders>
            <w:shd w:val="clear" w:color="auto" w:fill="auto"/>
            <w:noWrap/>
            <w:vAlign w:val="bottom"/>
            <w:hideMark/>
          </w:tcPr>
          <w:p w14:paraId="3A62FADF" w14:textId="77777777" w:rsidR="00577FBC" w:rsidRPr="00A125E8" w:rsidRDefault="00577FBC" w:rsidP="00577FBC">
            <w:pPr>
              <w:pStyle w:val="NoSpacing"/>
              <w:rPr>
                <w:lang w:eastAsia="en-CA"/>
              </w:rPr>
            </w:pPr>
            <w:r w:rsidRPr="00A125E8">
              <w:rPr>
                <w:lang w:eastAsia="en-CA"/>
              </w:rPr>
              <w:t>0</w:t>
            </w:r>
          </w:p>
        </w:tc>
      </w:tr>
      <w:tr w:rsidR="00577FBC" w:rsidRPr="00A125E8" w14:paraId="1E3E4228"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483D07CD" w14:textId="77777777" w:rsidR="00577FBC" w:rsidRPr="00A125E8" w:rsidRDefault="00577FBC" w:rsidP="00577FBC">
            <w:pPr>
              <w:pStyle w:val="NoSpacing"/>
              <w:rPr>
                <w:lang w:eastAsia="en-CA"/>
              </w:rPr>
            </w:pPr>
            <w:r w:rsidRPr="00A125E8">
              <w:rPr>
                <w:lang w:eastAsia="en-CA"/>
              </w:rPr>
              <w:t>Indiana</w:t>
            </w:r>
          </w:p>
        </w:tc>
        <w:tc>
          <w:tcPr>
            <w:tcW w:w="2228" w:type="dxa"/>
            <w:tcBorders>
              <w:top w:val="nil"/>
              <w:left w:val="single" w:sz="4" w:space="0" w:color="auto"/>
              <w:bottom w:val="nil"/>
              <w:right w:val="single" w:sz="4" w:space="0" w:color="auto"/>
            </w:tcBorders>
            <w:shd w:val="clear" w:color="auto" w:fill="auto"/>
            <w:noWrap/>
            <w:vAlign w:val="bottom"/>
            <w:hideMark/>
          </w:tcPr>
          <w:p w14:paraId="686112F9" w14:textId="77777777" w:rsidR="00577FBC" w:rsidRPr="00A125E8" w:rsidRDefault="00577FBC" w:rsidP="00577FBC">
            <w:pPr>
              <w:pStyle w:val="NoSpacing"/>
              <w:rPr>
                <w:lang w:eastAsia="en-CA"/>
              </w:rPr>
            </w:pPr>
            <w:r w:rsidRPr="00A125E8">
              <w:rPr>
                <w:lang w:eastAsia="en-CA"/>
              </w:rPr>
              <w:t>13</w:t>
            </w:r>
          </w:p>
        </w:tc>
        <w:tc>
          <w:tcPr>
            <w:tcW w:w="1502" w:type="dxa"/>
            <w:tcBorders>
              <w:top w:val="nil"/>
              <w:left w:val="single" w:sz="4" w:space="0" w:color="auto"/>
              <w:bottom w:val="nil"/>
              <w:right w:val="nil"/>
            </w:tcBorders>
            <w:shd w:val="clear" w:color="auto" w:fill="auto"/>
            <w:noWrap/>
            <w:hideMark/>
          </w:tcPr>
          <w:p w14:paraId="6F21C095" w14:textId="5A1972E1" w:rsidR="00577FBC" w:rsidRPr="00A125E8" w:rsidRDefault="00577FBC" w:rsidP="00577FBC">
            <w:pPr>
              <w:pStyle w:val="NoSpacing"/>
              <w:rPr>
                <w:lang w:eastAsia="en-CA"/>
              </w:rPr>
            </w:pPr>
            <w:r w:rsidRPr="00DE0DC9">
              <w:t>9</w:t>
            </w:r>
          </w:p>
        </w:tc>
        <w:tc>
          <w:tcPr>
            <w:tcW w:w="1502" w:type="dxa"/>
            <w:tcBorders>
              <w:top w:val="nil"/>
              <w:left w:val="nil"/>
              <w:bottom w:val="nil"/>
              <w:right w:val="nil"/>
            </w:tcBorders>
            <w:shd w:val="clear" w:color="auto" w:fill="auto"/>
            <w:noWrap/>
            <w:hideMark/>
          </w:tcPr>
          <w:p w14:paraId="7CE60412" w14:textId="7DA6582C" w:rsidR="00577FBC" w:rsidRPr="00A125E8" w:rsidRDefault="00577FBC" w:rsidP="00577FBC">
            <w:pPr>
              <w:pStyle w:val="NoSpacing"/>
              <w:rPr>
                <w:lang w:eastAsia="en-CA"/>
              </w:rPr>
            </w:pPr>
            <w:r w:rsidRPr="00DE0DC9">
              <w:t>4</w:t>
            </w:r>
          </w:p>
        </w:tc>
        <w:tc>
          <w:tcPr>
            <w:tcW w:w="1502" w:type="dxa"/>
            <w:tcBorders>
              <w:top w:val="nil"/>
              <w:left w:val="nil"/>
              <w:bottom w:val="nil"/>
              <w:right w:val="nil"/>
            </w:tcBorders>
            <w:shd w:val="clear" w:color="auto" w:fill="auto"/>
            <w:noWrap/>
            <w:vAlign w:val="bottom"/>
            <w:hideMark/>
          </w:tcPr>
          <w:p w14:paraId="1F370EC4" w14:textId="77777777" w:rsidR="00577FBC" w:rsidRPr="00A125E8" w:rsidRDefault="00577FBC" w:rsidP="00577FBC">
            <w:pPr>
              <w:pStyle w:val="NoSpacing"/>
              <w:rPr>
                <w:lang w:eastAsia="en-CA"/>
              </w:rPr>
            </w:pPr>
            <w:r w:rsidRPr="00A125E8">
              <w:rPr>
                <w:lang w:eastAsia="en-CA"/>
              </w:rPr>
              <w:t>0</w:t>
            </w:r>
          </w:p>
        </w:tc>
      </w:tr>
      <w:tr w:rsidR="00577FBC" w:rsidRPr="00A125E8" w14:paraId="62E795C0"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557CC0E9" w14:textId="77777777" w:rsidR="00577FBC" w:rsidRPr="00A125E8" w:rsidRDefault="00577FBC" w:rsidP="00577FBC">
            <w:pPr>
              <w:pStyle w:val="NoSpacing"/>
              <w:rPr>
                <w:lang w:eastAsia="en-CA"/>
              </w:rPr>
            </w:pPr>
            <w:r w:rsidRPr="00A125E8">
              <w:rPr>
                <w:lang w:eastAsia="en-CA"/>
              </w:rPr>
              <w:t>Illinois</w:t>
            </w:r>
          </w:p>
        </w:tc>
        <w:tc>
          <w:tcPr>
            <w:tcW w:w="2228" w:type="dxa"/>
            <w:tcBorders>
              <w:top w:val="nil"/>
              <w:left w:val="single" w:sz="4" w:space="0" w:color="auto"/>
              <w:bottom w:val="nil"/>
              <w:right w:val="single" w:sz="4" w:space="0" w:color="auto"/>
            </w:tcBorders>
            <w:shd w:val="clear" w:color="auto" w:fill="auto"/>
            <w:noWrap/>
            <w:vAlign w:val="bottom"/>
            <w:hideMark/>
          </w:tcPr>
          <w:p w14:paraId="2E019651" w14:textId="77777777" w:rsidR="00577FBC" w:rsidRPr="00A125E8" w:rsidRDefault="00577FBC" w:rsidP="00577FBC">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hideMark/>
          </w:tcPr>
          <w:p w14:paraId="0DF07BF1" w14:textId="7938690A" w:rsidR="00577FBC" w:rsidRPr="00A125E8" w:rsidRDefault="00577FBC" w:rsidP="00577FBC">
            <w:pPr>
              <w:pStyle w:val="NoSpacing"/>
              <w:rPr>
                <w:lang w:eastAsia="en-CA"/>
              </w:rPr>
            </w:pPr>
            <w:r w:rsidRPr="00DE0DC9">
              <w:t>7</w:t>
            </w:r>
          </w:p>
        </w:tc>
        <w:tc>
          <w:tcPr>
            <w:tcW w:w="1502" w:type="dxa"/>
            <w:tcBorders>
              <w:top w:val="nil"/>
              <w:left w:val="nil"/>
              <w:bottom w:val="nil"/>
              <w:right w:val="nil"/>
            </w:tcBorders>
            <w:shd w:val="clear" w:color="auto" w:fill="auto"/>
            <w:noWrap/>
            <w:hideMark/>
          </w:tcPr>
          <w:p w14:paraId="5DCF9036" w14:textId="3F570049"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vAlign w:val="bottom"/>
            <w:hideMark/>
          </w:tcPr>
          <w:p w14:paraId="7EDC4247" w14:textId="77777777" w:rsidR="00577FBC" w:rsidRPr="00A125E8" w:rsidRDefault="00577FBC" w:rsidP="00577FBC">
            <w:pPr>
              <w:pStyle w:val="NoSpacing"/>
              <w:rPr>
                <w:lang w:eastAsia="en-CA"/>
              </w:rPr>
            </w:pPr>
            <w:r w:rsidRPr="00A125E8">
              <w:rPr>
                <w:lang w:eastAsia="en-CA"/>
              </w:rPr>
              <w:t>0</w:t>
            </w:r>
          </w:p>
        </w:tc>
      </w:tr>
      <w:tr w:rsidR="00577FBC" w:rsidRPr="00A125E8" w14:paraId="220DC1F5"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6968DF9B" w14:textId="77777777" w:rsidR="00577FBC" w:rsidRPr="00A125E8" w:rsidRDefault="00577FBC" w:rsidP="00577FBC">
            <w:pPr>
              <w:pStyle w:val="NoSpacing"/>
              <w:rPr>
                <w:lang w:eastAsia="en-CA"/>
              </w:rPr>
            </w:pPr>
            <w:r w:rsidRPr="00A125E8">
              <w:rPr>
                <w:lang w:eastAsia="en-CA"/>
              </w:rPr>
              <w:t>Virginia</w:t>
            </w:r>
          </w:p>
        </w:tc>
        <w:tc>
          <w:tcPr>
            <w:tcW w:w="2228" w:type="dxa"/>
            <w:tcBorders>
              <w:top w:val="nil"/>
              <w:left w:val="single" w:sz="4" w:space="0" w:color="auto"/>
              <w:bottom w:val="nil"/>
              <w:right w:val="single" w:sz="4" w:space="0" w:color="auto"/>
            </w:tcBorders>
            <w:shd w:val="clear" w:color="auto" w:fill="auto"/>
            <w:noWrap/>
            <w:vAlign w:val="bottom"/>
            <w:hideMark/>
          </w:tcPr>
          <w:p w14:paraId="77573CFC" w14:textId="77777777" w:rsidR="00577FBC" w:rsidRPr="00A125E8" w:rsidRDefault="00577FBC" w:rsidP="00577FBC">
            <w:pPr>
              <w:pStyle w:val="NoSpacing"/>
              <w:rPr>
                <w:lang w:eastAsia="en-CA"/>
              </w:rPr>
            </w:pPr>
            <w:r w:rsidRPr="00A125E8">
              <w:rPr>
                <w:lang w:eastAsia="en-CA"/>
              </w:rPr>
              <w:t>21</w:t>
            </w:r>
          </w:p>
        </w:tc>
        <w:tc>
          <w:tcPr>
            <w:tcW w:w="1502" w:type="dxa"/>
            <w:tcBorders>
              <w:top w:val="nil"/>
              <w:left w:val="single" w:sz="4" w:space="0" w:color="auto"/>
              <w:bottom w:val="nil"/>
              <w:right w:val="nil"/>
            </w:tcBorders>
            <w:shd w:val="clear" w:color="auto" w:fill="auto"/>
            <w:noWrap/>
            <w:hideMark/>
          </w:tcPr>
          <w:p w14:paraId="68CB7D2A" w14:textId="11D20710" w:rsidR="00577FBC" w:rsidRPr="00A125E8" w:rsidRDefault="00577FBC" w:rsidP="00577FBC">
            <w:pPr>
              <w:pStyle w:val="NoSpacing"/>
              <w:rPr>
                <w:lang w:eastAsia="en-CA"/>
              </w:rPr>
            </w:pPr>
            <w:r w:rsidRPr="00DE0DC9">
              <w:t>1</w:t>
            </w:r>
            <w:r>
              <w:t>6</w:t>
            </w:r>
          </w:p>
        </w:tc>
        <w:tc>
          <w:tcPr>
            <w:tcW w:w="1502" w:type="dxa"/>
            <w:tcBorders>
              <w:top w:val="nil"/>
              <w:left w:val="nil"/>
              <w:bottom w:val="nil"/>
              <w:right w:val="nil"/>
            </w:tcBorders>
            <w:shd w:val="clear" w:color="auto" w:fill="auto"/>
            <w:noWrap/>
            <w:hideMark/>
          </w:tcPr>
          <w:p w14:paraId="618DAA91" w14:textId="4D66C8DA" w:rsidR="00577FBC" w:rsidRPr="00A125E8" w:rsidRDefault="00577FBC" w:rsidP="00577FBC">
            <w:pPr>
              <w:pStyle w:val="NoSpacing"/>
              <w:rPr>
                <w:lang w:eastAsia="en-CA"/>
              </w:rPr>
            </w:pPr>
            <w:r w:rsidRPr="00DE0DC9">
              <w:t>3</w:t>
            </w:r>
          </w:p>
        </w:tc>
        <w:tc>
          <w:tcPr>
            <w:tcW w:w="1502" w:type="dxa"/>
            <w:tcBorders>
              <w:top w:val="nil"/>
              <w:left w:val="nil"/>
              <w:bottom w:val="nil"/>
              <w:right w:val="nil"/>
            </w:tcBorders>
            <w:shd w:val="clear" w:color="auto" w:fill="auto"/>
            <w:noWrap/>
            <w:vAlign w:val="bottom"/>
            <w:hideMark/>
          </w:tcPr>
          <w:p w14:paraId="12D5759D" w14:textId="76815857" w:rsidR="00577FBC" w:rsidRPr="00A125E8" w:rsidRDefault="00577FBC" w:rsidP="00577FBC">
            <w:pPr>
              <w:pStyle w:val="NoSpacing"/>
              <w:rPr>
                <w:lang w:eastAsia="en-CA"/>
              </w:rPr>
            </w:pPr>
            <w:r>
              <w:rPr>
                <w:lang w:eastAsia="en-CA"/>
              </w:rPr>
              <w:t>2</w:t>
            </w:r>
          </w:p>
        </w:tc>
      </w:tr>
      <w:tr w:rsidR="00577FBC" w:rsidRPr="00A125E8" w14:paraId="4F8C5552"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04D69725" w14:textId="77777777" w:rsidR="00577FBC" w:rsidRPr="00A125E8" w:rsidRDefault="00577FBC" w:rsidP="00577FBC">
            <w:pPr>
              <w:pStyle w:val="NoSpacing"/>
              <w:rPr>
                <w:lang w:eastAsia="en-CA"/>
              </w:rPr>
            </w:pPr>
            <w:r w:rsidRPr="00A125E8">
              <w:rPr>
                <w:lang w:eastAsia="en-CA"/>
              </w:rPr>
              <w:t>Kentucky</w:t>
            </w:r>
          </w:p>
        </w:tc>
        <w:tc>
          <w:tcPr>
            <w:tcW w:w="2228" w:type="dxa"/>
            <w:tcBorders>
              <w:top w:val="nil"/>
              <w:left w:val="single" w:sz="4" w:space="0" w:color="auto"/>
              <w:bottom w:val="nil"/>
              <w:right w:val="single" w:sz="4" w:space="0" w:color="auto"/>
            </w:tcBorders>
            <w:shd w:val="clear" w:color="auto" w:fill="auto"/>
            <w:noWrap/>
            <w:vAlign w:val="bottom"/>
            <w:hideMark/>
          </w:tcPr>
          <w:p w14:paraId="37711054" w14:textId="77777777" w:rsidR="00577FBC" w:rsidRPr="00A125E8" w:rsidRDefault="00577FBC" w:rsidP="00577FBC">
            <w:pPr>
              <w:pStyle w:val="NoSpacing"/>
              <w:rPr>
                <w:lang w:eastAsia="en-CA"/>
              </w:rPr>
            </w:pPr>
            <w:r w:rsidRPr="00A125E8">
              <w:rPr>
                <w:lang w:eastAsia="en-CA"/>
              </w:rPr>
              <w:t>13</w:t>
            </w:r>
          </w:p>
        </w:tc>
        <w:tc>
          <w:tcPr>
            <w:tcW w:w="1502" w:type="dxa"/>
            <w:tcBorders>
              <w:top w:val="nil"/>
              <w:left w:val="single" w:sz="4" w:space="0" w:color="auto"/>
              <w:bottom w:val="nil"/>
              <w:right w:val="nil"/>
            </w:tcBorders>
            <w:shd w:val="clear" w:color="auto" w:fill="auto"/>
            <w:noWrap/>
            <w:hideMark/>
          </w:tcPr>
          <w:p w14:paraId="078C2E9A" w14:textId="1D908E59" w:rsidR="00577FBC" w:rsidRPr="00A125E8" w:rsidRDefault="00577FBC" w:rsidP="00577FBC">
            <w:pPr>
              <w:pStyle w:val="NoSpacing"/>
              <w:rPr>
                <w:lang w:eastAsia="en-CA"/>
              </w:rPr>
            </w:pPr>
            <w:r w:rsidRPr="00DE0DC9">
              <w:t>4</w:t>
            </w:r>
          </w:p>
        </w:tc>
        <w:tc>
          <w:tcPr>
            <w:tcW w:w="1502" w:type="dxa"/>
            <w:tcBorders>
              <w:top w:val="nil"/>
              <w:left w:val="nil"/>
              <w:bottom w:val="nil"/>
              <w:right w:val="nil"/>
            </w:tcBorders>
            <w:shd w:val="clear" w:color="auto" w:fill="auto"/>
            <w:noWrap/>
            <w:hideMark/>
          </w:tcPr>
          <w:p w14:paraId="27E47362" w14:textId="32975682" w:rsidR="00577FBC" w:rsidRPr="00A125E8" w:rsidRDefault="00577FBC" w:rsidP="00577FBC">
            <w:pPr>
              <w:pStyle w:val="NoSpacing"/>
              <w:rPr>
                <w:lang w:eastAsia="en-CA"/>
              </w:rPr>
            </w:pPr>
            <w:r w:rsidRPr="00DE0DC9">
              <w:t>9</w:t>
            </w:r>
          </w:p>
        </w:tc>
        <w:tc>
          <w:tcPr>
            <w:tcW w:w="1502" w:type="dxa"/>
            <w:tcBorders>
              <w:top w:val="nil"/>
              <w:left w:val="nil"/>
              <w:bottom w:val="nil"/>
              <w:right w:val="nil"/>
            </w:tcBorders>
            <w:shd w:val="clear" w:color="auto" w:fill="auto"/>
            <w:noWrap/>
            <w:vAlign w:val="bottom"/>
            <w:hideMark/>
          </w:tcPr>
          <w:p w14:paraId="022B3B3D" w14:textId="77777777" w:rsidR="00577FBC" w:rsidRPr="00A125E8" w:rsidRDefault="00577FBC" w:rsidP="00577FBC">
            <w:pPr>
              <w:pStyle w:val="NoSpacing"/>
              <w:rPr>
                <w:lang w:eastAsia="en-CA"/>
              </w:rPr>
            </w:pPr>
            <w:r w:rsidRPr="00A125E8">
              <w:rPr>
                <w:lang w:eastAsia="en-CA"/>
              </w:rPr>
              <w:t>0</w:t>
            </w:r>
          </w:p>
        </w:tc>
      </w:tr>
      <w:tr w:rsidR="00577FBC" w:rsidRPr="00A125E8" w14:paraId="2F5EC2B8"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55B2138A" w14:textId="77777777" w:rsidR="00577FBC" w:rsidRPr="00A125E8" w:rsidRDefault="00577FBC" w:rsidP="00577FBC">
            <w:pPr>
              <w:pStyle w:val="NoSpacing"/>
              <w:rPr>
                <w:lang w:eastAsia="en-CA"/>
              </w:rPr>
            </w:pPr>
            <w:r w:rsidRPr="00A125E8">
              <w:rPr>
                <w:lang w:eastAsia="en-CA"/>
              </w:rPr>
              <w:t>Tennessee</w:t>
            </w:r>
          </w:p>
        </w:tc>
        <w:tc>
          <w:tcPr>
            <w:tcW w:w="2228" w:type="dxa"/>
            <w:tcBorders>
              <w:top w:val="nil"/>
              <w:left w:val="single" w:sz="4" w:space="0" w:color="auto"/>
              <w:bottom w:val="nil"/>
              <w:right w:val="single" w:sz="4" w:space="0" w:color="auto"/>
            </w:tcBorders>
            <w:shd w:val="clear" w:color="auto" w:fill="auto"/>
            <w:noWrap/>
            <w:vAlign w:val="bottom"/>
            <w:hideMark/>
          </w:tcPr>
          <w:p w14:paraId="2BA4836E" w14:textId="77777777" w:rsidR="00577FBC" w:rsidRPr="00A125E8" w:rsidRDefault="00577FBC" w:rsidP="00577FBC">
            <w:pPr>
              <w:pStyle w:val="NoSpacing"/>
              <w:rPr>
                <w:lang w:eastAsia="en-CA"/>
              </w:rPr>
            </w:pPr>
            <w:r w:rsidRPr="00A125E8">
              <w:rPr>
                <w:lang w:eastAsia="en-CA"/>
              </w:rPr>
              <w:t>12</w:t>
            </w:r>
          </w:p>
        </w:tc>
        <w:tc>
          <w:tcPr>
            <w:tcW w:w="1502" w:type="dxa"/>
            <w:tcBorders>
              <w:top w:val="nil"/>
              <w:left w:val="single" w:sz="4" w:space="0" w:color="auto"/>
              <w:bottom w:val="nil"/>
              <w:right w:val="nil"/>
            </w:tcBorders>
            <w:shd w:val="clear" w:color="auto" w:fill="auto"/>
            <w:noWrap/>
            <w:hideMark/>
          </w:tcPr>
          <w:p w14:paraId="6152D4D2" w14:textId="60DC37EA" w:rsidR="00577FBC" w:rsidRPr="00A125E8" w:rsidRDefault="00577FBC" w:rsidP="00577FBC">
            <w:pPr>
              <w:pStyle w:val="NoSpacing"/>
              <w:rPr>
                <w:lang w:eastAsia="en-CA"/>
              </w:rPr>
            </w:pPr>
            <w:r w:rsidRPr="00DE0DC9">
              <w:t>10</w:t>
            </w:r>
          </w:p>
        </w:tc>
        <w:tc>
          <w:tcPr>
            <w:tcW w:w="1502" w:type="dxa"/>
            <w:tcBorders>
              <w:top w:val="nil"/>
              <w:left w:val="nil"/>
              <w:bottom w:val="nil"/>
              <w:right w:val="nil"/>
            </w:tcBorders>
            <w:shd w:val="clear" w:color="auto" w:fill="auto"/>
            <w:noWrap/>
            <w:hideMark/>
          </w:tcPr>
          <w:p w14:paraId="41BB6F87" w14:textId="444376F3"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vAlign w:val="bottom"/>
            <w:hideMark/>
          </w:tcPr>
          <w:p w14:paraId="4EB275D1" w14:textId="77777777" w:rsidR="00577FBC" w:rsidRPr="00A125E8" w:rsidRDefault="00577FBC" w:rsidP="00577FBC">
            <w:pPr>
              <w:pStyle w:val="NoSpacing"/>
              <w:rPr>
                <w:lang w:eastAsia="en-CA"/>
              </w:rPr>
            </w:pPr>
            <w:r w:rsidRPr="00A125E8">
              <w:rPr>
                <w:lang w:eastAsia="en-CA"/>
              </w:rPr>
              <w:t>0</w:t>
            </w:r>
          </w:p>
        </w:tc>
      </w:tr>
      <w:tr w:rsidR="00577FBC" w:rsidRPr="00A125E8" w14:paraId="090514A5"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6160E6FB" w14:textId="77777777" w:rsidR="00577FBC" w:rsidRPr="00A125E8" w:rsidRDefault="00577FBC" w:rsidP="00577FBC">
            <w:pPr>
              <w:pStyle w:val="NoSpacing"/>
              <w:rPr>
                <w:lang w:eastAsia="en-CA"/>
              </w:rPr>
            </w:pPr>
            <w:r w:rsidRPr="00A125E8">
              <w:rPr>
                <w:lang w:eastAsia="en-CA"/>
              </w:rPr>
              <w:t>North Carolina</w:t>
            </w:r>
          </w:p>
        </w:tc>
        <w:tc>
          <w:tcPr>
            <w:tcW w:w="2228" w:type="dxa"/>
            <w:tcBorders>
              <w:top w:val="nil"/>
              <w:left w:val="single" w:sz="4" w:space="0" w:color="auto"/>
              <w:bottom w:val="nil"/>
              <w:right w:val="single" w:sz="4" w:space="0" w:color="auto"/>
            </w:tcBorders>
            <w:shd w:val="clear" w:color="auto" w:fill="auto"/>
            <w:noWrap/>
            <w:vAlign w:val="bottom"/>
            <w:hideMark/>
          </w:tcPr>
          <w:p w14:paraId="5D8A18BA" w14:textId="77777777" w:rsidR="00577FBC" w:rsidRPr="00A125E8" w:rsidRDefault="00577FBC" w:rsidP="00577FBC">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hideMark/>
          </w:tcPr>
          <w:p w14:paraId="15E386D7" w14:textId="3E891A89" w:rsidR="00577FBC" w:rsidRPr="00A125E8" w:rsidRDefault="00577FBC" w:rsidP="00577FBC">
            <w:pPr>
              <w:pStyle w:val="NoSpacing"/>
              <w:rPr>
                <w:lang w:eastAsia="en-CA"/>
              </w:rPr>
            </w:pPr>
            <w:r w:rsidRPr="00DE0DC9">
              <w:t>8</w:t>
            </w:r>
          </w:p>
        </w:tc>
        <w:tc>
          <w:tcPr>
            <w:tcW w:w="1502" w:type="dxa"/>
            <w:tcBorders>
              <w:top w:val="nil"/>
              <w:left w:val="nil"/>
              <w:bottom w:val="nil"/>
              <w:right w:val="nil"/>
            </w:tcBorders>
            <w:shd w:val="clear" w:color="auto" w:fill="auto"/>
            <w:noWrap/>
            <w:hideMark/>
          </w:tcPr>
          <w:p w14:paraId="54B8B5D4" w14:textId="209EEF13"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vAlign w:val="bottom"/>
            <w:hideMark/>
          </w:tcPr>
          <w:p w14:paraId="4D246A0B" w14:textId="77777777" w:rsidR="00577FBC" w:rsidRPr="00A125E8" w:rsidRDefault="00577FBC" w:rsidP="00577FBC">
            <w:pPr>
              <w:pStyle w:val="NoSpacing"/>
              <w:rPr>
                <w:lang w:eastAsia="en-CA"/>
              </w:rPr>
            </w:pPr>
            <w:r w:rsidRPr="00A125E8">
              <w:rPr>
                <w:lang w:eastAsia="en-CA"/>
              </w:rPr>
              <w:t>0</w:t>
            </w:r>
          </w:p>
        </w:tc>
      </w:tr>
      <w:tr w:rsidR="00577FBC" w:rsidRPr="00A125E8" w14:paraId="48547CEA"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22F5BFF5" w14:textId="77777777" w:rsidR="00577FBC" w:rsidRPr="00A125E8" w:rsidRDefault="00577FBC" w:rsidP="00577FBC">
            <w:pPr>
              <w:pStyle w:val="NoSpacing"/>
              <w:rPr>
                <w:lang w:eastAsia="en-CA"/>
              </w:rPr>
            </w:pPr>
            <w:r w:rsidRPr="00A125E8">
              <w:rPr>
                <w:lang w:eastAsia="en-CA"/>
              </w:rPr>
              <w:t>South Carolina</w:t>
            </w:r>
          </w:p>
        </w:tc>
        <w:tc>
          <w:tcPr>
            <w:tcW w:w="2228" w:type="dxa"/>
            <w:tcBorders>
              <w:top w:val="nil"/>
              <w:left w:val="single" w:sz="4" w:space="0" w:color="auto"/>
              <w:bottom w:val="nil"/>
              <w:right w:val="single" w:sz="4" w:space="0" w:color="auto"/>
            </w:tcBorders>
            <w:shd w:val="clear" w:color="auto" w:fill="auto"/>
            <w:noWrap/>
            <w:vAlign w:val="bottom"/>
            <w:hideMark/>
          </w:tcPr>
          <w:p w14:paraId="48D1CE74" w14:textId="77777777" w:rsidR="00577FBC" w:rsidRPr="00A125E8" w:rsidRDefault="00577FBC" w:rsidP="00577FBC">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hideMark/>
          </w:tcPr>
          <w:p w14:paraId="33EA17AD" w14:textId="4D8C86FC" w:rsidR="00577FBC" w:rsidRPr="00A125E8" w:rsidRDefault="00577FBC" w:rsidP="00577FBC">
            <w:pPr>
              <w:pStyle w:val="NoSpacing"/>
              <w:rPr>
                <w:lang w:eastAsia="en-CA"/>
              </w:rPr>
            </w:pPr>
            <w:r>
              <w:rPr>
                <w:lang w:eastAsia="en-CA"/>
              </w:rPr>
              <w:t>6</w:t>
            </w:r>
          </w:p>
        </w:tc>
        <w:tc>
          <w:tcPr>
            <w:tcW w:w="1502" w:type="dxa"/>
            <w:tcBorders>
              <w:top w:val="nil"/>
              <w:left w:val="nil"/>
              <w:bottom w:val="nil"/>
              <w:right w:val="nil"/>
            </w:tcBorders>
            <w:shd w:val="clear" w:color="auto" w:fill="auto"/>
            <w:noWrap/>
            <w:hideMark/>
          </w:tcPr>
          <w:p w14:paraId="369B1207" w14:textId="72618425" w:rsidR="00577FBC" w:rsidRPr="00A125E8" w:rsidRDefault="00577FBC" w:rsidP="00577FBC">
            <w:pPr>
              <w:pStyle w:val="NoSpacing"/>
              <w:rPr>
                <w:lang w:eastAsia="en-CA"/>
              </w:rPr>
            </w:pPr>
            <w:r w:rsidRPr="00DE0DC9">
              <w:t>0</w:t>
            </w:r>
          </w:p>
        </w:tc>
        <w:tc>
          <w:tcPr>
            <w:tcW w:w="1502" w:type="dxa"/>
            <w:tcBorders>
              <w:top w:val="nil"/>
              <w:left w:val="nil"/>
              <w:bottom w:val="nil"/>
              <w:right w:val="nil"/>
            </w:tcBorders>
            <w:shd w:val="clear" w:color="auto" w:fill="auto"/>
            <w:noWrap/>
            <w:vAlign w:val="bottom"/>
            <w:hideMark/>
          </w:tcPr>
          <w:p w14:paraId="760F69A3" w14:textId="1AE4E8D9" w:rsidR="00577FBC" w:rsidRPr="00A125E8" w:rsidRDefault="00577FBC" w:rsidP="00577FBC">
            <w:pPr>
              <w:pStyle w:val="NoSpacing"/>
              <w:rPr>
                <w:lang w:eastAsia="en-CA"/>
              </w:rPr>
            </w:pPr>
            <w:r>
              <w:rPr>
                <w:lang w:eastAsia="en-CA"/>
              </w:rPr>
              <w:t>4</w:t>
            </w:r>
          </w:p>
        </w:tc>
      </w:tr>
      <w:tr w:rsidR="00577FBC" w:rsidRPr="00A125E8" w14:paraId="52F878C5"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6C48E9A8" w14:textId="77777777" w:rsidR="00577FBC" w:rsidRPr="00A125E8" w:rsidRDefault="00577FBC" w:rsidP="00577FBC">
            <w:pPr>
              <w:pStyle w:val="NoSpacing"/>
              <w:rPr>
                <w:lang w:eastAsia="en-CA"/>
              </w:rPr>
            </w:pPr>
            <w:r w:rsidRPr="00A125E8">
              <w:rPr>
                <w:lang w:eastAsia="en-CA"/>
              </w:rPr>
              <w:t>Georgia</w:t>
            </w:r>
          </w:p>
        </w:tc>
        <w:tc>
          <w:tcPr>
            <w:tcW w:w="2228" w:type="dxa"/>
            <w:tcBorders>
              <w:top w:val="nil"/>
              <w:left w:val="single" w:sz="4" w:space="0" w:color="auto"/>
              <w:bottom w:val="nil"/>
              <w:right w:val="single" w:sz="4" w:space="0" w:color="auto"/>
            </w:tcBorders>
            <w:shd w:val="clear" w:color="auto" w:fill="auto"/>
            <w:noWrap/>
            <w:vAlign w:val="bottom"/>
            <w:hideMark/>
          </w:tcPr>
          <w:p w14:paraId="4438CB44" w14:textId="77777777" w:rsidR="00577FBC" w:rsidRPr="00A125E8" w:rsidRDefault="00577FBC" w:rsidP="00577FBC">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hideMark/>
          </w:tcPr>
          <w:p w14:paraId="51DAC5A5" w14:textId="781EAA6A" w:rsidR="00577FBC" w:rsidRPr="00A125E8" w:rsidRDefault="00577FBC" w:rsidP="00577FBC">
            <w:pPr>
              <w:pStyle w:val="NoSpacing"/>
              <w:rPr>
                <w:lang w:eastAsia="en-CA"/>
              </w:rPr>
            </w:pPr>
            <w:r w:rsidRPr="00DE0DC9">
              <w:t>9</w:t>
            </w:r>
          </w:p>
        </w:tc>
        <w:tc>
          <w:tcPr>
            <w:tcW w:w="1502" w:type="dxa"/>
            <w:tcBorders>
              <w:top w:val="nil"/>
              <w:left w:val="nil"/>
              <w:bottom w:val="nil"/>
              <w:right w:val="nil"/>
            </w:tcBorders>
            <w:shd w:val="clear" w:color="auto" w:fill="auto"/>
            <w:noWrap/>
            <w:hideMark/>
          </w:tcPr>
          <w:p w14:paraId="50DD31E4" w14:textId="08434662"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vAlign w:val="bottom"/>
            <w:hideMark/>
          </w:tcPr>
          <w:p w14:paraId="50CFE7B2" w14:textId="77777777" w:rsidR="00577FBC" w:rsidRPr="00A125E8" w:rsidRDefault="00577FBC" w:rsidP="00577FBC">
            <w:pPr>
              <w:pStyle w:val="NoSpacing"/>
              <w:rPr>
                <w:lang w:eastAsia="en-CA"/>
              </w:rPr>
            </w:pPr>
            <w:r w:rsidRPr="00A125E8">
              <w:rPr>
                <w:lang w:eastAsia="en-CA"/>
              </w:rPr>
              <w:t>0</w:t>
            </w:r>
          </w:p>
        </w:tc>
      </w:tr>
      <w:tr w:rsidR="00577FBC" w:rsidRPr="00A125E8" w14:paraId="0930BCD4"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213E06FE" w14:textId="77777777" w:rsidR="00577FBC" w:rsidRPr="00A125E8" w:rsidRDefault="00577FBC" w:rsidP="00577FBC">
            <w:pPr>
              <w:pStyle w:val="NoSpacing"/>
              <w:rPr>
                <w:lang w:eastAsia="en-CA"/>
              </w:rPr>
            </w:pPr>
            <w:r w:rsidRPr="00A125E8">
              <w:rPr>
                <w:lang w:eastAsia="en-CA"/>
              </w:rPr>
              <w:t>Yazoo</w:t>
            </w:r>
          </w:p>
        </w:tc>
        <w:tc>
          <w:tcPr>
            <w:tcW w:w="2228" w:type="dxa"/>
            <w:tcBorders>
              <w:top w:val="nil"/>
              <w:left w:val="single" w:sz="4" w:space="0" w:color="auto"/>
              <w:bottom w:val="nil"/>
              <w:right w:val="single" w:sz="4" w:space="0" w:color="auto"/>
            </w:tcBorders>
            <w:shd w:val="clear" w:color="auto" w:fill="auto"/>
            <w:noWrap/>
            <w:vAlign w:val="bottom"/>
            <w:hideMark/>
          </w:tcPr>
          <w:p w14:paraId="639F078D" w14:textId="77777777" w:rsidR="00577FBC" w:rsidRPr="00A125E8" w:rsidRDefault="00577FBC" w:rsidP="00577FBC">
            <w:pPr>
              <w:pStyle w:val="NoSpacing"/>
              <w:rPr>
                <w:lang w:eastAsia="en-CA"/>
              </w:rPr>
            </w:pPr>
            <w:r w:rsidRPr="00A125E8">
              <w:rPr>
                <w:lang w:eastAsia="en-CA"/>
              </w:rPr>
              <w:t>10</w:t>
            </w:r>
          </w:p>
        </w:tc>
        <w:tc>
          <w:tcPr>
            <w:tcW w:w="1502" w:type="dxa"/>
            <w:tcBorders>
              <w:top w:val="nil"/>
              <w:left w:val="single" w:sz="4" w:space="0" w:color="auto"/>
              <w:bottom w:val="nil"/>
              <w:right w:val="nil"/>
            </w:tcBorders>
            <w:shd w:val="clear" w:color="auto" w:fill="auto"/>
            <w:noWrap/>
            <w:hideMark/>
          </w:tcPr>
          <w:p w14:paraId="66F19EC9" w14:textId="64AAEFA7" w:rsidR="00577FBC" w:rsidRPr="00A125E8" w:rsidRDefault="00577FBC" w:rsidP="00577FBC">
            <w:pPr>
              <w:pStyle w:val="NoSpacing"/>
              <w:rPr>
                <w:lang w:eastAsia="en-CA"/>
              </w:rPr>
            </w:pPr>
            <w:r w:rsidRPr="00DE0DC9">
              <w:t>9</w:t>
            </w:r>
          </w:p>
        </w:tc>
        <w:tc>
          <w:tcPr>
            <w:tcW w:w="1502" w:type="dxa"/>
            <w:tcBorders>
              <w:top w:val="nil"/>
              <w:left w:val="nil"/>
              <w:bottom w:val="nil"/>
              <w:right w:val="nil"/>
            </w:tcBorders>
            <w:shd w:val="clear" w:color="auto" w:fill="auto"/>
            <w:noWrap/>
            <w:hideMark/>
          </w:tcPr>
          <w:p w14:paraId="5E657ACE" w14:textId="28D90537"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vAlign w:val="bottom"/>
            <w:hideMark/>
          </w:tcPr>
          <w:p w14:paraId="76251F5A" w14:textId="77777777" w:rsidR="00577FBC" w:rsidRPr="00A125E8" w:rsidRDefault="00577FBC" w:rsidP="00577FBC">
            <w:pPr>
              <w:pStyle w:val="NoSpacing"/>
              <w:rPr>
                <w:lang w:eastAsia="en-CA"/>
              </w:rPr>
            </w:pPr>
            <w:r w:rsidRPr="00A125E8">
              <w:rPr>
                <w:lang w:eastAsia="en-CA"/>
              </w:rPr>
              <w:t>0</w:t>
            </w:r>
          </w:p>
        </w:tc>
      </w:tr>
      <w:tr w:rsidR="00577FBC" w:rsidRPr="00A125E8" w14:paraId="02786531"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2DC8D1AE" w14:textId="77777777" w:rsidR="00577FBC" w:rsidRPr="00A125E8" w:rsidRDefault="00577FBC" w:rsidP="00577FBC">
            <w:pPr>
              <w:pStyle w:val="NoSpacing"/>
              <w:rPr>
                <w:lang w:eastAsia="en-CA"/>
              </w:rPr>
            </w:pPr>
            <w:r w:rsidRPr="00A125E8">
              <w:rPr>
                <w:lang w:eastAsia="en-CA"/>
              </w:rPr>
              <w:t>Mississippi</w:t>
            </w:r>
          </w:p>
        </w:tc>
        <w:tc>
          <w:tcPr>
            <w:tcW w:w="2228" w:type="dxa"/>
            <w:tcBorders>
              <w:top w:val="nil"/>
              <w:left w:val="single" w:sz="4" w:space="0" w:color="auto"/>
              <w:bottom w:val="nil"/>
              <w:right w:val="single" w:sz="4" w:space="0" w:color="auto"/>
            </w:tcBorders>
            <w:shd w:val="clear" w:color="auto" w:fill="auto"/>
            <w:noWrap/>
            <w:vAlign w:val="bottom"/>
            <w:hideMark/>
          </w:tcPr>
          <w:p w14:paraId="0C20D0B0" w14:textId="77777777" w:rsidR="00577FBC" w:rsidRPr="00A125E8" w:rsidRDefault="00577FBC" w:rsidP="00577FBC">
            <w:pPr>
              <w:pStyle w:val="NoSpacing"/>
              <w:rPr>
                <w:lang w:eastAsia="en-CA"/>
              </w:rPr>
            </w:pPr>
            <w:r w:rsidRPr="00A125E8">
              <w:rPr>
                <w:lang w:eastAsia="en-CA"/>
              </w:rPr>
              <w:t>5</w:t>
            </w:r>
          </w:p>
        </w:tc>
        <w:tc>
          <w:tcPr>
            <w:tcW w:w="1502" w:type="dxa"/>
            <w:tcBorders>
              <w:top w:val="nil"/>
              <w:left w:val="single" w:sz="4" w:space="0" w:color="auto"/>
              <w:bottom w:val="nil"/>
              <w:right w:val="nil"/>
            </w:tcBorders>
            <w:shd w:val="clear" w:color="auto" w:fill="auto"/>
            <w:noWrap/>
            <w:hideMark/>
          </w:tcPr>
          <w:p w14:paraId="61F2A68F" w14:textId="14C96657" w:rsidR="00577FBC" w:rsidRPr="00A125E8" w:rsidRDefault="00577FBC" w:rsidP="00577FBC">
            <w:pPr>
              <w:pStyle w:val="NoSpacing"/>
              <w:rPr>
                <w:lang w:eastAsia="en-CA"/>
              </w:rPr>
            </w:pPr>
            <w:r w:rsidRPr="00DE0DC9">
              <w:t>4</w:t>
            </w:r>
          </w:p>
        </w:tc>
        <w:tc>
          <w:tcPr>
            <w:tcW w:w="1502" w:type="dxa"/>
            <w:tcBorders>
              <w:top w:val="nil"/>
              <w:left w:val="nil"/>
              <w:bottom w:val="nil"/>
              <w:right w:val="nil"/>
            </w:tcBorders>
            <w:shd w:val="clear" w:color="auto" w:fill="auto"/>
            <w:noWrap/>
            <w:hideMark/>
          </w:tcPr>
          <w:p w14:paraId="34ECA5C0" w14:textId="64BDF594" w:rsidR="00577FBC" w:rsidRPr="00A125E8" w:rsidRDefault="00577FBC" w:rsidP="00577FBC">
            <w:pPr>
              <w:pStyle w:val="NoSpacing"/>
              <w:rPr>
                <w:lang w:eastAsia="en-CA"/>
              </w:rPr>
            </w:pPr>
            <w:r w:rsidRPr="00DE0DC9">
              <w:t>1</w:t>
            </w:r>
          </w:p>
        </w:tc>
        <w:tc>
          <w:tcPr>
            <w:tcW w:w="1502" w:type="dxa"/>
            <w:tcBorders>
              <w:top w:val="nil"/>
              <w:left w:val="nil"/>
              <w:bottom w:val="nil"/>
              <w:right w:val="nil"/>
            </w:tcBorders>
            <w:shd w:val="clear" w:color="auto" w:fill="auto"/>
            <w:noWrap/>
            <w:vAlign w:val="bottom"/>
            <w:hideMark/>
          </w:tcPr>
          <w:p w14:paraId="759F7C81" w14:textId="77777777" w:rsidR="00577FBC" w:rsidRPr="00A125E8" w:rsidRDefault="00577FBC" w:rsidP="00577FBC">
            <w:pPr>
              <w:pStyle w:val="NoSpacing"/>
              <w:rPr>
                <w:lang w:eastAsia="en-CA"/>
              </w:rPr>
            </w:pPr>
            <w:r w:rsidRPr="00A125E8">
              <w:rPr>
                <w:lang w:eastAsia="en-CA"/>
              </w:rPr>
              <w:t>0</w:t>
            </w:r>
          </w:p>
        </w:tc>
      </w:tr>
      <w:tr w:rsidR="00577FBC" w:rsidRPr="00A125E8" w14:paraId="290D4F77" w14:textId="77777777" w:rsidTr="00391575">
        <w:trPr>
          <w:trHeight w:val="284"/>
        </w:trPr>
        <w:tc>
          <w:tcPr>
            <w:tcW w:w="2557" w:type="dxa"/>
            <w:tcBorders>
              <w:top w:val="nil"/>
              <w:left w:val="nil"/>
              <w:bottom w:val="nil"/>
              <w:right w:val="single" w:sz="4" w:space="0" w:color="auto"/>
            </w:tcBorders>
            <w:shd w:val="clear" w:color="auto" w:fill="auto"/>
            <w:noWrap/>
            <w:vAlign w:val="bottom"/>
            <w:hideMark/>
          </w:tcPr>
          <w:p w14:paraId="5FCEB3E2" w14:textId="77777777" w:rsidR="00577FBC" w:rsidRPr="00A125E8" w:rsidRDefault="00577FBC" w:rsidP="00577FBC">
            <w:pPr>
              <w:pStyle w:val="NoSpacing"/>
              <w:rPr>
                <w:lang w:eastAsia="en-CA"/>
              </w:rPr>
            </w:pPr>
            <w:r w:rsidRPr="00A125E8">
              <w:rPr>
                <w:lang w:eastAsia="en-CA"/>
              </w:rPr>
              <w:t>Missouri</w:t>
            </w:r>
          </w:p>
        </w:tc>
        <w:tc>
          <w:tcPr>
            <w:tcW w:w="2228" w:type="dxa"/>
            <w:tcBorders>
              <w:top w:val="nil"/>
              <w:left w:val="single" w:sz="4" w:space="0" w:color="auto"/>
              <w:bottom w:val="nil"/>
              <w:right w:val="single" w:sz="4" w:space="0" w:color="auto"/>
            </w:tcBorders>
            <w:shd w:val="clear" w:color="auto" w:fill="auto"/>
            <w:noWrap/>
            <w:vAlign w:val="bottom"/>
            <w:hideMark/>
          </w:tcPr>
          <w:p w14:paraId="17D7CFF4" w14:textId="77777777" w:rsidR="00577FBC" w:rsidRPr="00A125E8" w:rsidRDefault="00577FBC" w:rsidP="00577FBC">
            <w:pPr>
              <w:pStyle w:val="NoSpacing"/>
              <w:rPr>
                <w:lang w:eastAsia="en-CA"/>
              </w:rPr>
            </w:pPr>
            <w:r w:rsidRPr="00A125E8">
              <w:rPr>
                <w:lang w:eastAsia="en-CA"/>
              </w:rPr>
              <w:t>9</w:t>
            </w:r>
          </w:p>
        </w:tc>
        <w:tc>
          <w:tcPr>
            <w:tcW w:w="1502" w:type="dxa"/>
            <w:tcBorders>
              <w:top w:val="nil"/>
              <w:left w:val="single" w:sz="4" w:space="0" w:color="auto"/>
              <w:bottom w:val="nil"/>
              <w:right w:val="nil"/>
            </w:tcBorders>
            <w:shd w:val="clear" w:color="auto" w:fill="auto"/>
            <w:noWrap/>
            <w:hideMark/>
          </w:tcPr>
          <w:p w14:paraId="4D518EDE" w14:textId="5096DE4F" w:rsidR="00577FBC" w:rsidRPr="00A125E8" w:rsidRDefault="00577FBC" w:rsidP="00577FBC">
            <w:pPr>
              <w:pStyle w:val="NoSpacing"/>
              <w:rPr>
                <w:lang w:eastAsia="en-CA"/>
              </w:rPr>
            </w:pPr>
            <w:r w:rsidRPr="00DE0DC9">
              <w:t>7</w:t>
            </w:r>
          </w:p>
        </w:tc>
        <w:tc>
          <w:tcPr>
            <w:tcW w:w="1502" w:type="dxa"/>
            <w:tcBorders>
              <w:top w:val="nil"/>
              <w:left w:val="nil"/>
              <w:bottom w:val="nil"/>
              <w:right w:val="nil"/>
            </w:tcBorders>
            <w:shd w:val="clear" w:color="auto" w:fill="auto"/>
            <w:noWrap/>
            <w:hideMark/>
          </w:tcPr>
          <w:p w14:paraId="4CE2C293" w14:textId="69EC82C6" w:rsidR="00577FBC" w:rsidRPr="00A125E8" w:rsidRDefault="00577FBC" w:rsidP="00577FBC">
            <w:pPr>
              <w:pStyle w:val="NoSpacing"/>
              <w:rPr>
                <w:lang w:eastAsia="en-CA"/>
              </w:rPr>
            </w:pPr>
            <w:r w:rsidRPr="00DE0DC9">
              <w:t>2</w:t>
            </w:r>
          </w:p>
        </w:tc>
        <w:tc>
          <w:tcPr>
            <w:tcW w:w="1502" w:type="dxa"/>
            <w:tcBorders>
              <w:top w:val="nil"/>
              <w:left w:val="nil"/>
              <w:bottom w:val="nil"/>
              <w:right w:val="nil"/>
            </w:tcBorders>
            <w:shd w:val="clear" w:color="auto" w:fill="auto"/>
            <w:noWrap/>
            <w:vAlign w:val="bottom"/>
            <w:hideMark/>
          </w:tcPr>
          <w:p w14:paraId="324F58C5" w14:textId="77777777" w:rsidR="00577FBC" w:rsidRPr="00A125E8" w:rsidRDefault="00577FBC" w:rsidP="00577FBC">
            <w:pPr>
              <w:pStyle w:val="NoSpacing"/>
              <w:rPr>
                <w:lang w:eastAsia="en-CA"/>
              </w:rPr>
            </w:pPr>
            <w:r w:rsidRPr="00A125E8">
              <w:rPr>
                <w:lang w:eastAsia="en-CA"/>
              </w:rPr>
              <w:t>0</w:t>
            </w:r>
          </w:p>
        </w:tc>
      </w:tr>
      <w:tr w:rsidR="00577FBC" w:rsidRPr="00A125E8" w14:paraId="5D09B866" w14:textId="77777777" w:rsidTr="00391575">
        <w:trPr>
          <w:trHeight w:val="284"/>
        </w:trPr>
        <w:tc>
          <w:tcPr>
            <w:tcW w:w="2557" w:type="dxa"/>
            <w:tcBorders>
              <w:top w:val="nil"/>
              <w:left w:val="nil"/>
              <w:bottom w:val="single" w:sz="4" w:space="0" w:color="auto"/>
              <w:right w:val="single" w:sz="4" w:space="0" w:color="auto"/>
            </w:tcBorders>
            <w:shd w:val="clear" w:color="auto" w:fill="auto"/>
            <w:noWrap/>
            <w:vAlign w:val="bottom"/>
            <w:hideMark/>
          </w:tcPr>
          <w:p w14:paraId="7EAE5028" w14:textId="77777777" w:rsidR="00577FBC" w:rsidRPr="00A125E8" w:rsidRDefault="00577FBC" w:rsidP="00577FBC">
            <w:pPr>
              <w:pStyle w:val="NoSpacing"/>
              <w:rPr>
                <w:lang w:eastAsia="en-CA"/>
              </w:rPr>
            </w:pPr>
            <w:r w:rsidRPr="00A125E8">
              <w:rPr>
                <w:lang w:eastAsia="en-CA"/>
              </w:rPr>
              <w:t>Orleans</w:t>
            </w:r>
          </w:p>
        </w:tc>
        <w:tc>
          <w:tcPr>
            <w:tcW w:w="2228" w:type="dxa"/>
            <w:tcBorders>
              <w:top w:val="nil"/>
              <w:left w:val="single" w:sz="4" w:space="0" w:color="auto"/>
              <w:bottom w:val="single" w:sz="4" w:space="0" w:color="auto"/>
              <w:right w:val="single" w:sz="4" w:space="0" w:color="auto"/>
            </w:tcBorders>
            <w:shd w:val="clear" w:color="auto" w:fill="auto"/>
            <w:noWrap/>
            <w:vAlign w:val="bottom"/>
            <w:hideMark/>
          </w:tcPr>
          <w:p w14:paraId="00461D20" w14:textId="77777777" w:rsidR="00577FBC" w:rsidRPr="00A125E8" w:rsidRDefault="00577FBC" w:rsidP="00577FBC">
            <w:pPr>
              <w:pStyle w:val="NoSpacing"/>
              <w:rPr>
                <w:lang w:eastAsia="en-CA"/>
              </w:rPr>
            </w:pPr>
            <w:r w:rsidRPr="00A125E8">
              <w:rPr>
                <w:lang w:eastAsia="en-CA"/>
              </w:rPr>
              <w:t>6</w:t>
            </w:r>
          </w:p>
        </w:tc>
        <w:tc>
          <w:tcPr>
            <w:tcW w:w="1502" w:type="dxa"/>
            <w:tcBorders>
              <w:top w:val="nil"/>
              <w:left w:val="single" w:sz="4" w:space="0" w:color="auto"/>
              <w:bottom w:val="single" w:sz="4" w:space="0" w:color="auto"/>
              <w:right w:val="nil"/>
            </w:tcBorders>
            <w:shd w:val="clear" w:color="auto" w:fill="auto"/>
            <w:noWrap/>
            <w:hideMark/>
          </w:tcPr>
          <w:p w14:paraId="1CD7FB37" w14:textId="111D36AD" w:rsidR="00577FBC" w:rsidRPr="00A125E8" w:rsidRDefault="00577FBC" w:rsidP="00577FBC">
            <w:pPr>
              <w:pStyle w:val="NoSpacing"/>
              <w:rPr>
                <w:lang w:eastAsia="en-CA"/>
              </w:rPr>
            </w:pPr>
            <w:r w:rsidRPr="00DE0DC9">
              <w:t>5</w:t>
            </w:r>
          </w:p>
        </w:tc>
        <w:tc>
          <w:tcPr>
            <w:tcW w:w="1502" w:type="dxa"/>
            <w:tcBorders>
              <w:top w:val="nil"/>
              <w:left w:val="nil"/>
              <w:bottom w:val="single" w:sz="4" w:space="0" w:color="auto"/>
              <w:right w:val="nil"/>
            </w:tcBorders>
            <w:shd w:val="clear" w:color="auto" w:fill="auto"/>
            <w:noWrap/>
            <w:hideMark/>
          </w:tcPr>
          <w:p w14:paraId="24CD355D" w14:textId="01410A36" w:rsidR="00577FBC" w:rsidRPr="00A125E8" w:rsidRDefault="00577FBC" w:rsidP="00577FBC">
            <w:pPr>
              <w:pStyle w:val="NoSpacing"/>
              <w:rPr>
                <w:lang w:eastAsia="en-CA"/>
              </w:rPr>
            </w:pPr>
            <w:r w:rsidRPr="00DE0DC9">
              <w:t>1</w:t>
            </w:r>
          </w:p>
        </w:tc>
        <w:tc>
          <w:tcPr>
            <w:tcW w:w="1502" w:type="dxa"/>
            <w:tcBorders>
              <w:top w:val="nil"/>
              <w:left w:val="nil"/>
              <w:bottom w:val="single" w:sz="4" w:space="0" w:color="auto"/>
              <w:right w:val="nil"/>
            </w:tcBorders>
            <w:shd w:val="clear" w:color="auto" w:fill="auto"/>
            <w:noWrap/>
            <w:vAlign w:val="bottom"/>
            <w:hideMark/>
          </w:tcPr>
          <w:p w14:paraId="6F85047A" w14:textId="77777777" w:rsidR="00577FBC" w:rsidRPr="00A125E8" w:rsidRDefault="00577FBC" w:rsidP="00577FBC">
            <w:pPr>
              <w:pStyle w:val="NoSpacing"/>
              <w:rPr>
                <w:lang w:eastAsia="en-CA"/>
              </w:rPr>
            </w:pPr>
            <w:r w:rsidRPr="00A125E8">
              <w:rPr>
                <w:lang w:eastAsia="en-CA"/>
              </w:rPr>
              <w:t>0</w:t>
            </w:r>
          </w:p>
        </w:tc>
      </w:tr>
      <w:tr w:rsidR="006E24CF" w:rsidRPr="007C5E6A" w14:paraId="731C08E9" w14:textId="77777777" w:rsidTr="00435D9E">
        <w:trPr>
          <w:trHeight w:val="284"/>
        </w:trPr>
        <w:tc>
          <w:tcPr>
            <w:tcW w:w="2557" w:type="dxa"/>
            <w:tcBorders>
              <w:top w:val="single" w:sz="4" w:space="0" w:color="auto"/>
              <w:left w:val="nil"/>
              <w:bottom w:val="nil"/>
              <w:right w:val="single" w:sz="4" w:space="0" w:color="auto"/>
            </w:tcBorders>
            <w:shd w:val="clear" w:color="auto" w:fill="auto"/>
            <w:noWrap/>
            <w:vAlign w:val="bottom"/>
            <w:hideMark/>
          </w:tcPr>
          <w:p w14:paraId="58F41977" w14:textId="77777777" w:rsidR="006E24CF" w:rsidRPr="007C5E6A" w:rsidRDefault="006E24CF" w:rsidP="00435D9E">
            <w:pPr>
              <w:pStyle w:val="NoSpacing"/>
              <w:rPr>
                <w:b/>
                <w:bCs/>
                <w:lang w:eastAsia="en-CA"/>
              </w:rPr>
            </w:pPr>
            <w:r w:rsidRPr="007C5E6A">
              <w:rPr>
                <w:b/>
                <w:bCs/>
                <w:lang w:eastAsia="en-CA"/>
              </w:rPr>
              <w:t>Total</w:t>
            </w:r>
          </w:p>
        </w:tc>
        <w:tc>
          <w:tcPr>
            <w:tcW w:w="2228" w:type="dxa"/>
            <w:tcBorders>
              <w:top w:val="single" w:sz="4" w:space="0" w:color="auto"/>
              <w:left w:val="single" w:sz="4" w:space="0" w:color="auto"/>
              <w:bottom w:val="nil"/>
              <w:right w:val="single" w:sz="4" w:space="0" w:color="auto"/>
            </w:tcBorders>
            <w:shd w:val="clear" w:color="auto" w:fill="auto"/>
            <w:noWrap/>
            <w:vAlign w:val="bottom"/>
            <w:hideMark/>
          </w:tcPr>
          <w:p w14:paraId="2781C01A" w14:textId="77777777" w:rsidR="006E24CF" w:rsidRPr="007C5E6A" w:rsidRDefault="006E24CF" w:rsidP="00435D9E">
            <w:pPr>
              <w:pStyle w:val="NoSpacing"/>
              <w:rPr>
                <w:b/>
                <w:bCs/>
                <w:lang w:eastAsia="en-CA"/>
              </w:rPr>
            </w:pPr>
            <w:r w:rsidRPr="007C5E6A">
              <w:rPr>
                <w:b/>
                <w:bCs/>
                <w:lang w:eastAsia="en-CA"/>
              </w:rPr>
              <w:t>302</w:t>
            </w:r>
          </w:p>
        </w:tc>
        <w:tc>
          <w:tcPr>
            <w:tcW w:w="1502" w:type="dxa"/>
            <w:tcBorders>
              <w:top w:val="single" w:sz="4" w:space="0" w:color="auto"/>
              <w:left w:val="single" w:sz="4" w:space="0" w:color="auto"/>
              <w:bottom w:val="nil"/>
              <w:right w:val="nil"/>
            </w:tcBorders>
            <w:shd w:val="clear" w:color="auto" w:fill="auto"/>
            <w:noWrap/>
            <w:vAlign w:val="bottom"/>
            <w:hideMark/>
          </w:tcPr>
          <w:p w14:paraId="37B35F11" w14:textId="01F8F9E6" w:rsidR="006E24CF" w:rsidRPr="007C5E6A" w:rsidRDefault="006E24CF" w:rsidP="00435D9E">
            <w:pPr>
              <w:pStyle w:val="NoSpacing"/>
              <w:rPr>
                <w:b/>
                <w:bCs/>
                <w:u w:val="single"/>
                <w:lang w:eastAsia="en-CA"/>
              </w:rPr>
            </w:pPr>
            <w:r w:rsidRPr="007C5E6A">
              <w:rPr>
                <w:b/>
                <w:bCs/>
                <w:u w:val="single"/>
                <w:lang w:eastAsia="en-CA"/>
              </w:rPr>
              <w:t>21</w:t>
            </w:r>
            <w:r w:rsidR="00577FBC">
              <w:rPr>
                <w:b/>
                <w:bCs/>
                <w:u w:val="single"/>
                <w:lang w:eastAsia="en-CA"/>
              </w:rPr>
              <w:t>2</w:t>
            </w:r>
          </w:p>
        </w:tc>
        <w:tc>
          <w:tcPr>
            <w:tcW w:w="1502" w:type="dxa"/>
            <w:tcBorders>
              <w:top w:val="single" w:sz="4" w:space="0" w:color="auto"/>
              <w:left w:val="nil"/>
              <w:bottom w:val="nil"/>
              <w:right w:val="nil"/>
            </w:tcBorders>
            <w:shd w:val="clear" w:color="auto" w:fill="auto"/>
            <w:noWrap/>
            <w:vAlign w:val="bottom"/>
            <w:hideMark/>
          </w:tcPr>
          <w:p w14:paraId="7752DCCC" w14:textId="5011F016" w:rsidR="006E24CF" w:rsidRPr="007C5E6A" w:rsidRDefault="00577FBC" w:rsidP="00435D9E">
            <w:pPr>
              <w:pStyle w:val="NoSpacing"/>
              <w:rPr>
                <w:b/>
                <w:bCs/>
                <w:lang w:eastAsia="en-CA"/>
              </w:rPr>
            </w:pPr>
            <w:r>
              <w:rPr>
                <w:b/>
                <w:bCs/>
                <w:lang w:eastAsia="en-CA"/>
              </w:rPr>
              <w:t>84</w:t>
            </w:r>
          </w:p>
        </w:tc>
        <w:tc>
          <w:tcPr>
            <w:tcW w:w="1502" w:type="dxa"/>
            <w:tcBorders>
              <w:top w:val="single" w:sz="4" w:space="0" w:color="auto"/>
              <w:left w:val="nil"/>
              <w:bottom w:val="nil"/>
              <w:right w:val="nil"/>
            </w:tcBorders>
            <w:shd w:val="clear" w:color="auto" w:fill="auto"/>
            <w:noWrap/>
            <w:vAlign w:val="bottom"/>
            <w:hideMark/>
          </w:tcPr>
          <w:p w14:paraId="40ED8535" w14:textId="1F86FD36" w:rsidR="006E24CF" w:rsidRPr="007C5E6A" w:rsidRDefault="00577FBC" w:rsidP="00435D9E">
            <w:pPr>
              <w:pStyle w:val="NoSpacing"/>
              <w:rPr>
                <w:b/>
                <w:bCs/>
                <w:lang w:eastAsia="en-CA"/>
              </w:rPr>
            </w:pPr>
            <w:r>
              <w:rPr>
                <w:b/>
                <w:bCs/>
                <w:lang w:eastAsia="en-CA"/>
              </w:rPr>
              <w:t>6</w:t>
            </w:r>
          </w:p>
        </w:tc>
      </w:tr>
    </w:tbl>
    <w:p w14:paraId="0A5D0A13" w14:textId="77777777" w:rsidR="006E24CF" w:rsidRDefault="006E24CF" w:rsidP="00AA313E"/>
    <w:p w14:paraId="3731EF9D" w14:textId="0CA266BA" w:rsidR="00577FBC" w:rsidRPr="00A9003D" w:rsidRDefault="00577FBC" w:rsidP="00AA313E">
      <w:r>
        <w:t xml:space="preserve">The election ended with a landslide for Stockton. To be sure, not all of this was because of his own personal skill – Everett entirely failed to seize the </w:t>
      </w:r>
      <w:r w:rsidR="0029420D">
        <w:t>moment,</w:t>
      </w:r>
      <w:r w:rsidR="00DD3C2E">
        <w:t xml:space="preserve"> and Hale splintered the northern oppositionist vote</w:t>
      </w:r>
      <w:r w:rsidR="0029420D">
        <w:t>.</w:t>
      </w:r>
      <w:r>
        <w:t xml:space="preserve"> </w:t>
      </w:r>
      <w:r w:rsidR="00DD3C2E">
        <w:t>while</w:t>
      </w:r>
      <w:r>
        <w:t xml:space="preserve"> Upshur failed to </w:t>
      </w:r>
      <w:r w:rsidR="00317390">
        <w:t xml:space="preserve">win </w:t>
      </w:r>
      <w:r w:rsidR="00BC783F">
        <w:t>the support of the divided South</w:t>
      </w:r>
      <w:r w:rsidR="00566042">
        <w:t xml:space="preserve"> – but it was a commanding </w:t>
      </w:r>
      <w:r w:rsidR="00022E30">
        <w:t>win</w:t>
      </w:r>
      <w:r w:rsidR="00BC783F">
        <w:t xml:space="preserve">. </w:t>
      </w:r>
      <w:r w:rsidR="00CA2AC0">
        <w:t>But</w:t>
      </w:r>
      <w:r w:rsidR="00301E74">
        <w:t xml:space="preserve"> much of this was thanks to his personal work.</w:t>
      </w:r>
      <w:r w:rsidR="00CA2AC0">
        <w:t xml:space="preserve"> </w:t>
      </w:r>
      <w:r w:rsidR="00301E74">
        <w:t>H</w:t>
      </w:r>
      <w:r w:rsidR="00CA2AC0">
        <w:t xml:space="preserve">e </w:t>
      </w:r>
      <w:r w:rsidR="000854E5">
        <w:t xml:space="preserve">had won it by making several contradictory promises behind the scenes, and he </w:t>
      </w:r>
      <w:r w:rsidR="007D6AA9">
        <w:t xml:space="preserve">won </w:t>
      </w:r>
      <w:proofErr w:type="gramStart"/>
      <w:r w:rsidR="007D6AA9">
        <w:t>on the basis of</w:t>
      </w:r>
      <w:proofErr w:type="gramEnd"/>
      <w:r w:rsidR="007D6AA9">
        <w:t xml:space="preserve"> a booming economy – which was</w:t>
      </w:r>
      <w:r w:rsidR="005B6999">
        <w:t xml:space="preserve"> only</w:t>
      </w:r>
      <w:r w:rsidR="007D6AA9">
        <w:t xml:space="preserve"> booming </w:t>
      </w:r>
      <w:r w:rsidR="005B6999">
        <w:t>thanks to a</w:t>
      </w:r>
      <w:r w:rsidR="007D6AA9">
        <w:t xml:space="preserve"> bubble</w:t>
      </w:r>
      <w:r w:rsidR="005B6999">
        <w:t>, which ended up unstable</w:t>
      </w:r>
      <w:r w:rsidR="007D6AA9">
        <w:t xml:space="preserve">. </w:t>
      </w:r>
      <w:r w:rsidR="00D11CAB">
        <w:t xml:space="preserve">Thus, Stockton had to </w:t>
      </w:r>
      <w:r w:rsidR="00D11CAB">
        <w:lastRenderedPageBreak/>
        <w:t>deal with several growing issues</w:t>
      </w:r>
      <w:r w:rsidR="00741C87">
        <w:t xml:space="preserve"> which would, in short time, </w:t>
      </w:r>
      <w:r w:rsidR="00190469">
        <w:t xml:space="preserve">not only upend his administration but also entirely </w:t>
      </w:r>
      <w:r w:rsidR="00741C87">
        <w:t>consume the nation</w:t>
      </w:r>
      <w:r w:rsidR="00D11CAB">
        <w:t xml:space="preserve"> – and he was not the man to deal with them</w:t>
      </w:r>
      <w:r w:rsidR="00A04FB4">
        <w:t>.</w:t>
      </w:r>
      <w:r w:rsidR="00FB57A8">
        <w:t xml:space="preserve"> </w:t>
      </w:r>
    </w:p>
    <w:p w14:paraId="43342831" w14:textId="762728D5" w:rsidR="00AA240C" w:rsidRDefault="00AA240C" w:rsidP="00AA240C">
      <w:r>
        <w:br w:type="page"/>
      </w:r>
    </w:p>
    <w:p w14:paraId="66E3825A" w14:textId="77777777" w:rsidR="003C08CA" w:rsidRDefault="003C08CA" w:rsidP="003C08CA"/>
    <w:p w14:paraId="410CB2B4" w14:textId="77777777" w:rsidR="003C08CA" w:rsidRDefault="003C08CA" w:rsidP="003C08CA">
      <w:pPr>
        <w:sectPr w:rsidR="003C08CA" w:rsidSect="003C08CA">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F306E79" w14:textId="77777777" w:rsidR="003C08CA" w:rsidRDefault="003C08CA" w:rsidP="003C08CA">
      <w:r>
        <w:br w:type="page"/>
      </w:r>
    </w:p>
    <w:p w14:paraId="1175AD1B" w14:textId="7B9CD02F" w:rsidR="004F1F3F" w:rsidRDefault="00F93DCA" w:rsidP="003C08CA">
      <w:pPr>
        <w:pStyle w:val="Heading1"/>
      </w:pPr>
      <w:bookmarkStart w:id="63" w:name="_Toc202006249"/>
      <w:r>
        <w:lastRenderedPageBreak/>
        <w:t>50</w:t>
      </w:r>
      <w:r w:rsidR="003C08CA">
        <w:t xml:space="preserve">. The </w:t>
      </w:r>
      <w:r w:rsidR="00B335F9">
        <w:t>Bride of the Nation</w:t>
      </w:r>
      <w:bookmarkEnd w:id="63"/>
    </w:p>
    <w:p w14:paraId="7B56B71B" w14:textId="77777777" w:rsidR="00B93D6D" w:rsidRDefault="00434890" w:rsidP="00B93D6D">
      <w:r>
        <w:t xml:space="preserve">Jamaica was perhaps fundamentally linked to the United States. </w:t>
      </w:r>
      <w:r w:rsidR="00FE745C">
        <w:t>Like the American South,</w:t>
      </w:r>
      <w:r>
        <w:t xml:space="preserve"> </w:t>
      </w:r>
      <w:r w:rsidR="00FE745C">
        <w:t xml:space="preserve">it was a slaveholding Anglophone society; like the American South, it was </w:t>
      </w:r>
      <w:r w:rsidR="00D915C7">
        <w:t xml:space="preserve">a spin-off of Barbados. </w:t>
      </w:r>
      <w:r w:rsidR="008A6547">
        <w:t xml:space="preserve">Much of Jamaica’s original slave population was imported by Americans. But with the American Revolution, </w:t>
      </w:r>
      <w:r w:rsidR="00CA7AEC">
        <w:t xml:space="preserve">this sort of unity broke. Despite its own grievances with the British, Jamaica was </w:t>
      </w:r>
      <w:r w:rsidR="00F04554">
        <w:t xml:space="preserve">an island dependent on trade with Britain, and it </w:t>
      </w:r>
      <w:r w:rsidR="0003222E">
        <w:t xml:space="preserve">feared slave revolution inspired by the very same countries with which American revolutionaries had aligned. </w:t>
      </w:r>
      <w:r w:rsidR="008B12F0">
        <w:t>Thus, come war, Jamaica rallied behind the British</w:t>
      </w:r>
      <w:r w:rsidR="006F5EB0">
        <w:t xml:space="preserve">, despite some </w:t>
      </w:r>
      <w:r w:rsidR="006E4423">
        <w:t>individual Jamaicans supporting the American cause</w:t>
      </w:r>
      <w:r w:rsidR="006F5EB0">
        <w:t xml:space="preserve">; in any case, its navy swiftly ringed itself around the island against the French. </w:t>
      </w:r>
      <w:r w:rsidR="00E00FBE">
        <w:t xml:space="preserve">In the years that followed, US-Jamaica relations were a strange, heterogeneous mix of hot and cold; the British sought to cut off trade between the United States and Jamaica, but they largely failed, and it continued unabated. The </w:t>
      </w:r>
      <w:r w:rsidR="006E74C8">
        <w:t xml:space="preserve">Deep </w:t>
      </w:r>
      <w:r w:rsidR="00E00FBE">
        <w:t>South, as ever looking to the Caribbean, found itself</w:t>
      </w:r>
      <w:r w:rsidR="006E74C8">
        <w:t xml:space="preserve"> trading amply with Jamaica and the rest of the British </w:t>
      </w:r>
      <w:r w:rsidR="0044728D">
        <w:t>West Indies</w:t>
      </w:r>
      <w:r w:rsidR="006E74C8">
        <w:t xml:space="preserve">, and </w:t>
      </w:r>
      <w:r w:rsidR="0044728D">
        <w:t xml:space="preserve">despite bad relations between America and pre-revolutionary Britain, </w:t>
      </w:r>
      <w:r w:rsidR="003B703E">
        <w:t xml:space="preserve">such trade merely lurked behind the surface. </w:t>
      </w:r>
    </w:p>
    <w:p w14:paraId="5DC68CC5" w14:textId="6A85C765" w:rsidR="00B93D6D" w:rsidRDefault="00B93D6D" w:rsidP="00B93D6D">
      <w:r>
        <w:t xml:space="preserve">Come 1827 and the Popular Revolution, Jamaica did not jump on board the new British government; </w:t>
      </w:r>
      <w:r w:rsidR="00A80836">
        <w:t>due to the War of Roussin’s Fleet,</w:t>
      </w:r>
      <w:r>
        <w:t xml:space="preserve"> much of the Royal British Navy </w:t>
      </w:r>
      <w:r w:rsidR="00E15CC1">
        <w:t>was</w:t>
      </w:r>
      <w:r>
        <w:t xml:space="preserve"> headquartered there</w:t>
      </w:r>
      <w:r w:rsidR="00E15CC1">
        <w:t xml:space="preserve">, and both officers and the rank-and-file watched the Revolution with nothing less than horror and trepidation. </w:t>
      </w:r>
      <w:r w:rsidR="00F15651">
        <w:t xml:space="preserve">Thus, the colony declared its loyalty to the House of Guelph, with full support of both the military and the </w:t>
      </w:r>
      <w:r w:rsidR="00814AF4">
        <w:t>planter elites</w:t>
      </w:r>
      <w:r w:rsidR="00515A0C">
        <w:t xml:space="preserve"> – and </w:t>
      </w:r>
      <w:r w:rsidR="008B32FD">
        <w:t>though when the British government ultimately proceeded with emancipation</w:t>
      </w:r>
      <w:r w:rsidR="00693AB3">
        <w:t xml:space="preserve"> and</w:t>
      </w:r>
      <w:r w:rsidR="008B32FD">
        <w:t xml:space="preserve"> several slave revolts ensued, </w:t>
      </w:r>
      <w:r w:rsidR="00231318">
        <w:t xml:space="preserve">the Jamaican government crushed them with </w:t>
      </w:r>
      <w:r w:rsidR="00AA6F48">
        <w:t>its ample military reserves</w:t>
      </w:r>
      <w:r w:rsidR="005E1002">
        <w:t xml:space="preserve">, </w:t>
      </w:r>
      <w:r w:rsidR="009E4358">
        <w:t>with</w:t>
      </w:r>
      <w:r w:rsidR="005E1002">
        <w:t xml:space="preserve"> </w:t>
      </w:r>
      <w:proofErr w:type="gramStart"/>
      <w:r w:rsidR="005E1002">
        <w:t>Maroon</w:t>
      </w:r>
      <w:proofErr w:type="gramEnd"/>
      <w:r w:rsidR="005E1002">
        <w:t xml:space="preserve"> </w:t>
      </w:r>
      <w:r w:rsidR="009E4358">
        <w:t>support</w:t>
      </w:r>
      <w:r w:rsidR="006B7824">
        <w:t>. Planter solidarity strengthened</w:t>
      </w:r>
      <w:r w:rsidR="00DC5D3C">
        <w:t xml:space="preserve">; </w:t>
      </w:r>
      <w:r w:rsidR="006B7824">
        <w:t>for an island that seemed assailed in all directions, any dissent was nothing less tha</w:t>
      </w:r>
      <w:r w:rsidR="00083361">
        <w:t>n</w:t>
      </w:r>
      <w:r w:rsidR="00014743">
        <w:t xml:space="preserve"> treason that would allow Jamaica to turn into a second Haiti</w:t>
      </w:r>
      <w:r w:rsidR="009E4358">
        <w:t xml:space="preserve">. </w:t>
      </w:r>
      <w:r w:rsidR="00191278">
        <w:t xml:space="preserve">In the years that followed, Jamaica </w:t>
      </w:r>
      <w:r w:rsidR="008B53FE">
        <w:t>survived tenuously,</w:t>
      </w:r>
      <w:r w:rsidR="004D2AB0">
        <w:t xml:space="preserve"> </w:t>
      </w:r>
      <w:r w:rsidR="009B22CB">
        <w:lastRenderedPageBreak/>
        <w:t xml:space="preserve">and unlike other loyalist colonies, it never </w:t>
      </w:r>
      <w:r w:rsidR="00F70EF4">
        <w:t xml:space="preserve">broke for the </w:t>
      </w:r>
      <w:r w:rsidR="00FA465D">
        <w:t>British government.</w:t>
      </w:r>
      <w:r w:rsidR="008B53FE">
        <w:t xml:space="preserve"> </w:t>
      </w:r>
      <w:r w:rsidR="00C36BB9">
        <w:t>I</w:t>
      </w:r>
      <w:r w:rsidR="00EA1743">
        <w:t>t shored</w:t>
      </w:r>
      <w:r w:rsidR="00191278">
        <w:t xml:space="preserve"> up its support with other post-revolutionary British exiles</w:t>
      </w:r>
      <w:r w:rsidR="008B53FE">
        <w:t xml:space="preserve"> and tried to </w:t>
      </w:r>
      <w:r w:rsidR="00EA1743">
        <w:t>tie itself to the exiled Guelphs in Hanover</w:t>
      </w:r>
      <w:r w:rsidR="00191278">
        <w:t>,</w:t>
      </w:r>
      <w:r w:rsidR="00C535E7">
        <w:t xml:space="preserve"> but most decisive would be when </w:t>
      </w:r>
      <w:r w:rsidR="00F25241">
        <w:t>shored</w:t>
      </w:r>
      <w:r w:rsidR="00C535E7">
        <w:t xml:space="preserve"> up support from the American South. </w:t>
      </w:r>
      <w:r w:rsidR="00F25241">
        <w:t>This was the result of, first, a new rush of trade with the United States</w:t>
      </w:r>
      <w:r w:rsidR="00EA1743">
        <w:t xml:space="preserve"> to take the place of the lost commerce with Britain; and second, </w:t>
      </w:r>
      <w:r w:rsidR="00017848">
        <w:t xml:space="preserve">the Planter Ascendancy of America having </w:t>
      </w:r>
      <w:r w:rsidR="004D2AB0">
        <w:t>a newly expansive</w:t>
      </w:r>
      <w:r w:rsidR="00017848">
        <w:t xml:space="preserve"> vision of</w:t>
      </w:r>
      <w:r w:rsidR="009860B7">
        <w:t xml:space="preserve"> pro-slavery solidarity</w:t>
      </w:r>
      <w:r w:rsidR="007558BA">
        <w:t xml:space="preserve">. Additionally, Jamaica became an entrepot of the booming </w:t>
      </w:r>
      <w:r w:rsidR="007A5E70">
        <w:t>trans-Caribbean slave trade</w:t>
      </w:r>
      <w:r w:rsidR="009860B7">
        <w:t xml:space="preserve">. </w:t>
      </w:r>
      <w:r w:rsidR="00801A1C">
        <w:t xml:space="preserve">Together, this meant Jamaica </w:t>
      </w:r>
      <w:r w:rsidR="00584966">
        <w:t>became</w:t>
      </w:r>
      <w:r w:rsidR="0086031A">
        <w:t xml:space="preserve"> </w:t>
      </w:r>
      <w:r w:rsidR="00801A1C">
        <w:t xml:space="preserve">a client state of the </w:t>
      </w:r>
      <w:r w:rsidR="00584966">
        <w:t>United States of America, despite its protestations of loyalty to the Guelphs and its hopes</w:t>
      </w:r>
      <w:r w:rsidR="00655E66">
        <w:t xml:space="preserve"> of restoration; slowly its planters and the House of Assembly moved towards shoring up relations with the United States. </w:t>
      </w:r>
      <w:r w:rsidR="007558BA">
        <w:t xml:space="preserve">As American trade boomed, as American volunteers crushed slave revolts, and as </w:t>
      </w:r>
      <w:r w:rsidR="00D77C9E">
        <w:t xml:space="preserve">American slaves were sold on the markets of Kingston, more and more of the planter oligarchy </w:t>
      </w:r>
      <w:r w:rsidR="004C3D3B">
        <w:t>rallied behind formalizing this relationship</w:t>
      </w:r>
      <w:r w:rsidR="00427CC5">
        <w:t xml:space="preserve">. As it became clear that it was only close relations with Americans from the South that kept Jamaica from falling to </w:t>
      </w:r>
      <w:r w:rsidR="00DE6417">
        <w:t xml:space="preserve">British expeditions, </w:t>
      </w:r>
      <w:r w:rsidR="00066B70">
        <w:t>Jamaica became more and more detached from its nominal overlords in Hanover</w:t>
      </w:r>
      <w:r w:rsidR="004C3D3B">
        <w:t xml:space="preserve">. </w:t>
      </w:r>
      <w:r w:rsidR="003363A4">
        <w:t>More planters talked of formally declaring Jamaica’s independence, or even of annexation into the United States</w:t>
      </w:r>
      <w:r w:rsidR="00F91AD9">
        <w:t xml:space="preserve"> to secure slavery once and for all</w:t>
      </w:r>
      <w:r w:rsidR="003363A4">
        <w:t xml:space="preserve">. </w:t>
      </w:r>
      <w:r w:rsidR="00EF71B8">
        <w:t>And though the Webster administration indignantly refused to accept annexation and supported on principle Jamaica’s re-annexation by the British,</w:t>
      </w:r>
      <w:r w:rsidR="002460A6">
        <w:t xml:space="preserve"> those Jamaican planters thought </w:t>
      </w:r>
      <w:r w:rsidR="00735C2C">
        <w:t>that might change in the future.</w:t>
      </w:r>
      <w:r w:rsidR="00EF71B8">
        <w:t xml:space="preserve"> </w:t>
      </w:r>
      <w:r w:rsidR="00D63080">
        <w:t>It was into this</w:t>
      </w:r>
      <w:r w:rsidR="001C3540">
        <w:t xml:space="preserve"> </w:t>
      </w:r>
      <w:r w:rsidR="009E367D">
        <w:t>environment</w:t>
      </w:r>
      <w:r w:rsidR="00D63080">
        <w:t xml:space="preserve"> that </w:t>
      </w:r>
      <w:r w:rsidR="009E367D">
        <w:t>William Walker rose</w:t>
      </w:r>
      <w:r w:rsidR="000B000D">
        <w:rPr>
          <w:rStyle w:val="EndnoteReference"/>
        </w:rPr>
        <w:endnoteReference w:id="258"/>
      </w:r>
      <w:r w:rsidR="009E367D">
        <w:t xml:space="preserve">. </w:t>
      </w:r>
    </w:p>
    <w:p w14:paraId="7EB2FB80" w14:textId="18639EBB" w:rsidR="00854786" w:rsidRDefault="00854786" w:rsidP="00B93D6D">
      <w:r>
        <w:t>Born in</w:t>
      </w:r>
      <w:r w:rsidR="00746EF8">
        <w:t xml:space="preserve"> 1824 in</w:t>
      </w:r>
      <w:r>
        <w:t xml:space="preserve"> Nashville, </w:t>
      </w:r>
      <w:r w:rsidR="00675757">
        <w:t xml:space="preserve">William </w:t>
      </w:r>
      <w:r>
        <w:t xml:space="preserve">Walker was surrounded by American slavery. </w:t>
      </w:r>
      <w:r w:rsidR="00530D9F">
        <w:t xml:space="preserve">He was not, at the outset, an ideologue – but </w:t>
      </w:r>
      <w:r w:rsidR="00746EF8">
        <w:t>as an e</w:t>
      </w:r>
      <w:r w:rsidR="00E46158">
        <w:t xml:space="preserve">lite Southerner, he was a part of the planter class, and he </w:t>
      </w:r>
      <w:r w:rsidR="002203C0">
        <w:t xml:space="preserve">certainly </w:t>
      </w:r>
      <w:r w:rsidR="00E46158">
        <w:t>never rebelled against it.</w:t>
      </w:r>
      <w:r w:rsidR="00BF2891">
        <w:t xml:space="preserve"> </w:t>
      </w:r>
      <w:r w:rsidR="000E50D4">
        <w:t xml:space="preserve">With ample powers of </w:t>
      </w:r>
      <w:r w:rsidR="002954F4">
        <w:t>intelligence,</w:t>
      </w:r>
      <w:r w:rsidR="000E50D4">
        <w:t xml:space="preserve"> he got</w:t>
      </w:r>
      <w:r w:rsidR="00BF2891">
        <w:t xml:space="preserve"> degrees in </w:t>
      </w:r>
      <w:r w:rsidR="00D524DC">
        <w:t>law and medicine</w:t>
      </w:r>
      <w:r w:rsidR="00A0707D">
        <w:t>, his studies even taking him to Europe</w:t>
      </w:r>
      <w:r w:rsidR="000E50D4">
        <w:t xml:space="preserve"> – yet,</w:t>
      </w:r>
      <w:r w:rsidR="00D524DC">
        <w:t xml:space="preserve"> he increasingly felt </w:t>
      </w:r>
      <w:r w:rsidR="00675757">
        <w:t>an urge towards adventure, to escape his</w:t>
      </w:r>
      <w:r w:rsidR="00342F86">
        <w:t xml:space="preserve"> settled life. </w:t>
      </w:r>
      <w:r w:rsidR="00BE2EEF">
        <w:t xml:space="preserve">At this time, Jamaica sent recruiters across the American South to </w:t>
      </w:r>
      <w:r w:rsidR="0066239B">
        <w:t>enlist Southerners as</w:t>
      </w:r>
      <w:r w:rsidR="00BE2EEF">
        <w:t xml:space="preserve"> soldiers to keep the slaves down</w:t>
      </w:r>
      <w:r w:rsidR="00B87589">
        <w:t xml:space="preserve">; </w:t>
      </w:r>
      <w:r w:rsidR="00EE6262">
        <w:t xml:space="preserve">in 1850, </w:t>
      </w:r>
      <w:r w:rsidR="00B87589">
        <w:t xml:space="preserve">Walker, at this point a </w:t>
      </w:r>
      <w:r w:rsidR="00B87589">
        <w:lastRenderedPageBreak/>
        <w:t xml:space="preserve">doctor in New Orleans, accepted. With his </w:t>
      </w:r>
      <w:r w:rsidR="008D68DC">
        <w:t xml:space="preserve">strange </w:t>
      </w:r>
      <w:r w:rsidR="00B87589">
        <w:t xml:space="preserve">charisma, for which he was nicknamed the “grey-eyed man of destiny”, he </w:t>
      </w:r>
      <w:r w:rsidR="00DF703B">
        <w:t xml:space="preserve">recruited forty-five other men who travelled with him – and leading this company, he received the rank in the Jamaican army of captain. </w:t>
      </w:r>
      <w:r w:rsidR="003A578C">
        <w:t xml:space="preserve">In this role, </w:t>
      </w:r>
      <w:r w:rsidR="008D68DC">
        <w:t>he gained followers</w:t>
      </w:r>
      <w:r w:rsidR="0057109E">
        <w:t xml:space="preserve">, and successfully crushing several slave revolts and maintaining order, he </w:t>
      </w:r>
      <w:r w:rsidR="00EE6262">
        <w:t>won influence</w:t>
      </w:r>
      <w:r w:rsidR="00D15F6E">
        <w:t xml:space="preserve">. </w:t>
      </w:r>
      <w:r w:rsidR="00D072B9">
        <w:t xml:space="preserve">Within the army, he </w:t>
      </w:r>
      <w:r w:rsidR="00C0491A">
        <w:t>won promotion after promotion and</w:t>
      </w:r>
      <w:r w:rsidR="00615621">
        <w:t xml:space="preserve">, </w:t>
      </w:r>
      <w:r w:rsidR="00F7488A">
        <w:t xml:space="preserve">especially </w:t>
      </w:r>
      <w:r w:rsidR="00615621">
        <w:t>after winning a duel against a rival officer, he</w:t>
      </w:r>
      <w:r w:rsidR="00C0491A">
        <w:t xml:space="preserve"> </w:t>
      </w:r>
      <w:r w:rsidR="002954F4">
        <w:t xml:space="preserve">maintained popularity among it; within the planter class, he associated with reformists who wanted to </w:t>
      </w:r>
      <w:r w:rsidR="0095608D">
        <w:t>move Jamaica in a more pro-</w:t>
      </w:r>
      <w:r w:rsidR="00A6386F">
        <w:t xml:space="preserve">American direction. </w:t>
      </w:r>
      <w:r w:rsidR="00615621">
        <w:t>He plotted</w:t>
      </w:r>
      <w:r w:rsidR="00602E5F">
        <w:t xml:space="preserve"> – and in 1853, his plans</w:t>
      </w:r>
      <w:r w:rsidR="006C1CFD">
        <w:t xml:space="preserve"> achieved fruition. </w:t>
      </w:r>
    </w:p>
    <w:p w14:paraId="3A2983C0" w14:textId="12388E93" w:rsidR="00721C62" w:rsidRDefault="00721C62" w:rsidP="00B93D6D">
      <w:r>
        <w:t xml:space="preserve">In that year, he </w:t>
      </w:r>
      <w:r w:rsidR="00BF6F4E">
        <w:t xml:space="preserve">put himself at the head of several army </w:t>
      </w:r>
      <w:r w:rsidR="008C31CA">
        <w:t xml:space="preserve">battalions, and they marched on </w:t>
      </w:r>
      <w:r w:rsidR="003D6BF9">
        <w:t xml:space="preserve">the House of Assembly. </w:t>
      </w:r>
      <w:r w:rsidR="0059130D">
        <w:t xml:space="preserve">Seizing the assembly hall, he got it to </w:t>
      </w:r>
      <w:r w:rsidR="003063C0">
        <w:t xml:space="preserve">declare him </w:t>
      </w:r>
      <w:r w:rsidR="00201092">
        <w:t>“President</w:t>
      </w:r>
      <w:r w:rsidR="003063C0">
        <w:t xml:space="preserve"> of </w:t>
      </w:r>
      <w:r w:rsidR="00201092">
        <w:t xml:space="preserve">Jamaica”. </w:t>
      </w:r>
      <w:r w:rsidR="00F46D20">
        <w:t>Other institutions of the state, fearing t</w:t>
      </w:r>
      <w:r w:rsidR="00243836">
        <w:t xml:space="preserve">hat dissension would allow slave revolt, </w:t>
      </w:r>
      <w:r w:rsidR="00480F14">
        <w:t>recognized Walker’s ascent to power</w:t>
      </w:r>
      <w:r w:rsidR="00937F72">
        <w:t xml:space="preserve">. </w:t>
      </w:r>
      <w:r w:rsidR="00EE10BB">
        <w:t xml:space="preserve">And with that in place, </w:t>
      </w:r>
      <w:r w:rsidR="00303117">
        <w:t xml:space="preserve">he then assembled a Constitutional Convention which </w:t>
      </w:r>
      <w:r w:rsidR="004E74A4">
        <w:t xml:space="preserve">united the planter oligarchy of the House of Assembly, with the naval interest and other forces within </w:t>
      </w:r>
      <w:r w:rsidR="00A116BC">
        <w:t xml:space="preserve">Jamaica. </w:t>
      </w:r>
      <w:r w:rsidR="009A6792">
        <w:t xml:space="preserve">Together and under his leadership, they ratified a constitution which resembled little else other than </w:t>
      </w:r>
      <w:r w:rsidR="00354632">
        <w:t>that of an American state, with a President elected for four years, a Congress consisting of a Senate and a</w:t>
      </w:r>
      <w:r w:rsidR="00F430D5">
        <w:t xml:space="preserve"> House of Assembly, and a Supreme Court</w:t>
      </w:r>
      <w:r w:rsidR="00846BCE">
        <w:t>, with these three powers</w:t>
      </w:r>
      <w:r w:rsidR="00E40149">
        <w:t xml:space="preserve"> </w:t>
      </w:r>
      <w:r w:rsidR="002A187C">
        <w:t xml:space="preserve">formally </w:t>
      </w:r>
      <w:r w:rsidR="00E40149">
        <w:t>separated from one another</w:t>
      </w:r>
      <w:r w:rsidR="00B35922">
        <w:t>, although practically they were all dependent on Walker and his close allies</w:t>
      </w:r>
      <w:r w:rsidR="00E40149">
        <w:t xml:space="preserve">; this was clearly a preliminary for </w:t>
      </w:r>
      <w:r w:rsidR="0043753B">
        <w:t xml:space="preserve">admission as an American state. </w:t>
      </w:r>
      <w:r w:rsidR="00F107BF">
        <w:t xml:space="preserve">Formally accepting a Consul-General from the United States, President Walker successfully achieved </w:t>
      </w:r>
      <w:r w:rsidR="00144930">
        <w:t xml:space="preserve">recognition and averted an invasion from Dundonald’s Britain. </w:t>
      </w:r>
      <w:r w:rsidR="001724D0">
        <w:t xml:space="preserve">With this intact, he </w:t>
      </w:r>
      <w:r w:rsidR="00AA30A5">
        <w:t>now openly advocated annexation into the United States, and he won ample support from the</w:t>
      </w:r>
      <w:r w:rsidR="00BB1404">
        <w:t xml:space="preserve"> </w:t>
      </w:r>
      <w:r w:rsidR="00B370D8">
        <w:t>South which, similarly, sought to protect Jamaican slavery while also fortifying the position of the Planter Ascendancy</w:t>
      </w:r>
      <w:r w:rsidR="003A203E">
        <w:t xml:space="preserve"> within the United States. </w:t>
      </w:r>
      <w:r w:rsidR="00F50384">
        <w:t xml:space="preserve">And though at this point, the Stockton administration did nothing on </w:t>
      </w:r>
      <w:r w:rsidR="00DB2AC8">
        <w:t>the subject</w:t>
      </w:r>
      <w:r w:rsidR="007E4562">
        <w:t xml:space="preserve">, and though the Democratic Party indignantly refused to admit Jamaica, </w:t>
      </w:r>
      <w:r w:rsidR="00146193">
        <w:lastRenderedPageBreak/>
        <w:t xml:space="preserve">support within the Republican Party slowly grew. </w:t>
      </w:r>
      <w:r w:rsidR="00A4156F">
        <w:t xml:space="preserve">Jamaica’s isolation seemed to be on the verge of coming to an end. </w:t>
      </w:r>
    </w:p>
    <w:p w14:paraId="1E4F88CD" w14:textId="39C769CE" w:rsidR="00577E4C" w:rsidRDefault="00577E4C" w:rsidP="00B93D6D">
      <w:r>
        <w:t xml:space="preserve">The Stockton administration only </w:t>
      </w:r>
      <w:proofErr w:type="gramStart"/>
      <w:r>
        <w:t>took action</w:t>
      </w:r>
      <w:proofErr w:type="gramEnd"/>
      <w:r>
        <w:t xml:space="preserve"> on this after </w:t>
      </w:r>
      <w:r w:rsidR="002F72AA">
        <w:t>he won re-election</w:t>
      </w:r>
      <w:r w:rsidR="00CC6EEA">
        <w:t>, but with this secure, it got to work negotiating a treaty</w:t>
      </w:r>
      <w:r w:rsidR="001150FF">
        <w:t>. His Secretary of State, John Y. Mason, issued the so-called “</w:t>
      </w:r>
      <w:r w:rsidR="00861929">
        <w:t xml:space="preserve">Mason Manifesto”, which made a </w:t>
      </w:r>
      <w:r w:rsidR="004307F8">
        <w:t>case for the annexation of Jamaica – albeit in a nationalist manner</w:t>
      </w:r>
      <w:r w:rsidR="00451077">
        <w:t>, a case for its annexation benefiting the entire nation</w:t>
      </w:r>
      <w:r w:rsidR="004307F8">
        <w:t xml:space="preserve">, </w:t>
      </w:r>
      <w:r w:rsidR="00313CFA">
        <w:t>by which he sought</w:t>
      </w:r>
      <w:r w:rsidR="004307F8">
        <w:t xml:space="preserve"> to avoid</w:t>
      </w:r>
      <w:r w:rsidR="00D3727D">
        <w:t xml:space="preserve"> alienating the North. </w:t>
      </w:r>
      <w:r w:rsidR="006B6E5F">
        <w:t xml:space="preserve">Nevertheless, the uproar was enormous, and </w:t>
      </w:r>
      <w:r w:rsidR="003A61F5">
        <w:t xml:space="preserve">the Democratic Party did not take long to </w:t>
      </w:r>
      <w:r w:rsidR="002751F4">
        <w:t xml:space="preserve">damn the very idea of admitting Jamaica. </w:t>
      </w:r>
      <w:r w:rsidR="00361C9C">
        <w:t xml:space="preserve">Edward Everett, still the highest representative of the Northern Democrats, </w:t>
      </w:r>
      <w:r w:rsidR="00553392">
        <w:t xml:space="preserve">declared Jamaica’s admission a plot by the Planter Ascendancy to override the will of the North; so too did </w:t>
      </w:r>
      <w:r w:rsidR="00D947C3">
        <w:t>John J. Crittenden, who was</w:t>
      </w:r>
      <w:r w:rsidR="00476EAB">
        <w:t xml:space="preserve"> at this point still</w:t>
      </w:r>
      <w:r w:rsidR="00D947C3">
        <w:t xml:space="preserve"> the foremost Southern Democrat. </w:t>
      </w:r>
      <w:r w:rsidR="00F10C1B">
        <w:t>Nevertheless</w:t>
      </w:r>
      <w:r w:rsidR="00AB56E9">
        <w:t>, their leadership was hardly commanding over their party</w:t>
      </w:r>
      <w:r w:rsidR="006D4663">
        <w:t xml:space="preserve"> and </w:t>
      </w:r>
      <w:proofErr w:type="gramStart"/>
      <w:r w:rsidR="006D4663">
        <w:t>both of them</w:t>
      </w:r>
      <w:proofErr w:type="gramEnd"/>
      <w:r w:rsidR="006D4663">
        <w:t xml:space="preserve"> were ineffective at best in their roles</w:t>
      </w:r>
      <w:r w:rsidR="00F10C1B">
        <w:t>,</w:t>
      </w:r>
      <w:r w:rsidR="00AB56E9">
        <w:t xml:space="preserve"> and</w:t>
      </w:r>
      <w:r w:rsidR="00F10C1B">
        <w:t xml:space="preserve"> there was a substantial</w:t>
      </w:r>
      <w:r w:rsidR="00AC67A4">
        <w:t xml:space="preserve"> number of Southern Democrats who broke from the party line</w:t>
      </w:r>
      <w:r w:rsidR="00096642">
        <w:t xml:space="preserve"> by supporting </w:t>
      </w:r>
      <w:r w:rsidR="00AC67A4">
        <w:t>annexation</w:t>
      </w:r>
      <w:r w:rsidR="00915D3C">
        <w:t>. C</w:t>
      </w:r>
      <w:r w:rsidR="00096642">
        <w:t>ombining them with affirmative votes from Northern Republicans, Stockton hoped to achieve the two-thirds majorit</w:t>
      </w:r>
      <w:r w:rsidR="000360D7">
        <w:t xml:space="preserve">y necessary for admitting Jamaica. </w:t>
      </w:r>
    </w:p>
    <w:p w14:paraId="70B3F624" w14:textId="19DCDB1D" w:rsidR="004B2D55" w:rsidRDefault="004B2D55" w:rsidP="00B93D6D">
      <w:r>
        <w:t>Under the 1789 Constitution, treaties require</w:t>
      </w:r>
      <w:r w:rsidR="00047B6B">
        <w:t xml:space="preserve"> a two-thirds majority of the Senate</w:t>
      </w:r>
      <w:r w:rsidR="00ED27B8">
        <w:t xml:space="preserve"> which by its very nature overrepresented the South</w:t>
      </w:r>
      <w:r w:rsidR="00980B82">
        <w:t xml:space="preserve">, and despite the precedent of the acquisition of Luisiana </w:t>
      </w:r>
      <w:r w:rsidR="00636555">
        <w:t xml:space="preserve">seeming to show that a constitutional amendment was a prerequisite for annexing </w:t>
      </w:r>
      <w:r w:rsidR="0097399F">
        <w:t xml:space="preserve">territory, the Stockton administration considered it </w:t>
      </w:r>
      <w:r w:rsidR="000E2EE1">
        <w:t xml:space="preserve">vague enough that they could push their way. </w:t>
      </w:r>
      <w:r w:rsidR="00E00637">
        <w:t xml:space="preserve">By the time Stockton presented </w:t>
      </w:r>
      <w:r w:rsidR="00287E37">
        <w:t>the</w:t>
      </w:r>
      <w:r w:rsidR="00E00637">
        <w:t xml:space="preserve"> treaty of admission to the Senate, </w:t>
      </w:r>
      <w:r w:rsidR="009501CF">
        <w:t xml:space="preserve">he was already hard at work deploying patronage to </w:t>
      </w:r>
      <w:r w:rsidR="006B7B16">
        <w:t>get it through. This caused a massive ruckus</w:t>
      </w:r>
      <w:r w:rsidR="00A37C5A">
        <w:t xml:space="preserve">; Northern Democrats quickly declared this proof of a Planter Ascendancy hard at work destroying American liberty, and </w:t>
      </w:r>
      <w:r w:rsidR="00C42F4E">
        <w:t xml:space="preserve">beyond that several Northern Republicans </w:t>
      </w:r>
      <w:r w:rsidR="009A4F6F">
        <w:t xml:space="preserve">were quite disturbed at the idea </w:t>
      </w:r>
      <w:r w:rsidR="00456709">
        <w:t xml:space="preserve">of </w:t>
      </w:r>
      <w:r w:rsidR="00E417D7">
        <w:t>admitting a</w:t>
      </w:r>
      <w:r w:rsidR="00A75A9A">
        <w:t>nother slave state</w:t>
      </w:r>
      <w:r w:rsidR="00A21B26">
        <w:t xml:space="preserve">. A </w:t>
      </w:r>
      <w:r w:rsidR="00A21B26">
        <w:lastRenderedPageBreak/>
        <w:t>mass agitation of anti-Jamaica sentiment broke out across the North, involving both Democrats and Republicans</w:t>
      </w:r>
      <w:r w:rsidR="00A75A9A">
        <w:t xml:space="preserve">. </w:t>
      </w:r>
      <w:r w:rsidR="004D0607">
        <w:t>And though Everett’s leadership of the anti-admission effort left much to be desired</w:t>
      </w:r>
      <w:r w:rsidR="00701D4A">
        <w:t>, and though more radically antislavery opposition</w:t>
      </w:r>
      <w:r w:rsidR="00A6080D">
        <w:t xml:space="preserve"> under Joshua Giddings</w:t>
      </w:r>
      <w:r w:rsidR="00701D4A">
        <w:t xml:space="preserve"> only served to throw Southern Democrats towards admitting Jamaica</w:t>
      </w:r>
      <w:r w:rsidR="004D0607">
        <w:t xml:space="preserve">, </w:t>
      </w:r>
      <w:r w:rsidR="004A299B">
        <w:t xml:space="preserve">in the end the backlash </w:t>
      </w:r>
      <w:r w:rsidR="00C34E3B">
        <w:t xml:space="preserve">was enough to scuttle admission. </w:t>
      </w:r>
      <w:r w:rsidR="00C87EC6">
        <w:t>The vote was 3</w:t>
      </w:r>
      <w:r w:rsidR="0075218F">
        <w:t>0</w:t>
      </w:r>
      <w:r w:rsidR="00C87EC6">
        <w:t xml:space="preserve"> to </w:t>
      </w:r>
      <w:r w:rsidR="0075218F">
        <w:t xml:space="preserve">18 –close to the two-thirds margin required, but </w:t>
      </w:r>
      <w:r w:rsidR="00091C39">
        <w:t>not enough</w:t>
      </w:r>
      <w:r w:rsidR="005F466D">
        <w:t xml:space="preserve">, though well above a majority – and with that, </w:t>
      </w:r>
      <w:r w:rsidR="00234872">
        <w:t>admission of Jamaica collapsed</w:t>
      </w:r>
      <w:r w:rsidR="00091C39">
        <w:t xml:space="preserve">. </w:t>
      </w:r>
      <w:r w:rsidR="00AE79E6">
        <w:t xml:space="preserve">Though the close margin made some hope for a second attempt, in the end the Northern backlash was enough that Northern senators who voted for </w:t>
      </w:r>
      <w:r w:rsidR="0055461F">
        <w:t xml:space="preserve">admission now either had to recant their vote or </w:t>
      </w:r>
      <w:r w:rsidR="009C195B">
        <w:t>lose</w:t>
      </w:r>
      <w:r w:rsidR="004634E5">
        <w:t xml:space="preserve"> re-election</w:t>
      </w:r>
      <w:r w:rsidR="009C195B">
        <w:t>. No vote of admission would come so close</w:t>
      </w:r>
      <w:r w:rsidR="00657CAF">
        <w:t>, and everyone knew it</w:t>
      </w:r>
      <w:r w:rsidR="009C195B">
        <w:t xml:space="preserve">. </w:t>
      </w:r>
    </w:p>
    <w:p w14:paraId="62ED7318" w14:textId="14F1876E" w:rsidR="00290D20" w:rsidRDefault="00290D20" w:rsidP="00B93D6D">
      <w:r>
        <w:t xml:space="preserve">Nevertheless, though this was a defeat for the Planter Ascendancy, it hardly meant </w:t>
      </w:r>
      <w:r w:rsidR="00A13A53">
        <w:t>its</w:t>
      </w:r>
      <w:r>
        <w:t xml:space="preserve"> destruction. </w:t>
      </w:r>
      <w:r w:rsidR="00916147">
        <w:t>It still had considerable support in the Senate</w:t>
      </w:r>
      <w:r w:rsidR="000C3B1E">
        <w:t xml:space="preserve">, and in the </w:t>
      </w:r>
      <w:proofErr w:type="gramStart"/>
      <w:r w:rsidR="000C3B1E">
        <w:t>House</w:t>
      </w:r>
      <w:proofErr w:type="gramEnd"/>
      <w:r w:rsidR="000C3B1E">
        <w:t xml:space="preserve"> it could similarly boast of representation well and above </w:t>
      </w:r>
      <w:r w:rsidR="00924322">
        <w:t xml:space="preserve">what pure numbers would assume. </w:t>
      </w:r>
      <w:r w:rsidR="00601460">
        <w:t xml:space="preserve">If it could not be permitted to expand slavery by annexing Caribbean territories, then it could surely look elsewhere – and where else, but the plains </w:t>
      </w:r>
      <w:r w:rsidR="00434F34">
        <w:t xml:space="preserve">of the </w:t>
      </w:r>
      <w:proofErr w:type="gramStart"/>
      <w:r w:rsidR="00434F34">
        <w:t>as yet</w:t>
      </w:r>
      <w:proofErr w:type="gramEnd"/>
      <w:r w:rsidR="00434F34">
        <w:t xml:space="preserve"> unsettled West? </w:t>
      </w:r>
      <w:r w:rsidR="00FD16FD">
        <w:t>To be sure</w:t>
      </w:r>
      <w:r w:rsidR="00434F34">
        <w:t xml:space="preserve">, this would require </w:t>
      </w:r>
      <w:r w:rsidR="00D124A6">
        <w:t>scrapping the terms of Indian Removal</w:t>
      </w:r>
      <w:r w:rsidR="00357DBA">
        <w:t xml:space="preserve">, which guaranteed much of it to the very same expelled tribes forever – but not many Americans, North or South, considered sticking to such terms too strictly. </w:t>
      </w:r>
      <w:r w:rsidR="00F569A7">
        <w:t xml:space="preserve">But talk of expanding the zone of settlement in a slave-sided manner only increased, and it would not take long for such </w:t>
      </w:r>
      <w:r w:rsidR="00A90BA9">
        <w:t xml:space="preserve">policy to </w:t>
      </w:r>
      <w:r w:rsidR="000A2418">
        <w:t xml:space="preserve">be enacted. </w:t>
      </w:r>
    </w:p>
    <w:p w14:paraId="069D170A" w14:textId="7AEA807E" w:rsidR="00093634" w:rsidRPr="00B335F9" w:rsidRDefault="00093634" w:rsidP="00B93D6D">
      <w:r>
        <w:t>As for Jamaica, though President Walker was defeated, he did not consider even on</w:t>
      </w:r>
      <w:r w:rsidR="00B6443D">
        <w:t xml:space="preserve">ce leaving power. If he could not lead an American state as his fiefdom or expand his influence into American politics, then he could at least rule over his own country as a despot. </w:t>
      </w:r>
      <w:r w:rsidR="0068049A">
        <w:t xml:space="preserve">Thus, in the years and indeed decades that followed, though Walker maintained hopes that his country would be admitted as an American state, he focused himself on </w:t>
      </w:r>
      <w:r w:rsidR="003850C7">
        <w:t xml:space="preserve">modernizing reforms that would establish Jamaica as a </w:t>
      </w:r>
      <w:r w:rsidR="003850C7">
        <w:lastRenderedPageBreak/>
        <w:t>citadel of modernized slavery. He maintained good relations with the United States</w:t>
      </w:r>
      <w:r w:rsidR="00F51B4C">
        <w:t xml:space="preserve"> –</w:t>
      </w:r>
      <w:r w:rsidR="003850C7">
        <w:t xml:space="preserve"> all the way until that meant</w:t>
      </w:r>
      <w:r w:rsidR="00F51B4C">
        <w:t xml:space="preserve">, with the Liberty and Union War, taking a side in a brutal and fratricidal war. And </w:t>
      </w:r>
      <w:proofErr w:type="gramStart"/>
      <w:r w:rsidR="00F51B4C">
        <w:t>thus</w:t>
      </w:r>
      <w:proofErr w:type="gramEnd"/>
      <w:r w:rsidR="00F51B4C">
        <w:t xml:space="preserve"> it was that the name “William Walker” became synonymous with the planter elite of Jamaica – and indeed, with an entire era of Jamaican history. </w:t>
      </w:r>
    </w:p>
    <w:p w14:paraId="6063813F" w14:textId="77777777" w:rsidR="00BA613D" w:rsidRDefault="00BA613D" w:rsidP="00BA613D">
      <w:r>
        <w:br w:type="page"/>
      </w:r>
    </w:p>
    <w:p w14:paraId="2ED58BC8" w14:textId="77777777" w:rsidR="004F1F3F" w:rsidRDefault="004F1F3F" w:rsidP="004F1F3F"/>
    <w:p w14:paraId="6A7EA159" w14:textId="77777777" w:rsidR="00BA613D" w:rsidRDefault="00BA613D" w:rsidP="004F1F3F">
      <w:pPr>
        <w:sectPr w:rsidR="00BA613D" w:rsidSect="004F1F3F">
          <w:footnotePr>
            <w:numRestart w:val="eachSect"/>
          </w:footnotePr>
          <w:endnotePr>
            <w:numFmt w:val="decimal"/>
            <w:numRestart w:val="eachSect"/>
          </w:endnotePr>
          <w:type w:val="continuous"/>
          <w:pgSz w:w="12240" w:h="15840"/>
          <w:pgMar w:top="1440" w:right="1440" w:bottom="1440" w:left="1440" w:header="708" w:footer="708" w:gutter="0"/>
          <w:cols w:space="708"/>
          <w:docGrid w:linePitch="360"/>
        </w:sectPr>
      </w:pPr>
    </w:p>
    <w:p w14:paraId="1700CA8C" w14:textId="77777777" w:rsidR="004F1F3F" w:rsidRDefault="004F1F3F" w:rsidP="004F1F3F">
      <w:r>
        <w:br w:type="page"/>
      </w:r>
    </w:p>
    <w:p w14:paraId="683E1095" w14:textId="32C932FC" w:rsidR="00C62819" w:rsidRDefault="00C62819" w:rsidP="00C62819">
      <w:pPr>
        <w:pStyle w:val="Heading1"/>
      </w:pPr>
      <w:bookmarkStart w:id="64" w:name="_Toc202006250"/>
      <w:r>
        <w:lastRenderedPageBreak/>
        <w:t>Appendix 1. Map of the United States of America</w:t>
      </w:r>
      <w:bookmarkEnd w:id="64"/>
    </w:p>
    <w:p w14:paraId="051E1425" w14:textId="1301F8A3" w:rsidR="00C62819" w:rsidRDefault="004964C2" w:rsidP="00CE5D4E">
      <w:pPr>
        <w:pStyle w:val="NoSpacing"/>
        <w:jc w:val="center"/>
      </w:pPr>
      <w:r>
        <w:rPr>
          <w:noProof/>
        </w:rPr>
        <w:drawing>
          <wp:inline distT="0" distB="0" distL="0" distR="0" wp14:anchorId="11BFDAA0" wp14:editId="4A6974DA">
            <wp:extent cx="7665175" cy="3524671"/>
            <wp:effectExtent l="0" t="6032" r="6032" b="6033"/>
            <wp:docPr id="218422085"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22085" name="Picture 1" descr="A map of the united stat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7721007" cy="3550344"/>
                    </a:xfrm>
                    <a:prstGeom prst="rect">
                      <a:avLst/>
                    </a:prstGeom>
                  </pic:spPr>
                </pic:pic>
              </a:graphicData>
            </a:graphic>
          </wp:inline>
        </w:drawing>
      </w:r>
      <w:r w:rsidR="00C62819">
        <w:br w:type="page"/>
      </w:r>
    </w:p>
    <w:p w14:paraId="36318B19" w14:textId="7C4323B3" w:rsidR="009D6189" w:rsidRDefault="009D6189" w:rsidP="009D6189">
      <w:pPr>
        <w:pStyle w:val="Heading1"/>
      </w:pPr>
      <w:bookmarkStart w:id="65" w:name="_Toc202006251"/>
      <w:r>
        <w:lastRenderedPageBreak/>
        <w:t>Appendix 2. States of the United States of America</w:t>
      </w:r>
      <w:bookmarkEnd w:id="65"/>
    </w:p>
    <w:tbl>
      <w:tblPr>
        <w:tblW w:w="9251" w:type="dxa"/>
        <w:tblCellMar>
          <w:top w:w="15" w:type="dxa"/>
          <w:left w:w="15" w:type="dxa"/>
          <w:bottom w:w="15" w:type="dxa"/>
          <w:right w:w="15" w:type="dxa"/>
        </w:tblCellMar>
        <w:tblLook w:val="04A0" w:firstRow="1" w:lastRow="0" w:firstColumn="1" w:lastColumn="0" w:noHBand="0" w:noVBand="1"/>
      </w:tblPr>
      <w:tblGrid>
        <w:gridCol w:w="747"/>
        <w:gridCol w:w="5783"/>
        <w:gridCol w:w="2721"/>
      </w:tblGrid>
      <w:tr w:rsidR="009D6189" w:rsidRPr="002B45C0" w14:paraId="73225B43" w14:textId="77777777" w:rsidTr="00125FCE">
        <w:trPr>
          <w:trHeight w:val="258"/>
          <w:tblHeader/>
        </w:trPr>
        <w:tc>
          <w:tcPr>
            <w:tcW w:w="0" w:type="auto"/>
            <w:tcBorders>
              <w:bottom w:val="single" w:sz="4" w:space="0" w:color="auto"/>
            </w:tcBorders>
            <w:vAlign w:val="center"/>
            <w:hideMark/>
          </w:tcPr>
          <w:p w14:paraId="25B2092A" w14:textId="77777777" w:rsidR="009D6189" w:rsidRPr="002B45C0" w:rsidRDefault="009D6189" w:rsidP="00990CEF">
            <w:pPr>
              <w:pStyle w:val="NoSpacing"/>
              <w:rPr>
                <w:b/>
                <w:bCs/>
              </w:rPr>
            </w:pPr>
          </w:p>
        </w:tc>
        <w:tc>
          <w:tcPr>
            <w:tcW w:w="5783" w:type="dxa"/>
            <w:tcBorders>
              <w:bottom w:val="single" w:sz="4" w:space="0" w:color="auto"/>
            </w:tcBorders>
            <w:vAlign w:val="center"/>
            <w:hideMark/>
          </w:tcPr>
          <w:p w14:paraId="3A1643E2" w14:textId="77777777" w:rsidR="009D6189" w:rsidRPr="002B45C0" w:rsidRDefault="009D6189" w:rsidP="00990CEF">
            <w:pPr>
              <w:pStyle w:val="NoSpacing"/>
              <w:rPr>
                <w:b/>
                <w:bCs/>
              </w:rPr>
            </w:pPr>
            <w:r w:rsidRPr="002B45C0">
              <w:rPr>
                <w:b/>
                <w:bCs/>
              </w:rPr>
              <w:t>State</w:t>
            </w:r>
          </w:p>
        </w:tc>
        <w:tc>
          <w:tcPr>
            <w:tcW w:w="2721" w:type="dxa"/>
            <w:tcBorders>
              <w:bottom w:val="single" w:sz="4" w:space="0" w:color="auto"/>
            </w:tcBorders>
            <w:vAlign w:val="center"/>
            <w:hideMark/>
          </w:tcPr>
          <w:p w14:paraId="033714B7" w14:textId="77777777" w:rsidR="009D6189" w:rsidRPr="002B45C0" w:rsidRDefault="009D6189" w:rsidP="00990CEF">
            <w:pPr>
              <w:pStyle w:val="NoSpacing"/>
              <w:rPr>
                <w:b/>
                <w:bCs/>
              </w:rPr>
            </w:pPr>
            <w:r w:rsidRPr="002B45C0">
              <w:rPr>
                <w:b/>
                <w:bCs/>
              </w:rPr>
              <w:t>Date admitted</w:t>
            </w:r>
          </w:p>
        </w:tc>
      </w:tr>
      <w:tr w:rsidR="009D6189" w:rsidRPr="002B45C0" w14:paraId="12954C3E" w14:textId="77777777" w:rsidTr="00125FCE">
        <w:trPr>
          <w:trHeight w:val="258"/>
        </w:trPr>
        <w:tc>
          <w:tcPr>
            <w:tcW w:w="0" w:type="auto"/>
            <w:tcBorders>
              <w:top w:val="single" w:sz="4" w:space="0" w:color="auto"/>
            </w:tcBorders>
            <w:vAlign w:val="center"/>
            <w:hideMark/>
          </w:tcPr>
          <w:p w14:paraId="08140EAF" w14:textId="77777777" w:rsidR="009D6189" w:rsidRPr="002B45C0" w:rsidRDefault="009D6189" w:rsidP="00990CEF">
            <w:pPr>
              <w:pStyle w:val="NoSpacing"/>
            </w:pPr>
            <w:r w:rsidRPr="002B45C0">
              <w:t>1</w:t>
            </w:r>
          </w:p>
        </w:tc>
        <w:tc>
          <w:tcPr>
            <w:tcW w:w="5783" w:type="dxa"/>
            <w:tcBorders>
              <w:top w:val="single" w:sz="4" w:space="0" w:color="auto"/>
            </w:tcBorders>
            <w:vAlign w:val="center"/>
            <w:hideMark/>
          </w:tcPr>
          <w:p w14:paraId="04840501" w14:textId="77777777" w:rsidR="009D6189" w:rsidRPr="002B45C0" w:rsidRDefault="009D6189" w:rsidP="00990CEF">
            <w:pPr>
              <w:pStyle w:val="NoSpacing"/>
            </w:pPr>
            <w:r w:rsidRPr="002B45C0">
              <w:t>Delaware</w:t>
            </w:r>
          </w:p>
        </w:tc>
        <w:tc>
          <w:tcPr>
            <w:tcW w:w="2721" w:type="dxa"/>
            <w:tcBorders>
              <w:top w:val="single" w:sz="4" w:space="0" w:color="auto"/>
            </w:tcBorders>
            <w:vAlign w:val="center"/>
            <w:hideMark/>
          </w:tcPr>
          <w:p w14:paraId="57C09808" w14:textId="77777777" w:rsidR="009D6189" w:rsidRPr="002B45C0" w:rsidRDefault="009D6189" w:rsidP="00990CEF">
            <w:pPr>
              <w:pStyle w:val="NoSpacing"/>
            </w:pPr>
            <w:r w:rsidRPr="002B45C0">
              <w:t>1787</w:t>
            </w:r>
          </w:p>
        </w:tc>
      </w:tr>
      <w:tr w:rsidR="009D6189" w:rsidRPr="002B45C0" w14:paraId="510E6888" w14:textId="77777777" w:rsidTr="00990CEF">
        <w:trPr>
          <w:trHeight w:val="252"/>
        </w:trPr>
        <w:tc>
          <w:tcPr>
            <w:tcW w:w="0" w:type="auto"/>
            <w:vAlign w:val="center"/>
            <w:hideMark/>
          </w:tcPr>
          <w:p w14:paraId="049A9821" w14:textId="77777777" w:rsidR="009D6189" w:rsidRPr="002B45C0" w:rsidRDefault="009D6189" w:rsidP="00990CEF">
            <w:pPr>
              <w:pStyle w:val="NoSpacing"/>
            </w:pPr>
            <w:r w:rsidRPr="002B45C0">
              <w:t>2</w:t>
            </w:r>
          </w:p>
        </w:tc>
        <w:tc>
          <w:tcPr>
            <w:tcW w:w="5783" w:type="dxa"/>
            <w:vAlign w:val="center"/>
            <w:hideMark/>
          </w:tcPr>
          <w:p w14:paraId="39CAE6E8" w14:textId="77777777" w:rsidR="009D6189" w:rsidRPr="002B45C0" w:rsidRDefault="009D6189" w:rsidP="00990CEF">
            <w:pPr>
              <w:pStyle w:val="NoSpacing"/>
            </w:pPr>
            <w:r w:rsidRPr="002B45C0">
              <w:t>Pennsylvania</w:t>
            </w:r>
          </w:p>
        </w:tc>
        <w:tc>
          <w:tcPr>
            <w:tcW w:w="2721" w:type="dxa"/>
            <w:vAlign w:val="center"/>
            <w:hideMark/>
          </w:tcPr>
          <w:p w14:paraId="38091F9C" w14:textId="77777777" w:rsidR="009D6189" w:rsidRPr="002B45C0" w:rsidRDefault="009D6189" w:rsidP="00990CEF">
            <w:pPr>
              <w:pStyle w:val="NoSpacing"/>
            </w:pPr>
            <w:r w:rsidRPr="002B45C0">
              <w:t>1787</w:t>
            </w:r>
          </w:p>
        </w:tc>
      </w:tr>
      <w:tr w:rsidR="009D6189" w:rsidRPr="002B45C0" w14:paraId="1B9CEC55" w14:textId="77777777" w:rsidTr="00990CEF">
        <w:trPr>
          <w:trHeight w:val="258"/>
        </w:trPr>
        <w:tc>
          <w:tcPr>
            <w:tcW w:w="0" w:type="auto"/>
            <w:vAlign w:val="center"/>
            <w:hideMark/>
          </w:tcPr>
          <w:p w14:paraId="30CD0079" w14:textId="77777777" w:rsidR="009D6189" w:rsidRPr="002B45C0" w:rsidRDefault="009D6189" w:rsidP="00990CEF">
            <w:pPr>
              <w:pStyle w:val="NoSpacing"/>
            </w:pPr>
            <w:r w:rsidRPr="002B45C0">
              <w:t>3</w:t>
            </w:r>
          </w:p>
        </w:tc>
        <w:tc>
          <w:tcPr>
            <w:tcW w:w="5783" w:type="dxa"/>
            <w:vAlign w:val="center"/>
            <w:hideMark/>
          </w:tcPr>
          <w:p w14:paraId="4397FE58" w14:textId="77777777" w:rsidR="009D6189" w:rsidRPr="002B45C0" w:rsidRDefault="009D6189" w:rsidP="00990CEF">
            <w:pPr>
              <w:pStyle w:val="NoSpacing"/>
            </w:pPr>
            <w:r w:rsidRPr="002B45C0">
              <w:t>New Jersey</w:t>
            </w:r>
          </w:p>
        </w:tc>
        <w:tc>
          <w:tcPr>
            <w:tcW w:w="2721" w:type="dxa"/>
            <w:vAlign w:val="center"/>
            <w:hideMark/>
          </w:tcPr>
          <w:p w14:paraId="39054E63" w14:textId="77777777" w:rsidR="009D6189" w:rsidRPr="002B45C0" w:rsidRDefault="009D6189" w:rsidP="00990CEF">
            <w:pPr>
              <w:pStyle w:val="NoSpacing"/>
            </w:pPr>
            <w:r w:rsidRPr="002B45C0">
              <w:t>1787</w:t>
            </w:r>
          </w:p>
        </w:tc>
      </w:tr>
      <w:tr w:rsidR="009D6189" w:rsidRPr="002B45C0" w14:paraId="7C00C449" w14:textId="77777777" w:rsidTr="00990CEF">
        <w:trPr>
          <w:trHeight w:val="258"/>
        </w:trPr>
        <w:tc>
          <w:tcPr>
            <w:tcW w:w="0" w:type="auto"/>
            <w:vAlign w:val="center"/>
            <w:hideMark/>
          </w:tcPr>
          <w:p w14:paraId="6E232D7A" w14:textId="77777777" w:rsidR="009D6189" w:rsidRPr="002B45C0" w:rsidRDefault="009D6189" w:rsidP="00990CEF">
            <w:pPr>
              <w:pStyle w:val="NoSpacing"/>
            </w:pPr>
            <w:r w:rsidRPr="002B45C0">
              <w:t>4</w:t>
            </w:r>
          </w:p>
        </w:tc>
        <w:tc>
          <w:tcPr>
            <w:tcW w:w="5783" w:type="dxa"/>
            <w:vAlign w:val="center"/>
            <w:hideMark/>
          </w:tcPr>
          <w:p w14:paraId="56948ECA" w14:textId="77777777" w:rsidR="009D6189" w:rsidRPr="002B45C0" w:rsidRDefault="009D6189" w:rsidP="00990CEF">
            <w:pPr>
              <w:pStyle w:val="NoSpacing"/>
            </w:pPr>
            <w:r w:rsidRPr="002B45C0">
              <w:t>Georgia</w:t>
            </w:r>
          </w:p>
        </w:tc>
        <w:tc>
          <w:tcPr>
            <w:tcW w:w="2721" w:type="dxa"/>
            <w:vAlign w:val="center"/>
            <w:hideMark/>
          </w:tcPr>
          <w:p w14:paraId="1C36C3C3" w14:textId="77777777" w:rsidR="009D6189" w:rsidRPr="002B45C0" w:rsidRDefault="009D6189" w:rsidP="00990CEF">
            <w:pPr>
              <w:pStyle w:val="NoSpacing"/>
            </w:pPr>
            <w:r w:rsidRPr="002B45C0">
              <w:t>1788</w:t>
            </w:r>
          </w:p>
        </w:tc>
      </w:tr>
      <w:tr w:rsidR="009D6189" w:rsidRPr="002B45C0" w14:paraId="1A9AB484" w14:textId="77777777" w:rsidTr="00990CEF">
        <w:trPr>
          <w:trHeight w:val="258"/>
        </w:trPr>
        <w:tc>
          <w:tcPr>
            <w:tcW w:w="0" w:type="auto"/>
            <w:vAlign w:val="center"/>
            <w:hideMark/>
          </w:tcPr>
          <w:p w14:paraId="44772A6B" w14:textId="77777777" w:rsidR="009D6189" w:rsidRPr="002B45C0" w:rsidRDefault="009D6189" w:rsidP="00990CEF">
            <w:pPr>
              <w:pStyle w:val="NoSpacing"/>
            </w:pPr>
            <w:r w:rsidRPr="002B45C0">
              <w:t>5</w:t>
            </w:r>
          </w:p>
        </w:tc>
        <w:tc>
          <w:tcPr>
            <w:tcW w:w="5783" w:type="dxa"/>
            <w:vAlign w:val="center"/>
            <w:hideMark/>
          </w:tcPr>
          <w:p w14:paraId="2AA31520" w14:textId="77777777" w:rsidR="009D6189" w:rsidRPr="002B45C0" w:rsidRDefault="009D6189" w:rsidP="00990CEF">
            <w:pPr>
              <w:pStyle w:val="NoSpacing"/>
            </w:pPr>
            <w:r w:rsidRPr="002B45C0">
              <w:t>Connecticut</w:t>
            </w:r>
          </w:p>
        </w:tc>
        <w:tc>
          <w:tcPr>
            <w:tcW w:w="2721" w:type="dxa"/>
            <w:vAlign w:val="center"/>
            <w:hideMark/>
          </w:tcPr>
          <w:p w14:paraId="4D6E46B0" w14:textId="77777777" w:rsidR="009D6189" w:rsidRPr="002B45C0" w:rsidRDefault="009D6189" w:rsidP="00990CEF">
            <w:pPr>
              <w:pStyle w:val="NoSpacing"/>
            </w:pPr>
            <w:r w:rsidRPr="002B45C0">
              <w:t>1788</w:t>
            </w:r>
          </w:p>
        </w:tc>
      </w:tr>
      <w:tr w:rsidR="009D6189" w:rsidRPr="002B45C0" w14:paraId="7D475DE3" w14:textId="77777777" w:rsidTr="00990CEF">
        <w:trPr>
          <w:trHeight w:val="252"/>
        </w:trPr>
        <w:tc>
          <w:tcPr>
            <w:tcW w:w="0" w:type="auto"/>
            <w:vAlign w:val="center"/>
            <w:hideMark/>
          </w:tcPr>
          <w:p w14:paraId="3C0BF8FB" w14:textId="77777777" w:rsidR="009D6189" w:rsidRPr="002B45C0" w:rsidRDefault="009D6189" w:rsidP="00990CEF">
            <w:pPr>
              <w:pStyle w:val="NoSpacing"/>
            </w:pPr>
            <w:r w:rsidRPr="002B45C0">
              <w:t>6</w:t>
            </w:r>
          </w:p>
        </w:tc>
        <w:tc>
          <w:tcPr>
            <w:tcW w:w="5783" w:type="dxa"/>
            <w:vAlign w:val="center"/>
            <w:hideMark/>
          </w:tcPr>
          <w:p w14:paraId="325B8489" w14:textId="77777777" w:rsidR="009D6189" w:rsidRPr="002B45C0" w:rsidRDefault="009D6189" w:rsidP="00990CEF">
            <w:pPr>
              <w:pStyle w:val="NoSpacing"/>
            </w:pPr>
            <w:r w:rsidRPr="002B45C0">
              <w:t>Massachusetts</w:t>
            </w:r>
          </w:p>
        </w:tc>
        <w:tc>
          <w:tcPr>
            <w:tcW w:w="2721" w:type="dxa"/>
            <w:vAlign w:val="center"/>
            <w:hideMark/>
          </w:tcPr>
          <w:p w14:paraId="7BF83CF4" w14:textId="77777777" w:rsidR="009D6189" w:rsidRPr="002B45C0" w:rsidRDefault="009D6189" w:rsidP="00990CEF">
            <w:pPr>
              <w:pStyle w:val="NoSpacing"/>
            </w:pPr>
            <w:r w:rsidRPr="002B45C0">
              <w:t>1788</w:t>
            </w:r>
          </w:p>
        </w:tc>
      </w:tr>
      <w:tr w:rsidR="009D6189" w:rsidRPr="002B45C0" w14:paraId="3350844D" w14:textId="77777777" w:rsidTr="00990CEF">
        <w:trPr>
          <w:trHeight w:val="258"/>
        </w:trPr>
        <w:tc>
          <w:tcPr>
            <w:tcW w:w="0" w:type="auto"/>
            <w:vAlign w:val="center"/>
            <w:hideMark/>
          </w:tcPr>
          <w:p w14:paraId="35E9DA68" w14:textId="77777777" w:rsidR="009D6189" w:rsidRPr="002B45C0" w:rsidRDefault="009D6189" w:rsidP="00990CEF">
            <w:pPr>
              <w:pStyle w:val="NoSpacing"/>
            </w:pPr>
            <w:r w:rsidRPr="002B45C0">
              <w:t>7</w:t>
            </w:r>
          </w:p>
        </w:tc>
        <w:tc>
          <w:tcPr>
            <w:tcW w:w="5783" w:type="dxa"/>
            <w:vAlign w:val="center"/>
            <w:hideMark/>
          </w:tcPr>
          <w:p w14:paraId="676C94E1" w14:textId="77777777" w:rsidR="009D6189" w:rsidRPr="002B45C0" w:rsidRDefault="009D6189" w:rsidP="00990CEF">
            <w:pPr>
              <w:pStyle w:val="NoSpacing"/>
            </w:pPr>
            <w:r w:rsidRPr="002B45C0">
              <w:t>Maryland</w:t>
            </w:r>
          </w:p>
        </w:tc>
        <w:tc>
          <w:tcPr>
            <w:tcW w:w="2721" w:type="dxa"/>
            <w:vAlign w:val="center"/>
            <w:hideMark/>
          </w:tcPr>
          <w:p w14:paraId="4B98786B" w14:textId="77777777" w:rsidR="009D6189" w:rsidRPr="002B45C0" w:rsidRDefault="009D6189" w:rsidP="00990CEF">
            <w:pPr>
              <w:pStyle w:val="NoSpacing"/>
            </w:pPr>
            <w:r w:rsidRPr="002B45C0">
              <w:t>1788</w:t>
            </w:r>
          </w:p>
        </w:tc>
      </w:tr>
      <w:tr w:rsidR="009D6189" w:rsidRPr="002B45C0" w14:paraId="78936683" w14:textId="77777777" w:rsidTr="00990CEF">
        <w:trPr>
          <w:trHeight w:val="258"/>
        </w:trPr>
        <w:tc>
          <w:tcPr>
            <w:tcW w:w="0" w:type="auto"/>
            <w:vAlign w:val="center"/>
            <w:hideMark/>
          </w:tcPr>
          <w:p w14:paraId="32F0593D" w14:textId="77777777" w:rsidR="009D6189" w:rsidRPr="002B45C0" w:rsidRDefault="009D6189" w:rsidP="00990CEF">
            <w:pPr>
              <w:pStyle w:val="NoSpacing"/>
            </w:pPr>
            <w:r w:rsidRPr="002B45C0">
              <w:t>8</w:t>
            </w:r>
          </w:p>
        </w:tc>
        <w:tc>
          <w:tcPr>
            <w:tcW w:w="5783" w:type="dxa"/>
            <w:vAlign w:val="center"/>
            <w:hideMark/>
          </w:tcPr>
          <w:p w14:paraId="499C35C7" w14:textId="77777777" w:rsidR="009D6189" w:rsidRPr="002B45C0" w:rsidRDefault="009D6189" w:rsidP="00990CEF">
            <w:pPr>
              <w:pStyle w:val="NoSpacing"/>
            </w:pPr>
            <w:r w:rsidRPr="002B45C0">
              <w:t>South Carolina</w:t>
            </w:r>
          </w:p>
        </w:tc>
        <w:tc>
          <w:tcPr>
            <w:tcW w:w="2721" w:type="dxa"/>
            <w:vAlign w:val="center"/>
            <w:hideMark/>
          </w:tcPr>
          <w:p w14:paraId="08C7EB1D" w14:textId="77777777" w:rsidR="009D6189" w:rsidRPr="002B45C0" w:rsidRDefault="009D6189" w:rsidP="00990CEF">
            <w:pPr>
              <w:pStyle w:val="NoSpacing"/>
            </w:pPr>
            <w:r w:rsidRPr="002B45C0">
              <w:t>1788</w:t>
            </w:r>
          </w:p>
        </w:tc>
      </w:tr>
      <w:tr w:rsidR="009D6189" w:rsidRPr="002B45C0" w14:paraId="59773ACA" w14:textId="77777777" w:rsidTr="00990CEF">
        <w:trPr>
          <w:trHeight w:val="258"/>
        </w:trPr>
        <w:tc>
          <w:tcPr>
            <w:tcW w:w="0" w:type="auto"/>
            <w:vAlign w:val="center"/>
            <w:hideMark/>
          </w:tcPr>
          <w:p w14:paraId="49D0AB85" w14:textId="77777777" w:rsidR="009D6189" w:rsidRPr="002B45C0" w:rsidRDefault="009D6189" w:rsidP="00990CEF">
            <w:pPr>
              <w:pStyle w:val="NoSpacing"/>
            </w:pPr>
            <w:r w:rsidRPr="002B45C0">
              <w:t>9</w:t>
            </w:r>
          </w:p>
        </w:tc>
        <w:tc>
          <w:tcPr>
            <w:tcW w:w="5783" w:type="dxa"/>
            <w:vAlign w:val="center"/>
            <w:hideMark/>
          </w:tcPr>
          <w:p w14:paraId="6550F7F0" w14:textId="77777777" w:rsidR="009D6189" w:rsidRPr="002B45C0" w:rsidRDefault="009D6189" w:rsidP="00990CEF">
            <w:pPr>
              <w:pStyle w:val="NoSpacing"/>
            </w:pPr>
            <w:r w:rsidRPr="002B45C0">
              <w:t>New Hampshire</w:t>
            </w:r>
          </w:p>
        </w:tc>
        <w:tc>
          <w:tcPr>
            <w:tcW w:w="2721" w:type="dxa"/>
            <w:vAlign w:val="center"/>
            <w:hideMark/>
          </w:tcPr>
          <w:p w14:paraId="6E449E3B" w14:textId="77777777" w:rsidR="009D6189" w:rsidRPr="002B45C0" w:rsidRDefault="009D6189" w:rsidP="00990CEF">
            <w:pPr>
              <w:pStyle w:val="NoSpacing"/>
            </w:pPr>
            <w:r w:rsidRPr="002B45C0">
              <w:t>1788</w:t>
            </w:r>
          </w:p>
        </w:tc>
      </w:tr>
      <w:tr w:rsidR="009D6189" w:rsidRPr="002B45C0" w14:paraId="79C68DF3" w14:textId="77777777" w:rsidTr="00990CEF">
        <w:trPr>
          <w:trHeight w:val="252"/>
        </w:trPr>
        <w:tc>
          <w:tcPr>
            <w:tcW w:w="0" w:type="auto"/>
            <w:vAlign w:val="center"/>
            <w:hideMark/>
          </w:tcPr>
          <w:p w14:paraId="4E172CE0" w14:textId="77777777" w:rsidR="009D6189" w:rsidRPr="002B45C0" w:rsidRDefault="009D6189" w:rsidP="00990CEF">
            <w:pPr>
              <w:pStyle w:val="NoSpacing"/>
            </w:pPr>
            <w:r w:rsidRPr="002B45C0">
              <w:t>10</w:t>
            </w:r>
          </w:p>
        </w:tc>
        <w:tc>
          <w:tcPr>
            <w:tcW w:w="5783" w:type="dxa"/>
            <w:vAlign w:val="center"/>
            <w:hideMark/>
          </w:tcPr>
          <w:p w14:paraId="6A2170E1" w14:textId="77777777" w:rsidR="009D6189" w:rsidRPr="002B45C0" w:rsidRDefault="009D6189" w:rsidP="00990CEF">
            <w:pPr>
              <w:pStyle w:val="NoSpacing"/>
            </w:pPr>
            <w:r w:rsidRPr="002B45C0">
              <w:t>Virginia</w:t>
            </w:r>
          </w:p>
        </w:tc>
        <w:tc>
          <w:tcPr>
            <w:tcW w:w="2721" w:type="dxa"/>
            <w:vAlign w:val="center"/>
            <w:hideMark/>
          </w:tcPr>
          <w:p w14:paraId="1FF449F9" w14:textId="77777777" w:rsidR="009D6189" w:rsidRPr="002B45C0" w:rsidRDefault="009D6189" w:rsidP="00990CEF">
            <w:pPr>
              <w:pStyle w:val="NoSpacing"/>
            </w:pPr>
            <w:r w:rsidRPr="002B45C0">
              <w:t>1788</w:t>
            </w:r>
          </w:p>
        </w:tc>
      </w:tr>
      <w:tr w:rsidR="009D6189" w:rsidRPr="002B45C0" w14:paraId="14410A6F" w14:textId="77777777" w:rsidTr="00990CEF">
        <w:trPr>
          <w:trHeight w:val="258"/>
        </w:trPr>
        <w:tc>
          <w:tcPr>
            <w:tcW w:w="0" w:type="auto"/>
            <w:vAlign w:val="center"/>
            <w:hideMark/>
          </w:tcPr>
          <w:p w14:paraId="5140A1D5" w14:textId="77777777" w:rsidR="009D6189" w:rsidRPr="002B45C0" w:rsidRDefault="009D6189" w:rsidP="00990CEF">
            <w:pPr>
              <w:pStyle w:val="NoSpacing"/>
            </w:pPr>
            <w:r w:rsidRPr="002B45C0">
              <w:t>11</w:t>
            </w:r>
          </w:p>
        </w:tc>
        <w:tc>
          <w:tcPr>
            <w:tcW w:w="5783" w:type="dxa"/>
            <w:vAlign w:val="center"/>
            <w:hideMark/>
          </w:tcPr>
          <w:p w14:paraId="378D3A47" w14:textId="77777777" w:rsidR="009D6189" w:rsidRPr="002B45C0" w:rsidRDefault="009D6189" w:rsidP="00990CEF">
            <w:pPr>
              <w:pStyle w:val="NoSpacing"/>
            </w:pPr>
            <w:r w:rsidRPr="002B45C0">
              <w:t>New York</w:t>
            </w:r>
          </w:p>
        </w:tc>
        <w:tc>
          <w:tcPr>
            <w:tcW w:w="2721" w:type="dxa"/>
            <w:vAlign w:val="center"/>
            <w:hideMark/>
          </w:tcPr>
          <w:p w14:paraId="40017DB9" w14:textId="77777777" w:rsidR="009D6189" w:rsidRPr="002B45C0" w:rsidRDefault="009D6189" w:rsidP="00990CEF">
            <w:pPr>
              <w:pStyle w:val="NoSpacing"/>
            </w:pPr>
            <w:r w:rsidRPr="002B45C0">
              <w:t>1788</w:t>
            </w:r>
          </w:p>
        </w:tc>
      </w:tr>
      <w:tr w:rsidR="009D6189" w:rsidRPr="002B45C0" w14:paraId="6EEC6F57" w14:textId="77777777" w:rsidTr="00990CEF">
        <w:trPr>
          <w:trHeight w:val="258"/>
        </w:trPr>
        <w:tc>
          <w:tcPr>
            <w:tcW w:w="0" w:type="auto"/>
            <w:vAlign w:val="center"/>
            <w:hideMark/>
          </w:tcPr>
          <w:p w14:paraId="1E3A1134" w14:textId="77777777" w:rsidR="009D6189" w:rsidRPr="002B45C0" w:rsidRDefault="009D6189" w:rsidP="00990CEF">
            <w:pPr>
              <w:pStyle w:val="NoSpacing"/>
            </w:pPr>
            <w:r w:rsidRPr="002B45C0">
              <w:t>12</w:t>
            </w:r>
          </w:p>
        </w:tc>
        <w:tc>
          <w:tcPr>
            <w:tcW w:w="5783" w:type="dxa"/>
            <w:vAlign w:val="center"/>
            <w:hideMark/>
          </w:tcPr>
          <w:p w14:paraId="34B2B94E" w14:textId="77777777" w:rsidR="009D6189" w:rsidRPr="002B45C0" w:rsidRDefault="009D6189" w:rsidP="00990CEF">
            <w:pPr>
              <w:pStyle w:val="NoSpacing"/>
            </w:pPr>
            <w:r w:rsidRPr="002B45C0">
              <w:t>North Carolina</w:t>
            </w:r>
          </w:p>
        </w:tc>
        <w:tc>
          <w:tcPr>
            <w:tcW w:w="2721" w:type="dxa"/>
            <w:vAlign w:val="center"/>
            <w:hideMark/>
          </w:tcPr>
          <w:p w14:paraId="477BAEC4" w14:textId="77777777" w:rsidR="009D6189" w:rsidRPr="002B45C0" w:rsidRDefault="009D6189" w:rsidP="00990CEF">
            <w:pPr>
              <w:pStyle w:val="NoSpacing"/>
            </w:pPr>
            <w:r w:rsidRPr="002B45C0">
              <w:t>1789</w:t>
            </w:r>
          </w:p>
        </w:tc>
      </w:tr>
      <w:tr w:rsidR="009D6189" w:rsidRPr="002B45C0" w14:paraId="35FB74CF" w14:textId="77777777" w:rsidTr="00990CEF">
        <w:trPr>
          <w:trHeight w:val="258"/>
        </w:trPr>
        <w:tc>
          <w:tcPr>
            <w:tcW w:w="0" w:type="auto"/>
            <w:vAlign w:val="center"/>
            <w:hideMark/>
          </w:tcPr>
          <w:p w14:paraId="7F784A26" w14:textId="77777777" w:rsidR="009D6189" w:rsidRPr="002B45C0" w:rsidRDefault="009D6189" w:rsidP="00990CEF">
            <w:pPr>
              <w:pStyle w:val="NoSpacing"/>
            </w:pPr>
            <w:r w:rsidRPr="002B45C0">
              <w:t>13</w:t>
            </w:r>
          </w:p>
        </w:tc>
        <w:tc>
          <w:tcPr>
            <w:tcW w:w="5783" w:type="dxa"/>
            <w:vAlign w:val="center"/>
            <w:hideMark/>
          </w:tcPr>
          <w:p w14:paraId="44C18339" w14:textId="77777777" w:rsidR="009D6189" w:rsidRPr="002B45C0" w:rsidRDefault="009D6189" w:rsidP="00990CEF">
            <w:pPr>
              <w:pStyle w:val="NoSpacing"/>
            </w:pPr>
            <w:r w:rsidRPr="002B45C0">
              <w:t>Rhode Island</w:t>
            </w:r>
          </w:p>
        </w:tc>
        <w:tc>
          <w:tcPr>
            <w:tcW w:w="2721" w:type="dxa"/>
            <w:vAlign w:val="center"/>
            <w:hideMark/>
          </w:tcPr>
          <w:p w14:paraId="4ED3FF71" w14:textId="77777777" w:rsidR="009D6189" w:rsidRPr="002B45C0" w:rsidRDefault="009D6189" w:rsidP="00990CEF">
            <w:pPr>
              <w:pStyle w:val="NoSpacing"/>
            </w:pPr>
            <w:r w:rsidRPr="002B45C0">
              <w:t>1790</w:t>
            </w:r>
          </w:p>
        </w:tc>
      </w:tr>
      <w:tr w:rsidR="009D6189" w:rsidRPr="002B45C0" w14:paraId="3E443CC0" w14:textId="77777777" w:rsidTr="00990CEF">
        <w:trPr>
          <w:trHeight w:val="252"/>
        </w:trPr>
        <w:tc>
          <w:tcPr>
            <w:tcW w:w="0" w:type="auto"/>
            <w:vAlign w:val="center"/>
            <w:hideMark/>
          </w:tcPr>
          <w:p w14:paraId="0ABCEC1D" w14:textId="77777777" w:rsidR="009D6189" w:rsidRPr="002B45C0" w:rsidRDefault="009D6189" w:rsidP="00990CEF">
            <w:pPr>
              <w:pStyle w:val="NoSpacing"/>
            </w:pPr>
            <w:r w:rsidRPr="002B45C0">
              <w:t>14</w:t>
            </w:r>
          </w:p>
        </w:tc>
        <w:tc>
          <w:tcPr>
            <w:tcW w:w="5783" w:type="dxa"/>
            <w:vAlign w:val="center"/>
            <w:hideMark/>
          </w:tcPr>
          <w:p w14:paraId="0CBACFE2" w14:textId="77777777" w:rsidR="009D6189" w:rsidRPr="002B45C0" w:rsidRDefault="009D6189" w:rsidP="00990CEF">
            <w:pPr>
              <w:pStyle w:val="NoSpacing"/>
            </w:pPr>
            <w:r w:rsidRPr="002B45C0">
              <w:t>Vermont</w:t>
            </w:r>
          </w:p>
        </w:tc>
        <w:tc>
          <w:tcPr>
            <w:tcW w:w="2721" w:type="dxa"/>
            <w:vAlign w:val="center"/>
            <w:hideMark/>
          </w:tcPr>
          <w:p w14:paraId="75C5BF2E" w14:textId="77777777" w:rsidR="009D6189" w:rsidRPr="002B45C0" w:rsidRDefault="009D6189" w:rsidP="00990CEF">
            <w:pPr>
              <w:pStyle w:val="NoSpacing"/>
            </w:pPr>
            <w:r w:rsidRPr="002B45C0">
              <w:t>1791</w:t>
            </w:r>
          </w:p>
        </w:tc>
      </w:tr>
      <w:tr w:rsidR="009D6189" w:rsidRPr="002B45C0" w14:paraId="7C3D7129" w14:textId="77777777" w:rsidTr="00990CEF">
        <w:trPr>
          <w:trHeight w:val="258"/>
        </w:trPr>
        <w:tc>
          <w:tcPr>
            <w:tcW w:w="0" w:type="auto"/>
            <w:vAlign w:val="center"/>
            <w:hideMark/>
          </w:tcPr>
          <w:p w14:paraId="5ADB6119" w14:textId="77777777" w:rsidR="009D6189" w:rsidRPr="002B45C0" w:rsidRDefault="009D6189" w:rsidP="00990CEF">
            <w:pPr>
              <w:pStyle w:val="NoSpacing"/>
            </w:pPr>
            <w:r w:rsidRPr="002B45C0">
              <w:t>15</w:t>
            </w:r>
          </w:p>
        </w:tc>
        <w:tc>
          <w:tcPr>
            <w:tcW w:w="5783" w:type="dxa"/>
            <w:vAlign w:val="center"/>
            <w:hideMark/>
          </w:tcPr>
          <w:p w14:paraId="2D28E3A2" w14:textId="77777777" w:rsidR="009D6189" w:rsidRPr="002B45C0" w:rsidRDefault="009D6189" w:rsidP="00990CEF">
            <w:pPr>
              <w:pStyle w:val="NoSpacing"/>
            </w:pPr>
            <w:r w:rsidRPr="002B45C0">
              <w:t>Kentucky</w:t>
            </w:r>
          </w:p>
        </w:tc>
        <w:tc>
          <w:tcPr>
            <w:tcW w:w="2721" w:type="dxa"/>
            <w:vAlign w:val="center"/>
            <w:hideMark/>
          </w:tcPr>
          <w:p w14:paraId="14B198BE" w14:textId="77777777" w:rsidR="009D6189" w:rsidRPr="002B45C0" w:rsidRDefault="009D6189" w:rsidP="00990CEF">
            <w:pPr>
              <w:pStyle w:val="NoSpacing"/>
            </w:pPr>
            <w:r w:rsidRPr="002B45C0">
              <w:t>1792</w:t>
            </w:r>
          </w:p>
        </w:tc>
      </w:tr>
      <w:tr w:rsidR="009D6189" w:rsidRPr="002B45C0" w14:paraId="60577299" w14:textId="77777777" w:rsidTr="00990CEF">
        <w:trPr>
          <w:trHeight w:val="258"/>
        </w:trPr>
        <w:tc>
          <w:tcPr>
            <w:tcW w:w="0" w:type="auto"/>
            <w:vAlign w:val="center"/>
            <w:hideMark/>
          </w:tcPr>
          <w:p w14:paraId="5C2B1E50" w14:textId="77777777" w:rsidR="009D6189" w:rsidRPr="002B45C0" w:rsidRDefault="009D6189" w:rsidP="00990CEF">
            <w:pPr>
              <w:pStyle w:val="NoSpacing"/>
            </w:pPr>
            <w:r w:rsidRPr="002B45C0">
              <w:t>16</w:t>
            </w:r>
          </w:p>
        </w:tc>
        <w:tc>
          <w:tcPr>
            <w:tcW w:w="5783" w:type="dxa"/>
            <w:vAlign w:val="center"/>
            <w:hideMark/>
          </w:tcPr>
          <w:p w14:paraId="7D36DCF8" w14:textId="77777777" w:rsidR="009D6189" w:rsidRPr="002B45C0" w:rsidRDefault="009D6189" w:rsidP="00990CEF">
            <w:pPr>
              <w:pStyle w:val="NoSpacing"/>
            </w:pPr>
            <w:r w:rsidRPr="002B45C0">
              <w:t>Tennessee</w:t>
            </w:r>
          </w:p>
        </w:tc>
        <w:tc>
          <w:tcPr>
            <w:tcW w:w="2721" w:type="dxa"/>
            <w:vAlign w:val="center"/>
            <w:hideMark/>
          </w:tcPr>
          <w:p w14:paraId="3CC8043D" w14:textId="77777777" w:rsidR="009D6189" w:rsidRPr="002B45C0" w:rsidRDefault="009D6189" w:rsidP="00990CEF">
            <w:pPr>
              <w:pStyle w:val="NoSpacing"/>
            </w:pPr>
            <w:r w:rsidRPr="002B45C0">
              <w:t>1796</w:t>
            </w:r>
          </w:p>
        </w:tc>
      </w:tr>
      <w:tr w:rsidR="009D6189" w:rsidRPr="002B45C0" w14:paraId="6B9D1BA6" w14:textId="77777777" w:rsidTr="00990CEF">
        <w:trPr>
          <w:trHeight w:val="258"/>
        </w:trPr>
        <w:tc>
          <w:tcPr>
            <w:tcW w:w="0" w:type="auto"/>
            <w:vAlign w:val="center"/>
            <w:hideMark/>
          </w:tcPr>
          <w:p w14:paraId="15D43AA4" w14:textId="77777777" w:rsidR="009D6189" w:rsidRPr="002B45C0" w:rsidRDefault="009D6189" w:rsidP="00990CEF">
            <w:pPr>
              <w:pStyle w:val="NoSpacing"/>
            </w:pPr>
            <w:r w:rsidRPr="002B45C0">
              <w:t>17</w:t>
            </w:r>
          </w:p>
        </w:tc>
        <w:tc>
          <w:tcPr>
            <w:tcW w:w="5783" w:type="dxa"/>
            <w:vAlign w:val="center"/>
            <w:hideMark/>
          </w:tcPr>
          <w:p w14:paraId="09DA5E01" w14:textId="77777777" w:rsidR="009D6189" w:rsidRPr="002B45C0" w:rsidRDefault="009D6189" w:rsidP="00990CEF">
            <w:pPr>
              <w:pStyle w:val="NoSpacing"/>
            </w:pPr>
            <w:r w:rsidRPr="002B45C0">
              <w:t>Ohio</w:t>
            </w:r>
          </w:p>
        </w:tc>
        <w:tc>
          <w:tcPr>
            <w:tcW w:w="2721" w:type="dxa"/>
            <w:vAlign w:val="center"/>
            <w:hideMark/>
          </w:tcPr>
          <w:p w14:paraId="1954F73A" w14:textId="77777777" w:rsidR="009D6189" w:rsidRPr="002B45C0" w:rsidRDefault="009D6189" w:rsidP="00990CEF">
            <w:pPr>
              <w:pStyle w:val="NoSpacing"/>
            </w:pPr>
            <w:r w:rsidRPr="002B45C0">
              <w:t>1803</w:t>
            </w:r>
          </w:p>
        </w:tc>
      </w:tr>
      <w:tr w:rsidR="009D6189" w:rsidRPr="002B45C0" w14:paraId="0EAD7897" w14:textId="77777777" w:rsidTr="00990CEF">
        <w:trPr>
          <w:trHeight w:val="252"/>
        </w:trPr>
        <w:tc>
          <w:tcPr>
            <w:tcW w:w="0" w:type="auto"/>
            <w:vAlign w:val="center"/>
            <w:hideMark/>
          </w:tcPr>
          <w:p w14:paraId="053A9643" w14:textId="77777777" w:rsidR="009D6189" w:rsidRPr="002B45C0" w:rsidRDefault="009D6189" w:rsidP="00990CEF">
            <w:pPr>
              <w:pStyle w:val="NoSpacing"/>
            </w:pPr>
            <w:r w:rsidRPr="002B45C0">
              <w:t>18</w:t>
            </w:r>
          </w:p>
        </w:tc>
        <w:tc>
          <w:tcPr>
            <w:tcW w:w="5783" w:type="dxa"/>
            <w:vAlign w:val="center"/>
            <w:hideMark/>
          </w:tcPr>
          <w:p w14:paraId="33A32BA2" w14:textId="77777777" w:rsidR="009D6189" w:rsidRPr="002B45C0" w:rsidRDefault="009D6189" w:rsidP="00990CEF">
            <w:pPr>
              <w:pStyle w:val="NoSpacing"/>
            </w:pPr>
            <w:r w:rsidRPr="002B45C0">
              <w:t>Indiana</w:t>
            </w:r>
          </w:p>
        </w:tc>
        <w:tc>
          <w:tcPr>
            <w:tcW w:w="2721" w:type="dxa"/>
            <w:vAlign w:val="center"/>
            <w:hideMark/>
          </w:tcPr>
          <w:p w14:paraId="15CDAE89" w14:textId="77777777" w:rsidR="009D6189" w:rsidRPr="002B45C0" w:rsidRDefault="009D6189" w:rsidP="00990CEF">
            <w:pPr>
              <w:pStyle w:val="NoSpacing"/>
            </w:pPr>
            <w:r w:rsidRPr="002B45C0">
              <w:t>1813</w:t>
            </w:r>
          </w:p>
        </w:tc>
      </w:tr>
      <w:tr w:rsidR="009D6189" w:rsidRPr="002B45C0" w14:paraId="1D708E4C" w14:textId="77777777" w:rsidTr="00990CEF">
        <w:trPr>
          <w:trHeight w:val="258"/>
        </w:trPr>
        <w:tc>
          <w:tcPr>
            <w:tcW w:w="0" w:type="auto"/>
            <w:vAlign w:val="center"/>
            <w:hideMark/>
          </w:tcPr>
          <w:p w14:paraId="2FF802E3" w14:textId="77777777" w:rsidR="009D6189" w:rsidRPr="002B45C0" w:rsidRDefault="009D6189" w:rsidP="00990CEF">
            <w:pPr>
              <w:pStyle w:val="NoSpacing"/>
            </w:pPr>
            <w:r w:rsidRPr="002B45C0">
              <w:t>19</w:t>
            </w:r>
          </w:p>
        </w:tc>
        <w:tc>
          <w:tcPr>
            <w:tcW w:w="5783" w:type="dxa"/>
            <w:vAlign w:val="center"/>
            <w:hideMark/>
          </w:tcPr>
          <w:p w14:paraId="5893839F" w14:textId="77777777" w:rsidR="009D6189" w:rsidRPr="002B45C0" w:rsidRDefault="009D6189" w:rsidP="00990CEF">
            <w:pPr>
              <w:pStyle w:val="NoSpacing"/>
            </w:pPr>
            <w:r w:rsidRPr="002B45C0">
              <w:t>Yazoo</w:t>
            </w:r>
          </w:p>
        </w:tc>
        <w:tc>
          <w:tcPr>
            <w:tcW w:w="2721" w:type="dxa"/>
            <w:vAlign w:val="center"/>
            <w:hideMark/>
          </w:tcPr>
          <w:p w14:paraId="2E2D5DB4" w14:textId="77777777" w:rsidR="009D6189" w:rsidRPr="002B45C0" w:rsidRDefault="009D6189" w:rsidP="00990CEF">
            <w:pPr>
              <w:pStyle w:val="NoSpacing"/>
            </w:pPr>
            <w:r w:rsidRPr="002B45C0">
              <w:t>1814</w:t>
            </w:r>
          </w:p>
        </w:tc>
      </w:tr>
      <w:tr w:rsidR="009D6189" w:rsidRPr="002B45C0" w14:paraId="5423343C" w14:textId="77777777" w:rsidTr="00990CEF">
        <w:trPr>
          <w:trHeight w:val="258"/>
        </w:trPr>
        <w:tc>
          <w:tcPr>
            <w:tcW w:w="0" w:type="auto"/>
            <w:vAlign w:val="center"/>
            <w:hideMark/>
          </w:tcPr>
          <w:p w14:paraId="020FAD2A" w14:textId="77777777" w:rsidR="009D6189" w:rsidRPr="002B45C0" w:rsidRDefault="009D6189" w:rsidP="00990CEF">
            <w:pPr>
              <w:pStyle w:val="NoSpacing"/>
            </w:pPr>
            <w:r w:rsidRPr="002B45C0">
              <w:t>20</w:t>
            </w:r>
          </w:p>
        </w:tc>
        <w:tc>
          <w:tcPr>
            <w:tcW w:w="5783" w:type="dxa"/>
            <w:vAlign w:val="center"/>
            <w:hideMark/>
          </w:tcPr>
          <w:p w14:paraId="2E72D689" w14:textId="77777777" w:rsidR="009D6189" w:rsidRPr="002B45C0" w:rsidRDefault="009D6189" w:rsidP="00990CEF">
            <w:pPr>
              <w:pStyle w:val="NoSpacing"/>
            </w:pPr>
            <w:r w:rsidRPr="002B45C0">
              <w:t>Mississippi</w:t>
            </w:r>
          </w:p>
        </w:tc>
        <w:tc>
          <w:tcPr>
            <w:tcW w:w="2721" w:type="dxa"/>
            <w:vAlign w:val="center"/>
            <w:hideMark/>
          </w:tcPr>
          <w:p w14:paraId="069D1B0B" w14:textId="77777777" w:rsidR="009D6189" w:rsidRPr="002B45C0" w:rsidRDefault="009D6189" w:rsidP="00990CEF">
            <w:pPr>
              <w:pStyle w:val="NoSpacing"/>
            </w:pPr>
            <w:r w:rsidRPr="002B45C0">
              <w:t>1821</w:t>
            </w:r>
          </w:p>
        </w:tc>
      </w:tr>
      <w:tr w:rsidR="009D6189" w:rsidRPr="002B45C0" w14:paraId="2A951D6B" w14:textId="77777777" w:rsidTr="00990CEF">
        <w:trPr>
          <w:trHeight w:val="258"/>
        </w:trPr>
        <w:tc>
          <w:tcPr>
            <w:tcW w:w="0" w:type="auto"/>
            <w:vAlign w:val="center"/>
            <w:hideMark/>
          </w:tcPr>
          <w:p w14:paraId="6597C753" w14:textId="77777777" w:rsidR="009D6189" w:rsidRPr="002B45C0" w:rsidRDefault="009D6189" w:rsidP="00990CEF">
            <w:pPr>
              <w:pStyle w:val="NoSpacing"/>
            </w:pPr>
            <w:r w:rsidRPr="002B45C0">
              <w:t>21</w:t>
            </w:r>
          </w:p>
        </w:tc>
        <w:tc>
          <w:tcPr>
            <w:tcW w:w="5783" w:type="dxa"/>
            <w:vAlign w:val="center"/>
            <w:hideMark/>
          </w:tcPr>
          <w:p w14:paraId="0AC699B7" w14:textId="77777777" w:rsidR="009D6189" w:rsidRPr="002B45C0" w:rsidRDefault="009D6189" w:rsidP="00990CEF">
            <w:pPr>
              <w:pStyle w:val="NoSpacing"/>
            </w:pPr>
            <w:r w:rsidRPr="002B45C0">
              <w:t>Illinois</w:t>
            </w:r>
          </w:p>
        </w:tc>
        <w:tc>
          <w:tcPr>
            <w:tcW w:w="2721" w:type="dxa"/>
            <w:vAlign w:val="center"/>
            <w:hideMark/>
          </w:tcPr>
          <w:p w14:paraId="0003BDCD" w14:textId="77777777" w:rsidR="009D6189" w:rsidRPr="002B45C0" w:rsidRDefault="009D6189" w:rsidP="00990CEF">
            <w:pPr>
              <w:pStyle w:val="NoSpacing"/>
            </w:pPr>
            <w:r w:rsidRPr="002B45C0">
              <w:t>1829</w:t>
            </w:r>
          </w:p>
        </w:tc>
      </w:tr>
      <w:tr w:rsidR="009D6189" w:rsidRPr="002B45C0" w14:paraId="2617FF8C" w14:textId="77777777" w:rsidTr="00990CEF">
        <w:trPr>
          <w:trHeight w:val="252"/>
        </w:trPr>
        <w:tc>
          <w:tcPr>
            <w:tcW w:w="0" w:type="auto"/>
            <w:vAlign w:val="center"/>
            <w:hideMark/>
          </w:tcPr>
          <w:p w14:paraId="35965156" w14:textId="77777777" w:rsidR="009D6189" w:rsidRPr="002B45C0" w:rsidRDefault="009D6189" w:rsidP="00990CEF">
            <w:pPr>
              <w:pStyle w:val="NoSpacing"/>
            </w:pPr>
            <w:r w:rsidRPr="002B45C0">
              <w:t>22</w:t>
            </w:r>
          </w:p>
        </w:tc>
        <w:tc>
          <w:tcPr>
            <w:tcW w:w="5783" w:type="dxa"/>
            <w:vAlign w:val="center"/>
            <w:hideMark/>
          </w:tcPr>
          <w:p w14:paraId="62BB3222" w14:textId="77777777" w:rsidR="009D6189" w:rsidRPr="002B45C0" w:rsidRDefault="009D6189" w:rsidP="00990CEF">
            <w:pPr>
              <w:pStyle w:val="NoSpacing"/>
            </w:pPr>
            <w:r w:rsidRPr="002B45C0">
              <w:t>Orleans</w:t>
            </w:r>
          </w:p>
        </w:tc>
        <w:tc>
          <w:tcPr>
            <w:tcW w:w="2721" w:type="dxa"/>
            <w:vAlign w:val="center"/>
            <w:hideMark/>
          </w:tcPr>
          <w:p w14:paraId="427F3B70" w14:textId="77777777" w:rsidR="009D6189" w:rsidRPr="002B45C0" w:rsidRDefault="009D6189" w:rsidP="00990CEF">
            <w:pPr>
              <w:pStyle w:val="NoSpacing"/>
            </w:pPr>
            <w:r w:rsidRPr="002B45C0">
              <w:t>1832</w:t>
            </w:r>
          </w:p>
        </w:tc>
      </w:tr>
      <w:tr w:rsidR="009D6189" w:rsidRPr="002B45C0" w14:paraId="4E9E1D5B" w14:textId="77777777" w:rsidTr="00990CEF">
        <w:trPr>
          <w:trHeight w:val="258"/>
        </w:trPr>
        <w:tc>
          <w:tcPr>
            <w:tcW w:w="0" w:type="auto"/>
            <w:vAlign w:val="center"/>
            <w:hideMark/>
          </w:tcPr>
          <w:p w14:paraId="01B358C2" w14:textId="77777777" w:rsidR="009D6189" w:rsidRPr="002B45C0" w:rsidRDefault="009D6189" w:rsidP="00990CEF">
            <w:pPr>
              <w:pStyle w:val="NoSpacing"/>
            </w:pPr>
            <w:r w:rsidRPr="002B45C0">
              <w:t>23</w:t>
            </w:r>
          </w:p>
        </w:tc>
        <w:tc>
          <w:tcPr>
            <w:tcW w:w="5783" w:type="dxa"/>
            <w:vAlign w:val="center"/>
            <w:hideMark/>
          </w:tcPr>
          <w:p w14:paraId="5860B51C" w14:textId="77777777" w:rsidR="009D6189" w:rsidRPr="002B45C0" w:rsidRDefault="009D6189" w:rsidP="00990CEF">
            <w:pPr>
              <w:pStyle w:val="NoSpacing"/>
            </w:pPr>
            <w:r w:rsidRPr="002B45C0">
              <w:t>New Ireland</w:t>
            </w:r>
          </w:p>
        </w:tc>
        <w:tc>
          <w:tcPr>
            <w:tcW w:w="2721" w:type="dxa"/>
            <w:vAlign w:val="center"/>
            <w:hideMark/>
          </w:tcPr>
          <w:p w14:paraId="1110DA94" w14:textId="77777777" w:rsidR="009D6189" w:rsidRPr="002B45C0" w:rsidRDefault="009D6189" w:rsidP="00990CEF">
            <w:pPr>
              <w:pStyle w:val="NoSpacing"/>
            </w:pPr>
            <w:r w:rsidRPr="002B45C0">
              <w:t>1832</w:t>
            </w:r>
          </w:p>
        </w:tc>
      </w:tr>
      <w:tr w:rsidR="009D6189" w:rsidRPr="002B45C0" w14:paraId="3EB18934" w14:textId="77777777" w:rsidTr="00990CEF">
        <w:trPr>
          <w:trHeight w:val="258"/>
        </w:trPr>
        <w:tc>
          <w:tcPr>
            <w:tcW w:w="0" w:type="auto"/>
            <w:vAlign w:val="center"/>
            <w:hideMark/>
          </w:tcPr>
          <w:p w14:paraId="22D911BD" w14:textId="77777777" w:rsidR="009D6189" w:rsidRPr="002B45C0" w:rsidRDefault="009D6189" w:rsidP="00990CEF">
            <w:pPr>
              <w:pStyle w:val="NoSpacing"/>
            </w:pPr>
            <w:r w:rsidRPr="002B45C0">
              <w:t>24</w:t>
            </w:r>
          </w:p>
        </w:tc>
        <w:tc>
          <w:tcPr>
            <w:tcW w:w="5783" w:type="dxa"/>
            <w:vAlign w:val="center"/>
            <w:hideMark/>
          </w:tcPr>
          <w:p w14:paraId="7C8A45CA" w14:textId="77777777" w:rsidR="009D6189" w:rsidRPr="002B45C0" w:rsidRDefault="009D6189" w:rsidP="00990CEF">
            <w:pPr>
              <w:pStyle w:val="NoSpacing"/>
            </w:pPr>
            <w:r w:rsidRPr="002B45C0">
              <w:t>Missouri</w:t>
            </w:r>
          </w:p>
        </w:tc>
        <w:tc>
          <w:tcPr>
            <w:tcW w:w="2721" w:type="dxa"/>
            <w:vAlign w:val="center"/>
            <w:hideMark/>
          </w:tcPr>
          <w:p w14:paraId="5FA4572F" w14:textId="77777777" w:rsidR="009D6189" w:rsidRPr="002B45C0" w:rsidRDefault="009D6189" w:rsidP="00990CEF">
            <w:pPr>
              <w:pStyle w:val="NoSpacing"/>
            </w:pPr>
            <w:r w:rsidRPr="002B45C0">
              <w:t>1837</w:t>
            </w:r>
          </w:p>
        </w:tc>
      </w:tr>
      <w:tr w:rsidR="009D6189" w:rsidRPr="002B45C0" w14:paraId="51DD347E" w14:textId="77777777" w:rsidTr="00990CEF">
        <w:trPr>
          <w:trHeight w:val="258"/>
        </w:trPr>
        <w:tc>
          <w:tcPr>
            <w:tcW w:w="0" w:type="auto"/>
            <w:vAlign w:val="center"/>
            <w:hideMark/>
          </w:tcPr>
          <w:p w14:paraId="3BE975A5" w14:textId="77777777" w:rsidR="009D6189" w:rsidRPr="002B45C0" w:rsidRDefault="009D6189" w:rsidP="00990CEF">
            <w:pPr>
              <w:pStyle w:val="NoSpacing"/>
            </w:pPr>
            <w:r w:rsidRPr="002B45C0">
              <w:t>25</w:t>
            </w:r>
          </w:p>
        </w:tc>
        <w:tc>
          <w:tcPr>
            <w:tcW w:w="5783" w:type="dxa"/>
            <w:vAlign w:val="center"/>
            <w:hideMark/>
          </w:tcPr>
          <w:p w14:paraId="0653080C" w14:textId="77777777" w:rsidR="009D6189" w:rsidRPr="002B45C0" w:rsidRDefault="009D6189" w:rsidP="00990CEF">
            <w:pPr>
              <w:pStyle w:val="NoSpacing"/>
            </w:pPr>
            <w:proofErr w:type="spellStart"/>
            <w:r w:rsidRPr="002B45C0">
              <w:t>Wisconsan</w:t>
            </w:r>
            <w:proofErr w:type="spellEnd"/>
          </w:p>
        </w:tc>
        <w:tc>
          <w:tcPr>
            <w:tcW w:w="2721" w:type="dxa"/>
            <w:vAlign w:val="center"/>
            <w:hideMark/>
          </w:tcPr>
          <w:p w14:paraId="3A686450" w14:textId="77777777" w:rsidR="009D6189" w:rsidRPr="002B45C0" w:rsidRDefault="009D6189" w:rsidP="00990CEF">
            <w:pPr>
              <w:pStyle w:val="NoSpacing"/>
            </w:pPr>
            <w:r w:rsidRPr="002B45C0">
              <w:t>1844</w:t>
            </w:r>
          </w:p>
        </w:tc>
      </w:tr>
      <w:tr w:rsidR="009D6189" w:rsidRPr="002B45C0" w14:paraId="3AF2F585" w14:textId="77777777" w:rsidTr="00990CEF">
        <w:trPr>
          <w:trHeight w:val="252"/>
        </w:trPr>
        <w:tc>
          <w:tcPr>
            <w:tcW w:w="0" w:type="auto"/>
            <w:vAlign w:val="center"/>
            <w:hideMark/>
          </w:tcPr>
          <w:p w14:paraId="2E33A10A" w14:textId="77777777" w:rsidR="009D6189" w:rsidRPr="002B45C0" w:rsidRDefault="009D6189" w:rsidP="00990CEF">
            <w:pPr>
              <w:pStyle w:val="NoSpacing"/>
            </w:pPr>
            <w:r w:rsidRPr="002B45C0">
              <w:t>26</w:t>
            </w:r>
          </w:p>
        </w:tc>
        <w:tc>
          <w:tcPr>
            <w:tcW w:w="5783" w:type="dxa"/>
            <w:vAlign w:val="center"/>
            <w:hideMark/>
          </w:tcPr>
          <w:p w14:paraId="0DB5B941" w14:textId="77777777" w:rsidR="009D6189" w:rsidRPr="002B45C0" w:rsidRDefault="009D6189" w:rsidP="00990CEF">
            <w:pPr>
              <w:pStyle w:val="NoSpacing"/>
            </w:pPr>
            <w:proofErr w:type="spellStart"/>
            <w:r w:rsidRPr="002B45C0">
              <w:t>Arkansaw</w:t>
            </w:r>
            <w:proofErr w:type="spellEnd"/>
          </w:p>
        </w:tc>
        <w:tc>
          <w:tcPr>
            <w:tcW w:w="2721" w:type="dxa"/>
            <w:vAlign w:val="center"/>
            <w:hideMark/>
          </w:tcPr>
          <w:p w14:paraId="0F90A412" w14:textId="77777777" w:rsidR="009D6189" w:rsidRPr="002B45C0" w:rsidRDefault="009D6189" w:rsidP="00990CEF">
            <w:pPr>
              <w:pStyle w:val="NoSpacing"/>
            </w:pPr>
            <w:r w:rsidRPr="002B45C0">
              <w:t>1859</w:t>
            </w:r>
          </w:p>
        </w:tc>
      </w:tr>
      <w:tr w:rsidR="009D6189" w:rsidRPr="002B45C0" w14:paraId="18178DD4" w14:textId="77777777" w:rsidTr="00990CEF">
        <w:trPr>
          <w:trHeight w:val="258"/>
        </w:trPr>
        <w:tc>
          <w:tcPr>
            <w:tcW w:w="0" w:type="auto"/>
            <w:vAlign w:val="center"/>
            <w:hideMark/>
          </w:tcPr>
          <w:p w14:paraId="15C1C4E3" w14:textId="77777777" w:rsidR="009D6189" w:rsidRPr="002B45C0" w:rsidRDefault="009D6189" w:rsidP="00990CEF">
            <w:pPr>
              <w:pStyle w:val="NoSpacing"/>
            </w:pPr>
            <w:r w:rsidRPr="002B45C0">
              <w:t>27</w:t>
            </w:r>
          </w:p>
        </w:tc>
        <w:tc>
          <w:tcPr>
            <w:tcW w:w="5783" w:type="dxa"/>
            <w:vAlign w:val="center"/>
            <w:hideMark/>
          </w:tcPr>
          <w:p w14:paraId="45AAFC93" w14:textId="416B5B97" w:rsidR="009D6189" w:rsidRPr="002B45C0" w:rsidRDefault="009D6189" w:rsidP="00990CEF">
            <w:pPr>
              <w:pStyle w:val="NoSpacing"/>
            </w:pPr>
            <w:r w:rsidRPr="002B45C0">
              <w:t>Florida</w:t>
            </w:r>
            <w:r w:rsidR="004251E2">
              <w:rPr>
                <w:rStyle w:val="EndnoteReference"/>
              </w:rPr>
              <w:endnoteReference w:id="259"/>
            </w:r>
          </w:p>
        </w:tc>
        <w:tc>
          <w:tcPr>
            <w:tcW w:w="2721" w:type="dxa"/>
            <w:vAlign w:val="center"/>
            <w:hideMark/>
          </w:tcPr>
          <w:p w14:paraId="4BA87183" w14:textId="77777777" w:rsidR="009D6189" w:rsidRPr="002B45C0" w:rsidRDefault="009D6189" w:rsidP="00990CEF">
            <w:pPr>
              <w:pStyle w:val="NoSpacing"/>
            </w:pPr>
            <w:r w:rsidRPr="002B45C0">
              <w:t>1861</w:t>
            </w:r>
          </w:p>
        </w:tc>
      </w:tr>
      <w:tr w:rsidR="009D6189" w:rsidRPr="002B45C0" w14:paraId="356B8512" w14:textId="77777777" w:rsidTr="00990CEF">
        <w:trPr>
          <w:trHeight w:val="258"/>
        </w:trPr>
        <w:tc>
          <w:tcPr>
            <w:tcW w:w="0" w:type="auto"/>
            <w:vAlign w:val="center"/>
            <w:hideMark/>
          </w:tcPr>
          <w:p w14:paraId="5AA8AC52" w14:textId="77777777" w:rsidR="009D6189" w:rsidRPr="002B45C0" w:rsidRDefault="009D6189" w:rsidP="00990CEF">
            <w:pPr>
              <w:pStyle w:val="NoSpacing"/>
            </w:pPr>
            <w:r w:rsidRPr="002B45C0">
              <w:t>28</w:t>
            </w:r>
          </w:p>
        </w:tc>
        <w:tc>
          <w:tcPr>
            <w:tcW w:w="5783" w:type="dxa"/>
            <w:vAlign w:val="center"/>
            <w:hideMark/>
          </w:tcPr>
          <w:p w14:paraId="13E7A95F" w14:textId="77777777" w:rsidR="009D6189" w:rsidRPr="002B45C0" w:rsidRDefault="009D6189" w:rsidP="00990CEF">
            <w:pPr>
              <w:pStyle w:val="NoSpacing"/>
            </w:pPr>
            <w:r w:rsidRPr="002B45C0">
              <w:t>Juniper</w:t>
            </w:r>
          </w:p>
        </w:tc>
        <w:tc>
          <w:tcPr>
            <w:tcW w:w="2721" w:type="dxa"/>
            <w:vAlign w:val="center"/>
            <w:hideMark/>
          </w:tcPr>
          <w:p w14:paraId="39596459" w14:textId="77777777" w:rsidR="009D6189" w:rsidRPr="002B45C0" w:rsidRDefault="009D6189" w:rsidP="00990CEF">
            <w:pPr>
              <w:pStyle w:val="NoSpacing"/>
            </w:pPr>
            <w:r w:rsidRPr="002B45C0">
              <w:t>1861</w:t>
            </w:r>
          </w:p>
        </w:tc>
      </w:tr>
      <w:tr w:rsidR="009D6189" w:rsidRPr="002B45C0" w14:paraId="0A55E2EC" w14:textId="77777777" w:rsidTr="00990CEF">
        <w:trPr>
          <w:trHeight w:val="258"/>
        </w:trPr>
        <w:tc>
          <w:tcPr>
            <w:tcW w:w="0" w:type="auto"/>
            <w:vAlign w:val="center"/>
            <w:hideMark/>
          </w:tcPr>
          <w:p w14:paraId="78DCDC1A" w14:textId="77777777" w:rsidR="009D6189" w:rsidRPr="002B45C0" w:rsidRDefault="009D6189" w:rsidP="00990CEF">
            <w:pPr>
              <w:pStyle w:val="NoSpacing"/>
            </w:pPr>
            <w:r w:rsidRPr="002B45C0">
              <w:t>29</w:t>
            </w:r>
          </w:p>
        </w:tc>
        <w:tc>
          <w:tcPr>
            <w:tcW w:w="5783" w:type="dxa"/>
            <w:vAlign w:val="center"/>
            <w:hideMark/>
          </w:tcPr>
          <w:p w14:paraId="4BF4C61C" w14:textId="77777777" w:rsidR="009D6189" w:rsidRPr="002B45C0" w:rsidRDefault="009D6189" w:rsidP="00990CEF">
            <w:pPr>
              <w:pStyle w:val="NoSpacing"/>
            </w:pPr>
            <w:r w:rsidRPr="002B45C0">
              <w:t>Ontonagon</w:t>
            </w:r>
          </w:p>
        </w:tc>
        <w:tc>
          <w:tcPr>
            <w:tcW w:w="2721" w:type="dxa"/>
            <w:vAlign w:val="center"/>
            <w:hideMark/>
          </w:tcPr>
          <w:p w14:paraId="0860F2F9" w14:textId="77777777" w:rsidR="009D6189" w:rsidRPr="002B45C0" w:rsidRDefault="009D6189" w:rsidP="00990CEF">
            <w:pPr>
              <w:pStyle w:val="NoSpacing"/>
            </w:pPr>
            <w:r w:rsidRPr="002B45C0">
              <w:t>1867</w:t>
            </w:r>
          </w:p>
        </w:tc>
      </w:tr>
      <w:tr w:rsidR="009D6189" w:rsidRPr="002B45C0" w14:paraId="723B0C93" w14:textId="77777777" w:rsidTr="00990CEF">
        <w:trPr>
          <w:trHeight w:val="258"/>
        </w:trPr>
        <w:tc>
          <w:tcPr>
            <w:tcW w:w="0" w:type="auto"/>
            <w:vAlign w:val="center"/>
            <w:hideMark/>
          </w:tcPr>
          <w:p w14:paraId="1BEF2E82" w14:textId="77777777" w:rsidR="009D6189" w:rsidRPr="002B45C0" w:rsidRDefault="009D6189" w:rsidP="00990CEF">
            <w:pPr>
              <w:pStyle w:val="NoSpacing"/>
            </w:pPr>
            <w:r w:rsidRPr="002B45C0">
              <w:t>30</w:t>
            </w:r>
          </w:p>
        </w:tc>
        <w:tc>
          <w:tcPr>
            <w:tcW w:w="5783" w:type="dxa"/>
            <w:vAlign w:val="center"/>
            <w:hideMark/>
          </w:tcPr>
          <w:p w14:paraId="41D80299" w14:textId="77777777" w:rsidR="009D6189" w:rsidRPr="002B45C0" w:rsidRDefault="009D6189" w:rsidP="00990CEF">
            <w:pPr>
              <w:pStyle w:val="NoSpacing"/>
            </w:pPr>
            <w:proofErr w:type="spellStart"/>
            <w:r w:rsidRPr="002B45C0">
              <w:t>Nibrasca</w:t>
            </w:r>
            <w:proofErr w:type="spellEnd"/>
          </w:p>
        </w:tc>
        <w:tc>
          <w:tcPr>
            <w:tcW w:w="2721" w:type="dxa"/>
            <w:vAlign w:val="center"/>
            <w:hideMark/>
          </w:tcPr>
          <w:p w14:paraId="16E88B77" w14:textId="77777777" w:rsidR="009D6189" w:rsidRPr="002B45C0" w:rsidRDefault="009D6189" w:rsidP="00990CEF">
            <w:pPr>
              <w:pStyle w:val="NoSpacing"/>
            </w:pPr>
            <w:r w:rsidRPr="002B45C0">
              <w:t>1869</w:t>
            </w:r>
          </w:p>
        </w:tc>
      </w:tr>
      <w:tr w:rsidR="009D6189" w:rsidRPr="002B45C0" w14:paraId="08DC8559" w14:textId="77777777" w:rsidTr="00990CEF">
        <w:trPr>
          <w:trHeight w:val="252"/>
        </w:trPr>
        <w:tc>
          <w:tcPr>
            <w:tcW w:w="0" w:type="auto"/>
            <w:vAlign w:val="center"/>
            <w:hideMark/>
          </w:tcPr>
          <w:p w14:paraId="5E5E5405" w14:textId="77777777" w:rsidR="009D6189" w:rsidRPr="002B45C0" w:rsidRDefault="009D6189" w:rsidP="00990CEF">
            <w:pPr>
              <w:pStyle w:val="NoSpacing"/>
            </w:pPr>
            <w:r w:rsidRPr="002B45C0">
              <w:t>31</w:t>
            </w:r>
          </w:p>
        </w:tc>
        <w:tc>
          <w:tcPr>
            <w:tcW w:w="5783" w:type="dxa"/>
            <w:vAlign w:val="center"/>
            <w:hideMark/>
          </w:tcPr>
          <w:p w14:paraId="63CA1DF4" w14:textId="77777777" w:rsidR="009D6189" w:rsidRPr="002B45C0" w:rsidRDefault="009D6189" w:rsidP="00990CEF">
            <w:pPr>
              <w:pStyle w:val="NoSpacing"/>
            </w:pPr>
            <w:proofErr w:type="spellStart"/>
            <w:r w:rsidRPr="002B45C0">
              <w:t>Kances</w:t>
            </w:r>
            <w:proofErr w:type="spellEnd"/>
          </w:p>
        </w:tc>
        <w:tc>
          <w:tcPr>
            <w:tcW w:w="2721" w:type="dxa"/>
            <w:vAlign w:val="center"/>
            <w:hideMark/>
          </w:tcPr>
          <w:p w14:paraId="5BEC072F" w14:textId="77777777" w:rsidR="009D6189" w:rsidRPr="002B45C0" w:rsidRDefault="009D6189" w:rsidP="00990CEF">
            <w:pPr>
              <w:pStyle w:val="NoSpacing"/>
            </w:pPr>
            <w:r w:rsidRPr="002B45C0">
              <w:t>1870</w:t>
            </w:r>
          </w:p>
        </w:tc>
      </w:tr>
      <w:tr w:rsidR="009D6189" w:rsidRPr="002B45C0" w14:paraId="57436E45" w14:textId="77777777" w:rsidTr="00990CEF">
        <w:trPr>
          <w:trHeight w:val="258"/>
        </w:trPr>
        <w:tc>
          <w:tcPr>
            <w:tcW w:w="0" w:type="auto"/>
            <w:vAlign w:val="center"/>
            <w:hideMark/>
          </w:tcPr>
          <w:p w14:paraId="0EF450B2" w14:textId="77777777" w:rsidR="009D6189" w:rsidRPr="002B45C0" w:rsidRDefault="009D6189" w:rsidP="00990CEF">
            <w:pPr>
              <w:pStyle w:val="NoSpacing"/>
            </w:pPr>
            <w:r w:rsidRPr="002B45C0">
              <w:t>32</w:t>
            </w:r>
          </w:p>
        </w:tc>
        <w:tc>
          <w:tcPr>
            <w:tcW w:w="5783" w:type="dxa"/>
            <w:vAlign w:val="center"/>
            <w:hideMark/>
          </w:tcPr>
          <w:p w14:paraId="4DC87A54" w14:textId="77777777" w:rsidR="009D6189" w:rsidRPr="002B45C0" w:rsidRDefault="009D6189" w:rsidP="00990CEF">
            <w:pPr>
              <w:pStyle w:val="NoSpacing"/>
            </w:pPr>
            <w:r w:rsidRPr="002B45C0">
              <w:t>Maine</w:t>
            </w:r>
          </w:p>
        </w:tc>
        <w:tc>
          <w:tcPr>
            <w:tcW w:w="2721" w:type="dxa"/>
            <w:vAlign w:val="center"/>
            <w:hideMark/>
          </w:tcPr>
          <w:p w14:paraId="1F09D52A" w14:textId="77777777" w:rsidR="009D6189" w:rsidRPr="002B45C0" w:rsidRDefault="009D6189" w:rsidP="00990CEF">
            <w:pPr>
              <w:pStyle w:val="NoSpacing"/>
            </w:pPr>
            <w:r w:rsidRPr="002B45C0">
              <w:t>1871</w:t>
            </w:r>
          </w:p>
        </w:tc>
      </w:tr>
      <w:tr w:rsidR="009D6189" w:rsidRPr="002B45C0" w14:paraId="753D50C4" w14:textId="77777777" w:rsidTr="00990CEF">
        <w:trPr>
          <w:trHeight w:val="258"/>
        </w:trPr>
        <w:tc>
          <w:tcPr>
            <w:tcW w:w="0" w:type="auto"/>
            <w:vAlign w:val="center"/>
          </w:tcPr>
          <w:p w14:paraId="50EA27E1" w14:textId="77777777" w:rsidR="009D6189" w:rsidRPr="002B45C0" w:rsidRDefault="009D6189" w:rsidP="00990CEF">
            <w:pPr>
              <w:pStyle w:val="NoSpacing"/>
            </w:pPr>
            <w:r>
              <w:t>33</w:t>
            </w:r>
          </w:p>
        </w:tc>
        <w:tc>
          <w:tcPr>
            <w:tcW w:w="5783" w:type="dxa"/>
            <w:vAlign w:val="center"/>
            <w:hideMark/>
          </w:tcPr>
          <w:p w14:paraId="4208C246" w14:textId="77777777" w:rsidR="009D6189" w:rsidRPr="002B45C0" w:rsidRDefault="009D6189" w:rsidP="00990CEF">
            <w:pPr>
              <w:pStyle w:val="NoSpacing"/>
            </w:pPr>
            <w:proofErr w:type="spellStart"/>
            <w:r w:rsidRPr="002B45C0">
              <w:t>Alleghania</w:t>
            </w:r>
            <w:proofErr w:type="spellEnd"/>
          </w:p>
        </w:tc>
        <w:tc>
          <w:tcPr>
            <w:tcW w:w="2721" w:type="dxa"/>
            <w:vAlign w:val="center"/>
            <w:hideMark/>
          </w:tcPr>
          <w:p w14:paraId="6511C19B" w14:textId="77777777" w:rsidR="009D6189" w:rsidRPr="002B45C0" w:rsidRDefault="009D6189" w:rsidP="00990CEF">
            <w:pPr>
              <w:pStyle w:val="NoSpacing"/>
            </w:pPr>
            <w:r w:rsidRPr="002B45C0">
              <w:t>1872</w:t>
            </w:r>
          </w:p>
        </w:tc>
      </w:tr>
      <w:tr w:rsidR="009D6189" w:rsidRPr="002B45C0" w14:paraId="2AF2BE70" w14:textId="77777777" w:rsidTr="00990CEF">
        <w:trPr>
          <w:trHeight w:val="252"/>
        </w:trPr>
        <w:tc>
          <w:tcPr>
            <w:tcW w:w="0" w:type="auto"/>
            <w:vAlign w:val="center"/>
          </w:tcPr>
          <w:p w14:paraId="4C5059E7" w14:textId="77777777" w:rsidR="009D6189" w:rsidRPr="002B45C0" w:rsidRDefault="009D6189" w:rsidP="00990CEF">
            <w:pPr>
              <w:pStyle w:val="NoSpacing"/>
            </w:pPr>
            <w:r w:rsidRPr="002B45C0">
              <w:t>34</w:t>
            </w:r>
          </w:p>
        </w:tc>
        <w:tc>
          <w:tcPr>
            <w:tcW w:w="5783" w:type="dxa"/>
            <w:vAlign w:val="center"/>
            <w:hideMark/>
          </w:tcPr>
          <w:p w14:paraId="4195BF92" w14:textId="77777777" w:rsidR="009D6189" w:rsidRPr="002B45C0" w:rsidRDefault="009D6189" w:rsidP="00990CEF">
            <w:pPr>
              <w:pStyle w:val="NoSpacing"/>
            </w:pPr>
            <w:r w:rsidRPr="002B45C0">
              <w:t>Franklin</w:t>
            </w:r>
          </w:p>
        </w:tc>
        <w:tc>
          <w:tcPr>
            <w:tcW w:w="2721" w:type="dxa"/>
            <w:vAlign w:val="center"/>
            <w:hideMark/>
          </w:tcPr>
          <w:p w14:paraId="28E316E9" w14:textId="77777777" w:rsidR="009D6189" w:rsidRPr="002B45C0" w:rsidRDefault="009D6189" w:rsidP="00990CEF">
            <w:pPr>
              <w:pStyle w:val="NoSpacing"/>
            </w:pPr>
            <w:r w:rsidRPr="002B45C0">
              <w:t>1878</w:t>
            </w:r>
          </w:p>
        </w:tc>
      </w:tr>
      <w:tr w:rsidR="009D6189" w:rsidRPr="002B45C0" w14:paraId="24578C02" w14:textId="77777777" w:rsidTr="00990CEF">
        <w:trPr>
          <w:trHeight w:val="258"/>
        </w:trPr>
        <w:tc>
          <w:tcPr>
            <w:tcW w:w="0" w:type="auto"/>
            <w:vAlign w:val="center"/>
          </w:tcPr>
          <w:p w14:paraId="3D80A7B4" w14:textId="77777777" w:rsidR="009D6189" w:rsidRPr="002B45C0" w:rsidRDefault="009D6189" w:rsidP="00990CEF">
            <w:pPr>
              <w:pStyle w:val="NoSpacing"/>
            </w:pPr>
            <w:r w:rsidRPr="002B45C0">
              <w:t>35</w:t>
            </w:r>
          </w:p>
        </w:tc>
        <w:tc>
          <w:tcPr>
            <w:tcW w:w="5783" w:type="dxa"/>
            <w:vAlign w:val="center"/>
            <w:hideMark/>
          </w:tcPr>
          <w:p w14:paraId="0BAE7624" w14:textId="77777777" w:rsidR="009D6189" w:rsidRPr="002B45C0" w:rsidRDefault="009D6189" w:rsidP="00990CEF">
            <w:pPr>
              <w:pStyle w:val="NoSpacing"/>
            </w:pPr>
            <w:r w:rsidRPr="002B45C0">
              <w:t>Cimarron</w:t>
            </w:r>
          </w:p>
        </w:tc>
        <w:tc>
          <w:tcPr>
            <w:tcW w:w="2721" w:type="dxa"/>
            <w:vAlign w:val="center"/>
            <w:hideMark/>
          </w:tcPr>
          <w:p w14:paraId="3EF6FD13" w14:textId="77777777" w:rsidR="009D6189" w:rsidRPr="002B45C0" w:rsidRDefault="009D6189" w:rsidP="00990CEF">
            <w:pPr>
              <w:pStyle w:val="NoSpacing"/>
            </w:pPr>
            <w:r w:rsidRPr="002B45C0">
              <w:t>1883</w:t>
            </w:r>
          </w:p>
        </w:tc>
      </w:tr>
      <w:tr w:rsidR="009D6189" w:rsidRPr="002B45C0" w14:paraId="42533B7A" w14:textId="77777777" w:rsidTr="00990CEF">
        <w:trPr>
          <w:trHeight w:val="252"/>
        </w:trPr>
        <w:tc>
          <w:tcPr>
            <w:tcW w:w="0" w:type="auto"/>
            <w:vAlign w:val="center"/>
          </w:tcPr>
          <w:p w14:paraId="4DA2F4DA" w14:textId="77777777" w:rsidR="009D6189" w:rsidRPr="002B45C0" w:rsidRDefault="009D6189" w:rsidP="00990CEF">
            <w:pPr>
              <w:pStyle w:val="NoSpacing"/>
            </w:pPr>
            <w:r>
              <w:t>36</w:t>
            </w:r>
          </w:p>
        </w:tc>
        <w:tc>
          <w:tcPr>
            <w:tcW w:w="5783" w:type="dxa"/>
            <w:vAlign w:val="center"/>
            <w:hideMark/>
          </w:tcPr>
          <w:p w14:paraId="7F983E03" w14:textId="77777777" w:rsidR="009D6189" w:rsidRPr="002B45C0" w:rsidRDefault="009D6189" w:rsidP="00990CEF">
            <w:pPr>
              <w:pStyle w:val="NoSpacing"/>
            </w:pPr>
            <w:r w:rsidRPr="002B45C0">
              <w:t>Anacostia</w:t>
            </w:r>
          </w:p>
        </w:tc>
        <w:tc>
          <w:tcPr>
            <w:tcW w:w="2721" w:type="dxa"/>
            <w:vAlign w:val="center"/>
            <w:hideMark/>
          </w:tcPr>
          <w:p w14:paraId="0E8FEBBC" w14:textId="77777777" w:rsidR="009D6189" w:rsidRPr="002B45C0" w:rsidRDefault="009D6189" w:rsidP="00990CEF">
            <w:pPr>
              <w:pStyle w:val="NoSpacing"/>
            </w:pPr>
            <w:r w:rsidRPr="002B45C0">
              <w:t>1895</w:t>
            </w:r>
          </w:p>
        </w:tc>
      </w:tr>
      <w:tr w:rsidR="009D6189" w:rsidRPr="002B45C0" w14:paraId="6CA7341C" w14:textId="77777777" w:rsidTr="00990CEF">
        <w:trPr>
          <w:trHeight w:val="258"/>
        </w:trPr>
        <w:tc>
          <w:tcPr>
            <w:tcW w:w="0" w:type="auto"/>
            <w:vAlign w:val="center"/>
          </w:tcPr>
          <w:p w14:paraId="0E1D894C" w14:textId="77777777" w:rsidR="009D6189" w:rsidRPr="002B45C0" w:rsidRDefault="009D6189" w:rsidP="00990CEF">
            <w:pPr>
              <w:pStyle w:val="NoSpacing"/>
            </w:pPr>
            <w:r w:rsidRPr="002B45C0">
              <w:t>3</w:t>
            </w:r>
            <w:r>
              <w:t>7</w:t>
            </w:r>
          </w:p>
        </w:tc>
        <w:tc>
          <w:tcPr>
            <w:tcW w:w="5783" w:type="dxa"/>
            <w:vAlign w:val="center"/>
            <w:hideMark/>
          </w:tcPr>
          <w:p w14:paraId="1E28D126" w14:textId="77777777" w:rsidR="009D6189" w:rsidRPr="002B45C0" w:rsidRDefault="009D6189" w:rsidP="00990CEF">
            <w:pPr>
              <w:pStyle w:val="NoSpacing"/>
            </w:pPr>
            <w:proofErr w:type="spellStart"/>
            <w:r w:rsidRPr="002B45C0">
              <w:t>Tahosa</w:t>
            </w:r>
            <w:proofErr w:type="spellEnd"/>
          </w:p>
        </w:tc>
        <w:tc>
          <w:tcPr>
            <w:tcW w:w="2721" w:type="dxa"/>
            <w:vAlign w:val="center"/>
            <w:hideMark/>
          </w:tcPr>
          <w:p w14:paraId="1EEC5C8C" w14:textId="77777777" w:rsidR="009D6189" w:rsidRPr="002B45C0" w:rsidRDefault="009D6189" w:rsidP="00990CEF">
            <w:pPr>
              <w:pStyle w:val="NoSpacing"/>
            </w:pPr>
            <w:r w:rsidRPr="002B45C0">
              <w:t>1897</w:t>
            </w:r>
          </w:p>
        </w:tc>
      </w:tr>
      <w:tr w:rsidR="009D6189" w:rsidRPr="002B45C0" w14:paraId="5AC7A3A0" w14:textId="77777777" w:rsidTr="00990CEF">
        <w:trPr>
          <w:trHeight w:val="258"/>
        </w:trPr>
        <w:tc>
          <w:tcPr>
            <w:tcW w:w="0" w:type="auto"/>
            <w:vAlign w:val="center"/>
          </w:tcPr>
          <w:p w14:paraId="6586FA6D" w14:textId="77777777" w:rsidR="009D6189" w:rsidRPr="002B45C0" w:rsidRDefault="009D6189" w:rsidP="00990CEF">
            <w:pPr>
              <w:pStyle w:val="NoSpacing"/>
            </w:pPr>
            <w:r w:rsidRPr="002B45C0">
              <w:t>38</w:t>
            </w:r>
          </w:p>
        </w:tc>
        <w:tc>
          <w:tcPr>
            <w:tcW w:w="5783" w:type="dxa"/>
            <w:vAlign w:val="center"/>
            <w:hideMark/>
          </w:tcPr>
          <w:p w14:paraId="064202F0" w14:textId="77777777" w:rsidR="009D6189" w:rsidRPr="002B45C0" w:rsidRDefault="009D6189" w:rsidP="00990CEF">
            <w:pPr>
              <w:pStyle w:val="NoSpacing"/>
            </w:pPr>
            <w:proofErr w:type="spellStart"/>
            <w:r w:rsidRPr="002B45C0">
              <w:t>Minasota</w:t>
            </w:r>
            <w:proofErr w:type="spellEnd"/>
          </w:p>
        </w:tc>
        <w:tc>
          <w:tcPr>
            <w:tcW w:w="2721" w:type="dxa"/>
            <w:vAlign w:val="center"/>
            <w:hideMark/>
          </w:tcPr>
          <w:p w14:paraId="2D7774C6" w14:textId="77777777" w:rsidR="009D6189" w:rsidRPr="002B45C0" w:rsidRDefault="009D6189" w:rsidP="00990CEF">
            <w:pPr>
              <w:pStyle w:val="NoSpacing"/>
            </w:pPr>
            <w:r w:rsidRPr="002B45C0">
              <w:t>1901</w:t>
            </w:r>
          </w:p>
        </w:tc>
      </w:tr>
      <w:tr w:rsidR="009D6189" w:rsidRPr="002B45C0" w14:paraId="063F2F47" w14:textId="77777777" w:rsidTr="00990CEF">
        <w:trPr>
          <w:trHeight w:val="252"/>
        </w:trPr>
        <w:tc>
          <w:tcPr>
            <w:tcW w:w="0" w:type="auto"/>
            <w:vAlign w:val="center"/>
            <w:hideMark/>
          </w:tcPr>
          <w:p w14:paraId="37DD06D8" w14:textId="77777777" w:rsidR="009D6189" w:rsidRPr="002B45C0" w:rsidRDefault="009D6189" w:rsidP="00990CEF">
            <w:pPr>
              <w:pStyle w:val="NoSpacing"/>
            </w:pPr>
            <w:r w:rsidRPr="002B45C0">
              <w:t>39</w:t>
            </w:r>
          </w:p>
        </w:tc>
        <w:tc>
          <w:tcPr>
            <w:tcW w:w="5783" w:type="dxa"/>
            <w:vAlign w:val="center"/>
            <w:hideMark/>
          </w:tcPr>
          <w:p w14:paraId="355C5E84" w14:textId="77777777" w:rsidR="009D6189" w:rsidRPr="002B45C0" w:rsidRDefault="009D6189" w:rsidP="00990CEF">
            <w:pPr>
              <w:pStyle w:val="NoSpacing"/>
            </w:pPr>
            <w:proofErr w:type="spellStart"/>
            <w:r>
              <w:t>Shackamia</w:t>
            </w:r>
            <w:proofErr w:type="spellEnd"/>
          </w:p>
        </w:tc>
        <w:tc>
          <w:tcPr>
            <w:tcW w:w="2721" w:type="dxa"/>
            <w:vAlign w:val="center"/>
            <w:hideMark/>
          </w:tcPr>
          <w:p w14:paraId="33A2C3D2" w14:textId="77777777" w:rsidR="009D6189" w:rsidRPr="002B45C0" w:rsidRDefault="009D6189" w:rsidP="00990CEF">
            <w:pPr>
              <w:pStyle w:val="NoSpacing"/>
            </w:pPr>
            <w:r w:rsidRPr="002B45C0">
              <w:t>1907</w:t>
            </w:r>
          </w:p>
        </w:tc>
      </w:tr>
    </w:tbl>
    <w:p w14:paraId="32F6CEE1" w14:textId="77777777" w:rsidR="00425905" w:rsidRDefault="00425905" w:rsidP="009D6189">
      <w:pPr>
        <w:pStyle w:val="NoSpacing"/>
        <w:sectPr w:rsidR="00425905" w:rsidSect="004014F6">
          <w:footnotePr>
            <w:numFmt w:val="chicago"/>
          </w:footnotePr>
          <w:endnotePr>
            <w:numFmt w:val="decimal"/>
            <w:numRestart w:val="eachSect"/>
          </w:endnotePr>
          <w:type w:val="continuous"/>
          <w:pgSz w:w="12240" w:h="15840"/>
          <w:pgMar w:top="1440" w:right="1440" w:bottom="1440" w:left="1440" w:header="708" w:footer="708" w:gutter="0"/>
          <w:cols w:space="708"/>
          <w:docGrid w:linePitch="360"/>
        </w:sectPr>
      </w:pPr>
    </w:p>
    <w:p w14:paraId="2405A386" w14:textId="68E93704" w:rsidR="004F18E2" w:rsidRDefault="004F18E2" w:rsidP="008246EF">
      <w:pPr>
        <w:pStyle w:val="Heading1"/>
      </w:pPr>
      <w:bookmarkStart w:id="66" w:name="_Toc202006252"/>
      <w:r>
        <w:lastRenderedPageBreak/>
        <w:t>Appendix 3. Population of the United States of America</w:t>
      </w:r>
      <w:bookmarkEnd w:id="66"/>
    </w:p>
    <w:tbl>
      <w:tblPr>
        <w:tblW w:w="9550" w:type="dxa"/>
        <w:tblLook w:val="04A0" w:firstRow="1" w:lastRow="0" w:firstColumn="1" w:lastColumn="0" w:noHBand="0" w:noVBand="1"/>
      </w:tblPr>
      <w:tblGrid>
        <w:gridCol w:w="3075"/>
        <w:gridCol w:w="3777"/>
        <w:gridCol w:w="2698"/>
      </w:tblGrid>
      <w:tr w:rsidR="00125FCE" w:rsidRPr="00125FCE" w14:paraId="2BC7544D" w14:textId="77777777" w:rsidTr="00125FCE">
        <w:trPr>
          <w:trHeight w:val="281"/>
        </w:trPr>
        <w:tc>
          <w:tcPr>
            <w:tcW w:w="3075" w:type="dxa"/>
            <w:tcBorders>
              <w:top w:val="nil"/>
              <w:left w:val="nil"/>
              <w:bottom w:val="single" w:sz="4" w:space="0" w:color="auto"/>
              <w:right w:val="nil"/>
            </w:tcBorders>
            <w:shd w:val="clear" w:color="auto" w:fill="auto"/>
            <w:noWrap/>
            <w:vAlign w:val="bottom"/>
            <w:hideMark/>
          </w:tcPr>
          <w:p w14:paraId="36DE5746" w14:textId="77777777" w:rsidR="00125FCE" w:rsidRPr="00125FCE" w:rsidRDefault="00125FCE" w:rsidP="00125FCE">
            <w:pPr>
              <w:pStyle w:val="NoSpacing"/>
              <w:rPr>
                <w:b/>
                <w:bCs/>
                <w:lang w:eastAsia="en-CA"/>
              </w:rPr>
            </w:pPr>
            <w:r w:rsidRPr="00125FCE">
              <w:rPr>
                <w:b/>
                <w:bCs/>
                <w:lang w:eastAsia="en-CA"/>
              </w:rPr>
              <w:t>Census year</w:t>
            </w:r>
          </w:p>
        </w:tc>
        <w:tc>
          <w:tcPr>
            <w:tcW w:w="3777" w:type="dxa"/>
            <w:tcBorders>
              <w:top w:val="nil"/>
              <w:left w:val="nil"/>
              <w:bottom w:val="single" w:sz="4" w:space="0" w:color="auto"/>
              <w:right w:val="nil"/>
            </w:tcBorders>
            <w:shd w:val="clear" w:color="auto" w:fill="auto"/>
            <w:noWrap/>
            <w:vAlign w:val="bottom"/>
            <w:hideMark/>
          </w:tcPr>
          <w:p w14:paraId="0AC6F379" w14:textId="3544B3CE" w:rsidR="00125FCE" w:rsidRPr="00125FCE" w:rsidRDefault="00125FCE" w:rsidP="00125FCE">
            <w:pPr>
              <w:pStyle w:val="NoSpacing"/>
              <w:rPr>
                <w:b/>
                <w:bCs/>
                <w:lang w:eastAsia="en-CA"/>
              </w:rPr>
            </w:pPr>
            <w:r w:rsidRPr="00125FCE">
              <w:rPr>
                <w:b/>
                <w:bCs/>
                <w:lang w:eastAsia="en-CA"/>
              </w:rPr>
              <w:t>Population</w:t>
            </w:r>
          </w:p>
        </w:tc>
        <w:tc>
          <w:tcPr>
            <w:tcW w:w="2698" w:type="dxa"/>
            <w:tcBorders>
              <w:top w:val="nil"/>
              <w:left w:val="nil"/>
              <w:bottom w:val="single" w:sz="4" w:space="0" w:color="auto"/>
              <w:right w:val="nil"/>
            </w:tcBorders>
            <w:shd w:val="clear" w:color="auto" w:fill="auto"/>
            <w:noWrap/>
            <w:vAlign w:val="bottom"/>
            <w:hideMark/>
          </w:tcPr>
          <w:p w14:paraId="0D7710AC" w14:textId="77777777" w:rsidR="00125FCE" w:rsidRPr="00125FCE" w:rsidRDefault="00125FCE" w:rsidP="00125FCE">
            <w:pPr>
              <w:pStyle w:val="NoSpacing"/>
              <w:rPr>
                <w:b/>
                <w:bCs/>
                <w:lang w:eastAsia="en-CA"/>
              </w:rPr>
            </w:pPr>
            <w:r w:rsidRPr="00125FCE">
              <w:rPr>
                <w:b/>
                <w:bCs/>
                <w:lang w:eastAsia="en-CA"/>
              </w:rPr>
              <w:t>Growth rate</w:t>
            </w:r>
          </w:p>
        </w:tc>
      </w:tr>
      <w:tr w:rsidR="00125FCE" w:rsidRPr="00125FCE" w14:paraId="693DC374" w14:textId="77777777" w:rsidTr="00125FCE">
        <w:trPr>
          <w:trHeight w:val="281"/>
        </w:trPr>
        <w:tc>
          <w:tcPr>
            <w:tcW w:w="3075" w:type="dxa"/>
            <w:tcBorders>
              <w:top w:val="single" w:sz="4" w:space="0" w:color="auto"/>
              <w:left w:val="nil"/>
              <w:bottom w:val="nil"/>
              <w:right w:val="nil"/>
            </w:tcBorders>
            <w:shd w:val="clear" w:color="auto" w:fill="auto"/>
            <w:noWrap/>
            <w:vAlign w:val="bottom"/>
            <w:hideMark/>
          </w:tcPr>
          <w:p w14:paraId="18F9E232" w14:textId="77777777" w:rsidR="00125FCE" w:rsidRPr="00125FCE" w:rsidRDefault="00125FCE" w:rsidP="00125FCE">
            <w:pPr>
              <w:pStyle w:val="NoSpacing"/>
              <w:rPr>
                <w:lang w:eastAsia="en-CA"/>
              </w:rPr>
            </w:pPr>
            <w:r w:rsidRPr="00125FCE">
              <w:rPr>
                <w:lang w:eastAsia="en-CA"/>
              </w:rPr>
              <w:t>1790</w:t>
            </w:r>
          </w:p>
        </w:tc>
        <w:tc>
          <w:tcPr>
            <w:tcW w:w="3777" w:type="dxa"/>
            <w:tcBorders>
              <w:top w:val="single" w:sz="4" w:space="0" w:color="auto"/>
              <w:left w:val="nil"/>
              <w:bottom w:val="nil"/>
              <w:right w:val="nil"/>
            </w:tcBorders>
            <w:shd w:val="clear" w:color="auto" w:fill="auto"/>
            <w:noWrap/>
            <w:vAlign w:val="bottom"/>
            <w:hideMark/>
          </w:tcPr>
          <w:p w14:paraId="456751EF" w14:textId="77777777" w:rsidR="00125FCE" w:rsidRPr="00125FCE" w:rsidRDefault="00125FCE" w:rsidP="00125FCE">
            <w:pPr>
              <w:pStyle w:val="NoSpacing"/>
              <w:rPr>
                <w:lang w:eastAsia="en-CA"/>
              </w:rPr>
            </w:pPr>
            <w:r w:rsidRPr="00125FCE">
              <w:rPr>
                <w:lang w:eastAsia="en-CA"/>
              </w:rPr>
              <w:t>3,929,214</w:t>
            </w:r>
          </w:p>
        </w:tc>
        <w:tc>
          <w:tcPr>
            <w:tcW w:w="2698" w:type="dxa"/>
            <w:tcBorders>
              <w:top w:val="single" w:sz="4" w:space="0" w:color="auto"/>
              <w:left w:val="nil"/>
              <w:bottom w:val="nil"/>
              <w:right w:val="nil"/>
            </w:tcBorders>
            <w:shd w:val="clear" w:color="auto" w:fill="auto"/>
            <w:noWrap/>
            <w:vAlign w:val="bottom"/>
            <w:hideMark/>
          </w:tcPr>
          <w:p w14:paraId="27BF1963" w14:textId="77777777" w:rsidR="00125FCE" w:rsidRPr="00125FCE" w:rsidRDefault="00125FCE" w:rsidP="00125FCE">
            <w:pPr>
              <w:pStyle w:val="NoSpacing"/>
              <w:rPr>
                <w:lang w:eastAsia="en-CA"/>
              </w:rPr>
            </w:pPr>
            <w:r w:rsidRPr="00125FCE">
              <w:rPr>
                <w:lang w:eastAsia="en-CA"/>
              </w:rPr>
              <w:t>41.32%</w:t>
            </w:r>
          </w:p>
        </w:tc>
      </w:tr>
      <w:tr w:rsidR="00125FCE" w:rsidRPr="00125FCE" w14:paraId="3F61C3BD" w14:textId="77777777" w:rsidTr="00125FCE">
        <w:trPr>
          <w:trHeight w:val="281"/>
        </w:trPr>
        <w:tc>
          <w:tcPr>
            <w:tcW w:w="3075" w:type="dxa"/>
            <w:tcBorders>
              <w:top w:val="nil"/>
              <w:left w:val="nil"/>
              <w:bottom w:val="nil"/>
              <w:right w:val="nil"/>
            </w:tcBorders>
            <w:shd w:val="clear" w:color="auto" w:fill="auto"/>
            <w:noWrap/>
            <w:vAlign w:val="bottom"/>
            <w:hideMark/>
          </w:tcPr>
          <w:p w14:paraId="018026D7" w14:textId="77777777" w:rsidR="00125FCE" w:rsidRPr="00125FCE" w:rsidRDefault="00125FCE" w:rsidP="00125FCE">
            <w:pPr>
              <w:pStyle w:val="NoSpacing"/>
              <w:rPr>
                <w:lang w:eastAsia="en-CA"/>
              </w:rPr>
            </w:pPr>
            <w:r w:rsidRPr="00125FCE">
              <w:rPr>
                <w:lang w:eastAsia="en-CA"/>
              </w:rPr>
              <w:t>1800</w:t>
            </w:r>
          </w:p>
        </w:tc>
        <w:tc>
          <w:tcPr>
            <w:tcW w:w="3777" w:type="dxa"/>
            <w:tcBorders>
              <w:top w:val="nil"/>
              <w:left w:val="nil"/>
              <w:bottom w:val="nil"/>
              <w:right w:val="nil"/>
            </w:tcBorders>
            <w:shd w:val="clear" w:color="auto" w:fill="auto"/>
            <w:noWrap/>
            <w:vAlign w:val="bottom"/>
            <w:hideMark/>
          </w:tcPr>
          <w:p w14:paraId="2C5EB696" w14:textId="77777777" w:rsidR="00125FCE" w:rsidRPr="00125FCE" w:rsidRDefault="00125FCE" w:rsidP="00125FCE">
            <w:pPr>
              <w:pStyle w:val="NoSpacing"/>
              <w:rPr>
                <w:lang w:eastAsia="en-CA"/>
              </w:rPr>
            </w:pPr>
            <w:r w:rsidRPr="00125FCE">
              <w:rPr>
                <w:lang w:eastAsia="en-CA"/>
              </w:rPr>
              <w:t>5,308,483</w:t>
            </w:r>
          </w:p>
        </w:tc>
        <w:tc>
          <w:tcPr>
            <w:tcW w:w="2698" w:type="dxa"/>
            <w:tcBorders>
              <w:top w:val="nil"/>
              <w:left w:val="nil"/>
              <w:bottom w:val="nil"/>
              <w:right w:val="nil"/>
            </w:tcBorders>
            <w:shd w:val="clear" w:color="auto" w:fill="auto"/>
            <w:noWrap/>
            <w:vAlign w:val="bottom"/>
            <w:hideMark/>
          </w:tcPr>
          <w:p w14:paraId="488F5FFA" w14:textId="77777777" w:rsidR="00125FCE" w:rsidRPr="00125FCE" w:rsidRDefault="00125FCE" w:rsidP="00125FCE">
            <w:pPr>
              <w:pStyle w:val="NoSpacing"/>
              <w:rPr>
                <w:lang w:eastAsia="en-CA"/>
              </w:rPr>
            </w:pPr>
            <w:r w:rsidRPr="00125FCE">
              <w:rPr>
                <w:lang w:eastAsia="en-CA"/>
              </w:rPr>
              <w:t>35.10%</w:t>
            </w:r>
          </w:p>
        </w:tc>
      </w:tr>
      <w:tr w:rsidR="00125FCE" w:rsidRPr="00125FCE" w14:paraId="1E1E7CDD" w14:textId="77777777" w:rsidTr="00125FCE">
        <w:trPr>
          <w:trHeight w:val="281"/>
        </w:trPr>
        <w:tc>
          <w:tcPr>
            <w:tcW w:w="3075" w:type="dxa"/>
            <w:tcBorders>
              <w:top w:val="nil"/>
              <w:left w:val="nil"/>
              <w:bottom w:val="nil"/>
              <w:right w:val="nil"/>
            </w:tcBorders>
            <w:shd w:val="clear" w:color="auto" w:fill="auto"/>
            <w:noWrap/>
            <w:vAlign w:val="bottom"/>
            <w:hideMark/>
          </w:tcPr>
          <w:p w14:paraId="249EF796" w14:textId="77777777" w:rsidR="00125FCE" w:rsidRPr="00125FCE" w:rsidRDefault="00125FCE" w:rsidP="00125FCE">
            <w:pPr>
              <w:pStyle w:val="NoSpacing"/>
              <w:rPr>
                <w:lang w:eastAsia="en-CA"/>
              </w:rPr>
            </w:pPr>
            <w:r w:rsidRPr="00125FCE">
              <w:rPr>
                <w:lang w:eastAsia="en-CA"/>
              </w:rPr>
              <w:t>1810</w:t>
            </w:r>
          </w:p>
        </w:tc>
        <w:tc>
          <w:tcPr>
            <w:tcW w:w="3777" w:type="dxa"/>
            <w:tcBorders>
              <w:top w:val="nil"/>
              <w:left w:val="nil"/>
              <w:bottom w:val="nil"/>
              <w:right w:val="nil"/>
            </w:tcBorders>
            <w:shd w:val="clear" w:color="auto" w:fill="auto"/>
            <w:noWrap/>
            <w:vAlign w:val="bottom"/>
            <w:hideMark/>
          </w:tcPr>
          <w:p w14:paraId="018D0BBD" w14:textId="77777777" w:rsidR="00125FCE" w:rsidRPr="00125FCE" w:rsidRDefault="00125FCE" w:rsidP="00125FCE">
            <w:pPr>
              <w:pStyle w:val="NoSpacing"/>
              <w:rPr>
                <w:lang w:eastAsia="en-CA"/>
              </w:rPr>
            </w:pPr>
            <w:r w:rsidRPr="00125FCE">
              <w:rPr>
                <w:lang w:eastAsia="en-CA"/>
              </w:rPr>
              <w:t>7,139,881</w:t>
            </w:r>
          </w:p>
        </w:tc>
        <w:tc>
          <w:tcPr>
            <w:tcW w:w="2698" w:type="dxa"/>
            <w:tcBorders>
              <w:top w:val="nil"/>
              <w:left w:val="nil"/>
              <w:bottom w:val="nil"/>
              <w:right w:val="nil"/>
            </w:tcBorders>
            <w:shd w:val="clear" w:color="auto" w:fill="auto"/>
            <w:noWrap/>
            <w:vAlign w:val="bottom"/>
            <w:hideMark/>
          </w:tcPr>
          <w:p w14:paraId="1B0807C3" w14:textId="77777777" w:rsidR="00125FCE" w:rsidRPr="00125FCE" w:rsidRDefault="00125FCE" w:rsidP="00125FCE">
            <w:pPr>
              <w:pStyle w:val="NoSpacing"/>
              <w:rPr>
                <w:lang w:eastAsia="en-CA"/>
              </w:rPr>
            </w:pPr>
            <w:r w:rsidRPr="00125FCE">
              <w:rPr>
                <w:lang w:eastAsia="en-CA"/>
              </w:rPr>
              <w:t>34.50%</w:t>
            </w:r>
          </w:p>
        </w:tc>
      </w:tr>
      <w:tr w:rsidR="00125FCE" w:rsidRPr="00125FCE" w14:paraId="4895A74B" w14:textId="77777777" w:rsidTr="00125FCE">
        <w:trPr>
          <w:trHeight w:val="281"/>
        </w:trPr>
        <w:tc>
          <w:tcPr>
            <w:tcW w:w="3075" w:type="dxa"/>
            <w:tcBorders>
              <w:top w:val="nil"/>
              <w:left w:val="nil"/>
              <w:bottom w:val="nil"/>
              <w:right w:val="nil"/>
            </w:tcBorders>
            <w:shd w:val="clear" w:color="auto" w:fill="auto"/>
            <w:noWrap/>
            <w:vAlign w:val="bottom"/>
            <w:hideMark/>
          </w:tcPr>
          <w:p w14:paraId="12A8F208" w14:textId="77777777" w:rsidR="00125FCE" w:rsidRPr="00125FCE" w:rsidRDefault="00125FCE" w:rsidP="00125FCE">
            <w:pPr>
              <w:pStyle w:val="NoSpacing"/>
              <w:rPr>
                <w:lang w:eastAsia="en-CA"/>
              </w:rPr>
            </w:pPr>
            <w:r w:rsidRPr="00125FCE">
              <w:rPr>
                <w:lang w:eastAsia="en-CA"/>
              </w:rPr>
              <w:t>1820</w:t>
            </w:r>
          </w:p>
        </w:tc>
        <w:tc>
          <w:tcPr>
            <w:tcW w:w="3777" w:type="dxa"/>
            <w:tcBorders>
              <w:top w:val="nil"/>
              <w:left w:val="nil"/>
              <w:bottom w:val="nil"/>
              <w:right w:val="nil"/>
            </w:tcBorders>
            <w:shd w:val="clear" w:color="auto" w:fill="auto"/>
            <w:noWrap/>
            <w:vAlign w:val="bottom"/>
            <w:hideMark/>
          </w:tcPr>
          <w:p w14:paraId="7659E087" w14:textId="77777777" w:rsidR="00125FCE" w:rsidRPr="00125FCE" w:rsidRDefault="00125FCE" w:rsidP="00125FCE">
            <w:pPr>
              <w:pStyle w:val="NoSpacing"/>
              <w:rPr>
                <w:lang w:eastAsia="en-CA"/>
              </w:rPr>
            </w:pPr>
            <w:r w:rsidRPr="00125FCE">
              <w:rPr>
                <w:lang w:eastAsia="en-CA"/>
              </w:rPr>
              <w:t>9,438,453</w:t>
            </w:r>
          </w:p>
        </w:tc>
        <w:tc>
          <w:tcPr>
            <w:tcW w:w="2698" w:type="dxa"/>
            <w:tcBorders>
              <w:top w:val="nil"/>
              <w:left w:val="nil"/>
              <w:bottom w:val="nil"/>
              <w:right w:val="nil"/>
            </w:tcBorders>
            <w:shd w:val="clear" w:color="auto" w:fill="auto"/>
            <w:noWrap/>
            <w:vAlign w:val="bottom"/>
            <w:hideMark/>
          </w:tcPr>
          <w:p w14:paraId="71078567" w14:textId="77777777" w:rsidR="00125FCE" w:rsidRPr="00125FCE" w:rsidRDefault="00125FCE" w:rsidP="00125FCE">
            <w:pPr>
              <w:pStyle w:val="NoSpacing"/>
              <w:rPr>
                <w:lang w:eastAsia="en-CA"/>
              </w:rPr>
            </w:pPr>
            <w:r w:rsidRPr="00125FCE">
              <w:rPr>
                <w:lang w:eastAsia="en-CA"/>
              </w:rPr>
              <w:t>32.19%</w:t>
            </w:r>
          </w:p>
        </w:tc>
      </w:tr>
      <w:tr w:rsidR="00125FCE" w:rsidRPr="00125FCE" w14:paraId="31667EFD" w14:textId="77777777" w:rsidTr="00125FCE">
        <w:trPr>
          <w:trHeight w:val="281"/>
        </w:trPr>
        <w:tc>
          <w:tcPr>
            <w:tcW w:w="3075" w:type="dxa"/>
            <w:tcBorders>
              <w:top w:val="nil"/>
              <w:left w:val="nil"/>
              <w:bottom w:val="nil"/>
              <w:right w:val="nil"/>
            </w:tcBorders>
            <w:shd w:val="clear" w:color="auto" w:fill="auto"/>
            <w:noWrap/>
            <w:vAlign w:val="bottom"/>
            <w:hideMark/>
          </w:tcPr>
          <w:p w14:paraId="303FD139" w14:textId="77777777" w:rsidR="00125FCE" w:rsidRPr="00125FCE" w:rsidRDefault="00125FCE" w:rsidP="00125FCE">
            <w:pPr>
              <w:pStyle w:val="NoSpacing"/>
              <w:rPr>
                <w:lang w:eastAsia="en-CA"/>
              </w:rPr>
            </w:pPr>
            <w:r w:rsidRPr="00125FCE">
              <w:rPr>
                <w:lang w:eastAsia="en-CA"/>
              </w:rPr>
              <w:t>1830</w:t>
            </w:r>
          </w:p>
        </w:tc>
        <w:tc>
          <w:tcPr>
            <w:tcW w:w="3777" w:type="dxa"/>
            <w:tcBorders>
              <w:top w:val="nil"/>
              <w:left w:val="nil"/>
              <w:bottom w:val="nil"/>
              <w:right w:val="nil"/>
            </w:tcBorders>
            <w:shd w:val="clear" w:color="auto" w:fill="auto"/>
            <w:noWrap/>
            <w:vAlign w:val="bottom"/>
            <w:hideMark/>
          </w:tcPr>
          <w:p w14:paraId="1B4A3D8B" w14:textId="77777777" w:rsidR="00125FCE" w:rsidRPr="00125FCE" w:rsidRDefault="00125FCE" w:rsidP="00125FCE">
            <w:pPr>
              <w:pStyle w:val="NoSpacing"/>
              <w:rPr>
                <w:lang w:eastAsia="en-CA"/>
              </w:rPr>
            </w:pPr>
            <w:r w:rsidRPr="00125FCE">
              <w:rPr>
                <w:lang w:eastAsia="en-CA"/>
              </w:rPr>
              <w:t>11,866,020</w:t>
            </w:r>
          </w:p>
        </w:tc>
        <w:tc>
          <w:tcPr>
            <w:tcW w:w="2698" w:type="dxa"/>
            <w:tcBorders>
              <w:top w:val="nil"/>
              <w:left w:val="nil"/>
              <w:bottom w:val="nil"/>
              <w:right w:val="nil"/>
            </w:tcBorders>
            <w:shd w:val="clear" w:color="auto" w:fill="auto"/>
            <w:noWrap/>
            <w:vAlign w:val="bottom"/>
            <w:hideMark/>
          </w:tcPr>
          <w:p w14:paraId="0A27BC11" w14:textId="77777777" w:rsidR="00125FCE" w:rsidRPr="00125FCE" w:rsidRDefault="00125FCE" w:rsidP="00125FCE">
            <w:pPr>
              <w:pStyle w:val="NoSpacing"/>
              <w:rPr>
                <w:lang w:eastAsia="en-CA"/>
              </w:rPr>
            </w:pPr>
            <w:r w:rsidRPr="00125FCE">
              <w:rPr>
                <w:lang w:eastAsia="en-CA"/>
              </w:rPr>
              <w:t>25.72%</w:t>
            </w:r>
          </w:p>
        </w:tc>
      </w:tr>
      <w:tr w:rsidR="00125FCE" w:rsidRPr="00125FCE" w14:paraId="476E55C1" w14:textId="77777777" w:rsidTr="00125FCE">
        <w:trPr>
          <w:trHeight w:val="281"/>
        </w:trPr>
        <w:tc>
          <w:tcPr>
            <w:tcW w:w="3075" w:type="dxa"/>
            <w:tcBorders>
              <w:top w:val="nil"/>
              <w:left w:val="nil"/>
              <w:bottom w:val="nil"/>
              <w:right w:val="nil"/>
            </w:tcBorders>
            <w:shd w:val="clear" w:color="auto" w:fill="auto"/>
            <w:noWrap/>
            <w:vAlign w:val="bottom"/>
            <w:hideMark/>
          </w:tcPr>
          <w:p w14:paraId="44228D32" w14:textId="77777777" w:rsidR="00125FCE" w:rsidRPr="00125FCE" w:rsidRDefault="00125FCE" w:rsidP="00125FCE">
            <w:pPr>
              <w:pStyle w:val="NoSpacing"/>
              <w:rPr>
                <w:lang w:eastAsia="en-CA"/>
              </w:rPr>
            </w:pPr>
            <w:r w:rsidRPr="00125FCE">
              <w:rPr>
                <w:lang w:eastAsia="en-CA"/>
              </w:rPr>
              <w:t>1840</w:t>
            </w:r>
          </w:p>
        </w:tc>
        <w:tc>
          <w:tcPr>
            <w:tcW w:w="3777" w:type="dxa"/>
            <w:tcBorders>
              <w:top w:val="nil"/>
              <w:left w:val="nil"/>
              <w:bottom w:val="nil"/>
              <w:right w:val="nil"/>
            </w:tcBorders>
            <w:shd w:val="clear" w:color="auto" w:fill="auto"/>
            <w:noWrap/>
            <w:vAlign w:val="bottom"/>
            <w:hideMark/>
          </w:tcPr>
          <w:p w14:paraId="7C8F9678" w14:textId="77777777" w:rsidR="00125FCE" w:rsidRPr="00125FCE" w:rsidRDefault="00125FCE" w:rsidP="00125FCE">
            <w:pPr>
              <w:pStyle w:val="NoSpacing"/>
              <w:rPr>
                <w:lang w:eastAsia="en-CA"/>
              </w:rPr>
            </w:pPr>
            <w:r w:rsidRPr="00125FCE">
              <w:rPr>
                <w:lang w:eastAsia="en-CA"/>
              </w:rPr>
              <w:t>16,069,453</w:t>
            </w:r>
          </w:p>
        </w:tc>
        <w:tc>
          <w:tcPr>
            <w:tcW w:w="2698" w:type="dxa"/>
            <w:tcBorders>
              <w:top w:val="nil"/>
              <w:left w:val="nil"/>
              <w:bottom w:val="nil"/>
              <w:right w:val="nil"/>
            </w:tcBorders>
            <w:shd w:val="clear" w:color="auto" w:fill="auto"/>
            <w:noWrap/>
            <w:vAlign w:val="bottom"/>
            <w:hideMark/>
          </w:tcPr>
          <w:p w14:paraId="2B8C7B99" w14:textId="77777777" w:rsidR="00125FCE" w:rsidRPr="00125FCE" w:rsidRDefault="00125FCE" w:rsidP="00125FCE">
            <w:pPr>
              <w:pStyle w:val="NoSpacing"/>
              <w:rPr>
                <w:lang w:eastAsia="en-CA"/>
              </w:rPr>
            </w:pPr>
            <w:r w:rsidRPr="00125FCE">
              <w:rPr>
                <w:lang w:eastAsia="en-CA"/>
              </w:rPr>
              <w:t>35.42%</w:t>
            </w:r>
          </w:p>
        </w:tc>
      </w:tr>
      <w:tr w:rsidR="00125FCE" w:rsidRPr="00125FCE" w14:paraId="3CBC83DC" w14:textId="77777777" w:rsidTr="00125FCE">
        <w:trPr>
          <w:trHeight w:val="281"/>
        </w:trPr>
        <w:tc>
          <w:tcPr>
            <w:tcW w:w="3075" w:type="dxa"/>
            <w:tcBorders>
              <w:top w:val="nil"/>
              <w:left w:val="nil"/>
              <w:bottom w:val="nil"/>
              <w:right w:val="nil"/>
            </w:tcBorders>
            <w:shd w:val="clear" w:color="auto" w:fill="auto"/>
            <w:noWrap/>
            <w:vAlign w:val="bottom"/>
            <w:hideMark/>
          </w:tcPr>
          <w:p w14:paraId="6EDC974A" w14:textId="77777777" w:rsidR="00125FCE" w:rsidRPr="00125FCE" w:rsidRDefault="00125FCE" w:rsidP="00125FCE">
            <w:pPr>
              <w:pStyle w:val="NoSpacing"/>
              <w:rPr>
                <w:lang w:eastAsia="en-CA"/>
              </w:rPr>
            </w:pPr>
            <w:r w:rsidRPr="00125FCE">
              <w:rPr>
                <w:lang w:eastAsia="en-CA"/>
              </w:rPr>
              <w:t>1850</w:t>
            </w:r>
          </w:p>
        </w:tc>
        <w:tc>
          <w:tcPr>
            <w:tcW w:w="3777" w:type="dxa"/>
            <w:tcBorders>
              <w:top w:val="nil"/>
              <w:left w:val="nil"/>
              <w:bottom w:val="nil"/>
              <w:right w:val="nil"/>
            </w:tcBorders>
            <w:shd w:val="clear" w:color="auto" w:fill="auto"/>
            <w:noWrap/>
            <w:vAlign w:val="bottom"/>
            <w:hideMark/>
          </w:tcPr>
          <w:p w14:paraId="1FA4EB58" w14:textId="77777777" w:rsidR="00125FCE" w:rsidRPr="00125FCE" w:rsidRDefault="00125FCE" w:rsidP="00125FCE">
            <w:pPr>
              <w:pStyle w:val="NoSpacing"/>
              <w:rPr>
                <w:lang w:eastAsia="en-CA"/>
              </w:rPr>
            </w:pPr>
            <w:r w:rsidRPr="00125FCE">
              <w:rPr>
                <w:lang w:eastAsia="en-CA"/>
              </w:rPr>
              <w:t>21,691,876</w:t>
            </w:r>
          </w:p>
        </w:tc>
        <w:tc>
          <w:tcPr>
            <w:tcW w:w="2698" w:type="dxa"/>
            <w:tcBorders>
              <w:top w:val="nil"/>
              <w:left w:val="nil"/>
              <w:bottom w:val="nil"/>
              <w:right w:val="nil"/>
            </w:tcBorders>
            <w:shd w:val="clear" w:color="auto" w:fill="auto"/>
            <w:noWrap/>
            <w:vAlign w:val="bottom"/>
            <w:hideMark/>
          </w:tcPr>
          <w:p w14:paraId="14E55362" w14:textId="77777777" w:rsidR="00125FCE" w:rsidRPr="00125FCE" w:rsidRDefault="00125FCE" w:rsidP="00125FCE">
            <w:pPr>
              <w:pStyle w:val="NoSpacing"/>
              <w:rPr>
                <w:lang w:eastAsia="en-CA"/>
              </w:rPr>
            </w:pPr>
            <w:r w:rsidRPr="00125FCE">
              <w:rPr>
                <w:lang w:eastAsia="en-CA"/>
              </w:rPr>
              <w:t>34.99%</w:t>
            </w:r>
          </w:p>
        </w:tc>
      </w:tr>
      <w:tr w:rsidR="00125FCE" w:rsidRPr="00125FCE" w14:paraId="18294167" w14:textId="77777777" w:rsidTr="00125FCE">
        <w:trPr>
          <w:trHeight w:val="281"/>
        </w:trPr>
        <w:tc>
          <w:tcPr>
            <w:tcW w:w="3075" w:type="dxa"/>
            <w:tcBorders>
              <w:top w:val="nil"/>
              <w:left w:val="nil"/>
              <w:bottom w:val="nil"/>
              <w:right w:val="nil"/>
            </w:tcBorders>
            <w:shd w:val="clear" w:color="auto" w:fill="auto"/>
            <w:noWrap/>
            <w:vAlign w:val="bottom"/>
            <w:hideMark/>
          </w:tcPr>
          <w:p w14:paraId="271B5DAC" w14:textId="77777777" w:rsidR="00125FCE" w:rsidRPr="00125FCE" w:rsidRDefault="00125FCE" w:rsidP="00125FCE">
            <w:pPr>
              <w:pStyle w:val="NoSpacing"/>
              <w:rPr>
                <w:lang w:eastAsia="en-CA"/>
              </w:rPr>
            </w:pPr>
            <w:r w:rsidRPr="00125FCE">
              <w:rPr>
                <w:lang w:eastAsia="en-CA"/>
              </w:rPr>
              <w:t>1860</w:t>
            </w:r>
          </w:p>
        </w:tc>
        <w:tc>
          <w:tcPr>
            <w:tcW w:w="3777" w:type="dxa"/>
            <w:tcBorders>
              <w:top w:val="nil"/>
              <w:left w:val="nil"/>
              <w:bottom w:val="nil"/>
              <w:right w:val="nil"/>
            </w:tcBorders>
            <w:shd w:val="clear" w:color="auto" w:fill="auto"/>
            <w:noWrap/>
            <w:vAlign w:val="bottom"/>
            <w:hideMark/>
          </w:tcPr>
          <w:p w14:paraId="5FE565A6" w14:textId="77777777" w:rsidR="00125FCE" w:rsidRPr="00125FCE" w:rsidRDefault="00125FCE" w:rsidP="00125FCE">
            <w:pPr>
              <w:pStyle w:val="NoSpacing"/>
              <w:rPr>
                <w:lang w:eastAsia="en-CA"/>
              </w:rPr>
            </w:pPr>
            <w:r w:rsidRPr="00125FCE">
              <w:rPr>
                <w:lang w:eastAsia="en-CA"/>
              </w:rPr>
              <w:t>28,943,321</w:t>
            </w:r>
          </w:p>
        </w:tc>
        <w:tc>
          <w:tcPr>
            <w:tcW w:w="2698" w:type="dxa"/>
            <w:tcBorders>
              <w:top w:val="nil"/>
              <w:left w:val="nil"/>
              <w:bottom w:val="nil"/>
              <w:right w:val="nil"/>
            </w:tcBorders>
            <w:shd w:val="clear" w:color="auto" w:fill="auto"/>
            <w:noWrap/>
            <w:vAlign w:val="bottom"/>
            <w:hideMark/>
          </w:tcPr>
          <w:p w14:paraId="7E798D28" w14:textId="77777777" w:rsidR="00125FCE" w:rsidRPr="00125FCE" w:rsidRDefault="00125FCE" w:rsidP="00125FCE">
            <w:pPr>
              <w:pStyle w:val="NoSpacing"/>
              <w:rPr>
                <w:lang w:eastAsia="en-CA"/>
              </w:rPr>
            </w:pPr>
            <w:r w:rsidRPr="00125FCE">
              <w:rPr>
                <w:lang w:eastAsia="en-CA"/>
              </w:rPr>
              <w:t>33.43%</w:t>
            </w:r>
          </w:p>
        </w:tc>
      </w:tr>
      <w:tr w:rsidR="00B203BD" w:rsidRPr="00125FCE" w14:paraId="3BF410C9" w14:textId="77777777" w:rsidTr="004C0E8A">
        <w:trPr>
          <w:trHeight w:val="281"/>
        </w:trPr>
        <w:tc>
          <w:tcPr>
            <w:tcW w:w="3075" w:type="dxa"/>
            <w:tcBorders>
              <w:top w:val="nil"/>
              <w:left w:val="nil"/>
              <w:bottom w:val="nil"/>
              <w:right w:val="nil"/>
            </w:tcBorders>
            <w:shd w:val="clear" w:color="auto" w:fill="auto"/>
            <w:noWrap/>
            <w:vAlign w:val="bottom"/>
            <w:hideMark/>
          </w:tcPr>
          <w:p w14:paraId="01BEC84A" w14:textId="719D5FF2" w:rsidR="00B203BD" w:rsidRPr="00125FCE" w:rsidRDefault="00B203BD" w:rsidP="00B203BD">
            <w:pPr>
              <w:pStyle w:val="NoSpacing"/>
              <w:rPr>
                <w:lang w:eastAsia="en-CA"/>
              </w:rPr>
            </w:pPr>
            <w:r w:rsidRPr="00125FCE">
              <w:rPr>
                <w:lang w:eastAsia="en-CA"/>
              </w:rPr>
              <w:t>1870</w:t>
            </w:r>
            <w:r>
              <w:rPr>
                <w:rStyle w:val="EndnoteReference"/>
                <w:lang w:eastAsia="en-CA"/>
              </w:rPr>
              <w:endnoteReference w:id="260"/>
            </w:r>
          </w:p>
        </w:tc>
        <w:tc>
          <w:tcPr>
            <w:tcW w:w="3777" w:type="dxa"/>
            <w:tcBorders>
              <w:top w:val="nil"/>
              <w:left w:val="nil"/>
              <w:bottom w:val="nil"/>
              <w:right w:val="nil"/>
            </w:tcBorders>
            <w:shd w:val="clear" w:color="auto" w:fill="auto"/>
            <w:noWrap/>
            <w:vAlign w:val="center"/>
            <w:hideMark/>
          </w:tcPr>
          <w:p w14:paraId="0F167762" w14:textId="1A015193" w:rsidR="00B203BD" w:rsidRPr="00B203BD" w:rsidRDefault="00B203BD" w:rsidP="00B203BD">
            <w:pPr>
              <w:pStyle w:val="NoSpacing"/>
            </w:pPr>
            <w:r w:rsidRPr="00B203BD">
              <w:t>34,503,313</w:t>
            </w:r>
          </w:p>
        </w:tc>
        <w:tc>
          <w:tcPr>
            <w:tcW w:w="2698" w:type="dxa"/>
            <w:tcBorders>
              <w:top w:val="nil"/>
              <w:left w:val="nil"/>
              <w:bottom w:val="nil"/>
              <w:right w:val="nil"/>
            </w:tcBorders>
            <w:shd w:val="clear" w:color="auto" w:fill="auto"/>
            <w:noWrap/>
            <w:vAlign w:val="center"/>
            <w:hideMark/>
          </w:tcPr>
          <w:p w14:paraId="6BEE9C6E" w14:textId="3FA33717" w:rsidR="00B203BD" w:rsidRPr="00B203BD" w:rsidRDefault="00B203BD" w:rsidP="00B203BD">
            <w:pPr>
              <w:pStyle w:val="NoSpacing"/>
            </w:pPr>
            <w:r w:rsidRPr="00B203BD">
              <w:t>19.21%</w:t>
            </w:r>
          </w:p>
        </w:tc>
      </w:tr>
      <w:tr w:rsidR="00B203BD" w:rsidRPr="00125FCE" w14:paraId="4857D410" w14:textId="77777777" w:rsidTr="004C0E8A">
        <w:trPr>
          <w:trHeight w:val="281"/>
        </w:trPr>
        <w:tc>
          <w:tcPr>
            <w:tcW w:w="3075" w:type="dxa"/>
            <w:tcBorders>
              <w:top w:val="nil"/>
              <w:left w:val="nil"/>
              <w:bottom w:val="nil"/>
              <w:right w:val="nil"/>
            </w:tcBorders>
            <w:shd w:val="clear" w:color="auto" w:fill="auto"/>
            <w:noWrap/>
            <w:vAlign w:val="bottom"/>
            <w:hideMark/>
          </w:tcPr>
          <w:p w14:paraId="1D34CD5B" w14:textId="77777777" w:rsidR="00B203BD" w:rsidRPr="00125FCE" w:rsidRDefault="00B203BD" w:rsidP="00B203BD">
            <w:pPr>
              <w:pStyle w:val="NoSpacing"/>
              <w:rPr>
                <w:lang w:eastAsia="en-CA"/>
              </w:rPr>
            </w:pPr>
            <w:r w:rsidRPr="00125FCE">
              <w:rPr>
                <w:lang w:eastAsia="en-CA"/>
              </w:rPr>
              <w:t>1880</w:t>
            </w:r>
          </w:p>
        </w:tc>
        <w:tc>
          <w:tcPr>
            <w:tcW w:w="3777" w:type="dxa"/>
            <w:tcBorders>
              <w:top w:val="nil"/>
              <w:left w:val="nil"/>
              <w:bottom w:val="nil"/>
              <w:right w:val="nil"/>
            </w:tcBorders>
            <w:shd w:val="clear" w:color="auto" w:fill="auto"/>
            <w:noWrap/>
            <w:vAlign w:val="center"/>
            <w:hideMark/>
          </w:tcPr>
          <w:p w14:paraId="0DB6E9D6" w14:textId="5914F156" w:rsidR="00B203BD" w:rsidRPr="00B203BD" w:rsidRDefault="00B203BD" w:rsidP="00B203BD">
            <w:pPr>
              <w:pStyle w:val="NoSpacing"/>
            </w:pPr>
            <w:r w:rsidRPr="00B203BD">
              <w:t>30,943,304</w:t>
            </w:r>
          </w:p>
        </w:tc>
        <w:tc>
          <w:tcPr>
            <w:tcW w:w="2698" w:type="dxa"/>
            <w:tcBorders>
              <w:top w:val="nil"/>
              <w:left w:val="nil"/>
              <w:bottom w:val="nil"/>
              <w:right w:val="nil"/>
            </w:tcBorders>
            <w:shd w:val="clear" w:color="auto" w:fill="auto"/>
            <w:noWrap/>
            <w:vAlign w:val="center"/>
            <w:hideMark/>
          </w:tcPr>
          <w:p w14:paraId="3D357F0C" w14:textId="7FBE2C4B" w:rsidR="00B203BD" w:rsidRPr="00B203BD" w:rsidRDefault="00B203BD" w:rsidP="00B203BD">
            <w:pPr>
              <w:pStyle w:val="NoSpacing"/>
            </w:pPr>
            <w:r w:rsidRPr="00B203BD">
              <w:t>-10.32%</w:t>
            </w:r>
          </w:p>
        </w:tc>
      </w:tr>
      <w:tr w:rsidR="00B203BD" w:rsidRPr="00125FCE" w14:paraId="4AF2D294" w14:textId="77777777" w:rsidTr="004C0E8A">
        <w:trPr>
          <w:trHeight w:val="281"/>
        </w:trPr>
        <w:tc>
          <w:tcPr>
            <w:tcW w:w="3075" w:type="dxa"/>
            <w:tcBorders>
              <w:top w:val="nil"/>
              <w:left w:val="nil"/>
              <w:bottom w:val="nil"/>
              <w:right w:val="nil"/>
            </w:tcBorders>
            <w:shd w:val="clear" w:color="auto" w:fill="auto"/>
            <w:noWrap/>
            <w:vAlign w:val="bottom"/>
            <w:hideMark/>
          </w:tcPr>
          <w:p w14:paraId="6C6F4872" w14:textId="77777777" w:rsidR="00B203BD" w:rsidRPr="00125FCE" w:rsidRDefault="00B203BD" w:rsidP="00B203BD">
            <w:pPr>
              <w:pStyle w:val="NoSpacing"/>
              <w:rPr>
                <w:lang w:eastAsia="en-CA"/>
              </w:rPr>
            </w:pPr>
            <w:r w:rsidRPr="00125FCE">
              <w:rPr>
                <w:lang w:eastAsia="en-CA"/>
              </w:rPr>
              <w:t>1890</w:t>
            </w:r>
          </w:p>
        </w:tc>
        <w:tc>
          <w:tcPr>
            <w:tcW w:w="3777" w:type="dxa"/>
            <w:tcBorders>
              <w:top w:val="nil"/>
              <w:left w:val="nil"/>
              <w:bottom w:val="nil"/>
              <w:right w:val="nil"/>
            </w:tcBorders>
            <w:shd w:val="clear" w:color="auto" w:fill="auto"/>
            <w:noWrap/>
            <w:vAlign w:val="center"/>
            <w:hideMark/>
          </w:tcPr>
          <w:p w14:paraId="043B2711" w14:textId="10821CA7" w:rsidR="00B203BD" w:rsidRPr="00B203BD" w:rsidRDefault="00B203BD" w:rsidP="00B203BD">
            <w:pPr>
              <w:pStyle w:val="NoSpacing"/>
            </w:pPr>
            <w:r w:rsidRPr="00B203BD">
              <w:t>36,426,458</w:t>
            </w:r>
          </w:p>
        </w:tc>
        <w:tc>
          <w:tcPr>
            <w:tcW w:w="2698" w:type="dxa"/>
            <w:tcBorders>
              <w:top w:val="nil"/>
              <w:left w:val="nil"/>
              <w:bottom w:val="nil"/>
              <w:right w:val="nil"/>
            </w:tcBorders>
            <w:shd w:val="clear" w:color="auto" w:fill="auto"/>
            <w:noWrap/>
            <w:vAlign w:val="center"/>
            <w:hideMark/>
          </w:tcPr>
          <w:p w14:paraId="6C566F25" w14:textId="797653C6" w:rsidR="00B203BD" w:rsidRPr="00B203BD" w:rsidRDefault="00B203BD" w:rsidP="00B203BD">
            <w:pPr>
              <w:pStyle w:val="NoSpacing"/>
            </w:pPr>
            <w:r w:rsidRPr="00B203BD">
              <w:t>17.72%</w:t>
            </w:r>
          </w:p>
        </w:tc>
      </w:tr>
      <w:tr w:rsidR="00125FCE" w:rsidRPr="00125FCE" w14:paraId="02C1A47B" w14:textId="77777777" w:rsidTr="00125FCE">
        <w:trPr>
          <w:trHeight w:val="281"/>
        </w:trPr>
        <w:tc>
          <w:tcPr>
            <w:tcW w:w="3075" w:type="dxa"/>
            <w:tcBorders>
              <w:top w:val="nil"/>
              <w:left w:val="nil"/>
              <w:bottom w:val="nil"/>
              <w:right w:val="nil"/>
            </w:tcBorders>
            <w:shd w:val="clear" w:color="auto" w:fill="auto"/>
            <w:noWrap/>
            <w:vAlign w:val="bottom"/>
            <w:hideMark/>
          </w:tcPr>
          <w:p w14:paraId="60856695" w14:textId="77777777" w:rsidR="00125FCE" w:rsidRPr="00125FCE" w:rsidRDefault="00125FCE" w:rsidP="00125FCE">
            <w:pPr>
              <w:pStyle w:val="NoSpacing"/>
              <w:rPr>
                <w:lang w:eastAsia="en-CA"/>
              </w:rPr>
            </w:pPr>
            <w:r w:rsidRPr="00125FCE">
              <w:rPr>
                <w:lang w:eastAsia="en-CA"/>
              </w:rPr>
              <w:t>1900</w:t>
            </w:r>
          </w:p>
        </w:tc>
        <w:tc>
          <w:tcPr>
            <w:tcW w:w="3777" w:type="dxa"/>
            <w:tcBorders>
              <w:top w:val="nil"/>
              <w:left w:val="nil"/>
              <w:bottom w:val="nil"/>
              <w:right w:val="nil"/>
            </w:tcBorders>
            <w:shd w:val="clear" w:color="auto" w:fill="auto"/>
            <w:noWrap/>
            <w:vAlign w:val="bottom"/>
            <w:hideMark/>
          </w:tcPr>
          <w:p w14:paraId="78BD54C4" w14:textId="77777777" w:rsidR="00125FCE" w:rsidRPr="00B203BD" w:rsidRDefault="00125FCE" w:rsidP="00B203BD">
            <w:pPr>
              <w:pStyle w:val="NoSpacing"/>
            </w:pPr>
            <w:r w:rsidRPr="00B203BD">
              <w:t>45,631,424</w:t>
            </w:r>
          </w:p>
        </w:tc>
        <w:tc>
          <w:tcPr>
            <w:tcW w:w="2698" w:type="dxa"/>
            <w:tcBorders>
              <w:top w:val="nil"/>
              <w:left w:val="nil"/>
              <w:bottom w:val="nil"/>
              <w:right w:val="nil"/>
            </w:tcBorders>
            <w:shd w:val="clear" w:color="auto" w:fill="auto"/>
            <w:noWrap/>
            <w:vAlign w:val="bottom"/>
            <w:hideMark/>
          </w:tcPr>
          <w:p w14:paraId="1269DFF6" w14:textId="77777777" w:rsidR="00125FCE" w:rsidRPr="00B203BD" w:rsidRDefault="00125FCE" w:rsidP="00B203BD">
            <w:pPr>
              <w:pStyle w:val="NoSpacing"/>
            </w:pPr>
            <w:r w:rsidRPr="00B203BD">
              <w:t>25.27%</w:t>
            </w:r>
          </w:p>
        </w:tc>
      </w:tr>
      <w:tr w:rsidR="00125FCE" w:rsidRPr="00125FCE" w14:paraId="2CC72642" w14:textId="77777777" w:rsidTr="00125FCE">
        <w:trPr>
          <w:trHeight w:val="281"/>
        </w:trPr>
        <w:tc>
          <w:tcPr>
            <w:tcW w:w="3075" w:type="dxa"/>
            <w:tcBorders>
              <w:top w:val="nil"/>
              <w:left w:val="nil"/>
              <w:bottom w:val="nil"/>
              <w:right w:val="nil"/>
            </w:tcBorders>
            <w:shd w:val="clear" w:color="auto" w:fill="auto"/>
            <w:noWrap/>
            <w:vAlign w:val="bottom"/>
            <w:hideMark/>
          </w:tcPr>
          <w:p w14:paraId="59CFBA6E" w14:textId="77777777" w:rsidR="00125FCE" w:rsidRPr="00125FCE" w:rsidRDefault="00125FCE" w:rsidP="00125FCE">
            <w:pPr>
              <w:pStyle w:val="NoSpacing"/>
              <w:rPr>
                <w:lang w:eastAsia="en-CA"/>
              </w:rPr>
            </w:pPr>
            <w:r w:rsidRPr="00125FCE">
              <w:rPr>
                <w:lang w:eastAsia="en-CA"/>
              </w:rPr>
              <w:t>1910</w:t>
            </w:r>
          </w:p>
        </w:tc>
        <w:tc>
          <w:tcPr>
            <w:tcW w:w="3777" w:type="dxa"/>
            <w:tcBorders>
              <w:top w:val="nil"/>
              <w:left w:val="nil"/>
              <w:bottom w:val="nil"/>
              <w:right w:val="nil"/>
            </w:tcBorders>
            <w:shd w:val="clear" w:color="auto" w:fill="auto"/>
            <w:noWrap/>
            <w:vAlign w:val="bottom"/>
            <w:hideMark/>
          </w:tcPr>
          <w:p w14:paraId="112FED33" w14:textId="77777777" w:rsidR="00125FCE" w:rsidRPr="00B203BD" w:rsidRDefault="00125FCE" w:rsidP="00B203BD">
            <w:pPr>
              <w:pStyle w:val="NoSpacing"/>
            </w:pPr>
            <w:r w:rsidRPr="00B203BD">
              <w:t>60,822,125</w:t>
            </w:r>
          </w:p>
        </w:tc>
        <w:tc>
          <w:tcPr>
            <w:tcW w:w="2698" w:type="dxa"/>
            <w:tcBorders>
              <w:top w:val="nil"/>
              <w:left w:val="nil"/>
              <w:bottom w:val="nil"/>
              <w:right w:val="nil"/>
            </w:tcBorders>
            <w:shd w:val="clear" w:color="auto" w:fill="auto"/>
            <w:noWrap/>
            <w:vAlign w:val="bottom"/>
            <w:hideMark/>
          </w:tcPr>
          <w:p w14:paraId="76AB82D5" w14:textId="77777777" w:rsidR="00125FCE" w:rsidRPr="00B203BD" w:rsidRDefault="00125FCE" w:rsidP="00B203BD">
            <w:pPr>
              <w:pStyle w:val="NoSpacing"/>
            </w:pPr>
            <w:r w:rsidRPr="00B203BD">
              <w:t>33.29%</w:t>
            </w:r>
          </w:p>
        </w:tc>
      </w:tr>
      <w:tr w:rsidR="00125FCE" w:rsidRPr="00125FCE" w14:paraId="7FD64267" w14:textId="77777777" w:rsidTr="00125FCE">
        <w:trPr>
          <w:trHeight w:val="281"/>
        </w:trPr>
        <w:tc>
          <w:tcPr>
            <w:tcW w:w="3075" w:type="dxa"/>
            <w:tcBorders>
              <w:top w:val="nil"/>
              <w:left w:val="nil"/>
              <w:bottom w:val="nil"/>
              <w:right w:val="nil"/>
            </w:tcBorders>
            <w:shd w:val="clear" w:color="auto" w:fill="auto"/>
            <w:noWrap/>
            <w:vAlign w:val="bottom"/>
            <w:hideMark/>
          </w:tcPr>
          <w:p w14:paraId="6F1375A2" w14:textId="77777777" w:rsidR="00125FCE" w:rsidRPr="00125FCE" w:rsidRDefault="00125FCE" w:rsidP="00125FCE">
            <w:pPr>
              <w:pStyle w:val="NoSpacing"/>
              <w:rPr>
                <w:lang w:eastAsia="en-CA"/>
              </w:rPr>
            </w:pPr>
            <w:r w:rsidRPr="00125FCE">
              <w:rPr>
                <w:lang w:eastAsia="en-CA"/>
              </w:rPr>
              <w:t>1920</w:t>
            </w:r>
          </w:p>
        </w:tc>
        <w:tc>
          <w:tcPr>
            <w:tcW w:w="3777" w:type="dxa"/>
            <w:tcBorders>
              <w:top w:val="nil"/>
              <w:left w:val="nil"/>
              <w:bottom w:val="nil"/>
              <w:right w:val="nil"/>
            </w:tcBorders>
            <w:shd w:val="clear" w:color="auto" w:fill="auto"/>
            <w:noWrap/>
            <w:vAlign w:val="bottom"/>
            <w:hideMark/>
          </w:tcPr>
          <w:p w14:paraId="5894C8E0" w14:textId="77777777" w:rsidR="00125FCE" w:rsidRPr="00125FCE" w:rsidRDefault="00125FCE" w:rsidP="00125FCE">
            <w:pPr>
              <w:pStyle w:val="NoSpacing"/>
              <w:rPr>
                <w:lang w:eastAsia="en-CA"/>
              </w:rPr>
            </w:pPr>
            <w:r w:rsidRPr="00125FCE">
              <w:rPr>
                <w:lang w:eastAsia="en-CA"/>
              </w:rPr>
              <w:t>69,087,852</w:t>
            </w:r>
          </w:p>
        </w:tc>
        <w:tc>
          <w:tcPr>
            <w:tcW w:w="2698" w:type="dxa"/>
            <w:tcBorders>
              <w:top w:val="nil"/>
              <w:left w:val="nil"/>
              <w:bottom w:val="nil"/>
              <w:right w:val="nil"/>
            </w:tcBorders>
            <w:shd w:val="clear" w:color="auto" w:fill="auto"/>
            <w:noWrap/>
            <w:vAlign w:val="bottom"/>
            <w:hideMark/>
          </w:tcPr>
          <w:p w14:paraId="5EEB317C" w14:textId="77777777" w:rsidR="00125FCE" w:rsidRPr="00125FCE" w:rsidRDefault="00125FCE" w:rsidP="00125FCE">
            <w:pPr>
              <w:pStyle w:val="NoSpacing"/>
              <w:rPr>
                <w:lang w:eastAsia="en-CA"/>
              </w:rPr>
            </w:pPr>
            <w:r w:rsidRPr="00125FCE">
              <w:rPr>
                <w:lang w:eastAsia="en-CA"/>
              </w:rPr>
              <w:t>13.59%</w:t>
            </w:r>
          </w:p>
        </w:tc>
      </w:tr>
      <w:tr w:rsidR="00125FCE" w:rsidRPr="00125FCE" w14:paraId="15232305" w14:textId="77777777" w:rsidTr="00125FCE">
        <w:trPr>
          <w:trHeight w:val="281"/>
        </w:trPr>
        <w:tc>
          <w:tcPr>
            <w:tcW w:w="3075" w:type="dxa"/>
            <w:tcBorders>
              <w:top w:val="nil"/>
              <w:left w:val="nil"/>
              <w:bottom w:val="nil"/>
              <w:right w:val="nil"/>
            </w:tcBorders>
            <w:shd w:val="clear" w:color="auto" w:fill="auto"/>
            <w:noWrap/>
            <w:vAlign w:val="bottom"/>
            <w:hideMark/>
          </w:tcPr>
          <w:p w14:paraId="59BE59E2" w14:textId="77777777" w:rsidR="00125FCE" w:rsidRPr="00125FCE" w:rsidRDefault="00125FCE" w:rsidP="00125FCE">
            <w:pPr>
              <w:pStyle w:val="NoSpacing"/>
              <w:rPr>
                <w:lang w:eastAsia="en-CA"/>
              </w:rPr>
            </w:pPr>
            <w:r w:rsidRPr="00125FCE">
              <w:rPr>
                <w:lang w:eastAsia="en-CA"/>
              </w:rPr>
              <w:t>1930</w:t>
            </w:r>
          </w:p>
        </w:tc>
        <w:tc>
          <w:tcPr>
            <w:tcW w:w="3777" w:type="dxa"/>
            <w:tcBorders>
              <w:top w:val="nil"/>
              <w:left w:val="nil"/>
              <w:bottom w:val="nil"/>
              <w:right w:val="nil"/>
            </w:tcBorders>
            <w:shd w:val="clear" w:color="auto" w:fill="auto"/>
            <w:noWrap/>
            <w:vAlign w:val="bottom"/>
            <w:hideMark/>
          </w:tcPr>
          <w:p w14:paraId="768B25AA" w14:textId="77777777" w:rsidR="00125FCE" w:rsidRPr="00125FCE" w:rsidRDefault="00125FCE" w:rsidP="00125FCE">
            <w:pPr>
              <w:pStyle w:val="NoSpacing"/>
              <w:rPr>
                <w:lang w:eastAsia="en-CA"/>
              </w:rPr>
            </w:pPr>
            <w:r w:rsidRPr="00125FCE">
              <w:rPr>
                <w:lang w:eastAsia="en-CA"/>
              </w:rPr>
              <w:t>84,307,906</w:t>
            </w:r>
          </w:p>
        </w:tc>
        <w:tc>
          <w:tcPr>
            <w:tcW w:w="2698" w:type="dxa"/>
            <w:tcBorders>
              <w:top w:val="nil"/>
              <w:left w:val="nil"/>
              <w:bottom w:val="nil"/>
              <w:right w:val="nil"/>
            </w:tcBorders>
            <w:shd w:val="clear" w:color="auto" w:fill="auto"/>
            <w:noWrap/>
            <w:vAlign w:val="bottom"/>
            <w:hideMark/>
          </w:tcPr>
          <w:p w14:paraId="5330E08B" w14:textId="77777777" w:rsidR="00125FCE" w:rsidRPr="00125FCE" w:rsidRDefault="00125FCE" w:rsidP="00125FCE">
            <w:pPr>
              <w:pStyle w:val="NoSpacing"/>
              <w:rPr>
                <w:lang w:eastAsia="en-CA"/>
              </w:rPr>
            </w:pPr>
            <w:r w:rsidRPr="00125FCE">
              <w:rPr>
                <w:lang w:eastAsia="en-CA"/>
              </w:rPr>
              <w:t>22.03%</w:t>
            </w:r>
          </w:p>
        </w:tc>
      </w:tr>
      <w:tr w:rsidR="00125FCE" w:rsidRPr="00125FCE" w14:paraId="27DFDC94" w14:textId="77777777" w:rsidTr="00125FCE">
        <w:trPr>
          <w:trHeight w:val="281"/>
        </w:trPr>
        <w:tc>
          <w:tcPr>
            <w:tcW w:w="3075" w:type="dxa"/>
            <w:tcBorders>
              <w:top w:val="nil"/>
              <w:left w:val="nil"/>
              <w:bottom w:val="nil"/>
              <w:right w:val="nil"/>
            </w:tcBorders>
            <w:shd w:val="clear" w:color="auto" w:fill="auto"/>
            <w:noWrap/>
            <w:vAlign w:val="bottom"/>
            <w:hideMark/>
          </w:tcPr>
          <w:p w14:paraId="00032739" w14:textId="77777777" w:rsidR="00125FCE" w:rsidRPr="00125FCE" w:rsidRDefault="00125FCE" w:rsidP="00125FCE">
            <w:pPr>
              <w:pStyle w:val="NoSpacing"/>
              <w:rPr>
                <w:lang w:eastAsia="en-CA"/>
              </w:rPr>
            </w:pPr>
            <w:r w:rsidRPr="00125FCE">
              <w:rPr>
                <w:lang w:eastAsia="en-CA"/>
              </w:rPr>
              <w:t>1940</w:t>
            </w:r>
          </w:p>
        </w:tc>
        <w:tc>
          <w:tcPr>
            <w:tcW w:w="3777" w:type="dxa"/>
            <w:tcBorders>
              <w:top w:val="nil"/>
              <w:left w:val="nil"/>
              <w:bottom w:val="nil"/>
              <w:right w:val="nil"/>
            </w:tcBorders>
            <w:shd w:val="clear" w:color="auto" w:fill="auto"/>
            <w:noWrap/>
            <w:vAlign w:val="bottom"/>
            <w:hideMark/>
          </w:tcPr>
          <w:p w14:paraId="14047639" w14:textId="77777777" w:rsidR="00125FCE" w:rsidRPr="00125FCE" w:rsidRDefault="00125FCE" w:rsidP="00125FCE">
            <w:pPr>
              <w:pStyle w:val="NoSpacing"/>
              <w:rPr>
                <w:lang w:eastAsia="en-CA"/>
              </w:rPr>
            </w:pPr>
            <w:r w:rsidRPr="00125FCE">
              <w:rPr>
                <w:lang w:eastAsia="en-CA"/>
              </w:rPr>
              <w:t>99,904,868</w:t>
            </w:r>
          </w:p>
        </w:tc>
        <w:tc>
          <w:tcPr>
            <w:tcW w:w="2698" w:type="dxa"/>
            <w:tcBorders>
              <w:top w:val="nil"/>
              <w:left w:val="nil"/>
              <w:bottom w:val="nil"/>
              <w:right w:val="nil"/>
            </w:tcBorders>
            <w:shd w:val="clear" w:color="auto" w:fill="auto"/>
            <w:noWrap/>
            <w:vAlign w:val="bottom"/>
            <w:hideMark/>
          </w:tcPr>
          <w:p w14:paraId="0A382B40" w14:textId="77777777" w:rsidR="00125FCE" w:rsidRPr="00125FCE" w:rsidRDefault="00125FCE" w:rsidP="00125FCE">
            <w:pPr>
              <w:pStyle w:val="NoSpacing"/>
              <w:rPr>
                <w:lang w:eastAsia="en-CA"/>
              </w:rPr>
            </w:pPr>
            <w:r w:rsidRPr="00125FCE">
              <w:rPr>
                <w:lang w:eastAsia="en-CA"/>
              </w:rPr>
              <w:t>18.50%</w:t>
            </w:r>
          </w:p>
        </w:tc>
      </w:tr>
      <w:tr w:rsidR="00125FCE" w:rsidRPr="00125FCE" w14:paraId="3E26E05B" w14:textId="77777777" w:rsidTr="00125FCE">
        <w:trPr>
          <w:trHeight w:val="281"/>
        </w:trPr>
        <w:tc>
          <w:tcPr>
            <w:tcW w:w="3075" w:type="dxa"/>
            <w:tcBorders>
              <w:top w:val="nil"/>
              <w:left w:val="nil"/>
              <w:bottom w:val="nil"/>
              <w:right w:val="nil"/>
            </w:tcBorders>
            <w:shd w:val="clear" w:color="auto" w:fill="auto"/>
            <w:noWrap/>
            <w:vAlign w:val="bottom"/>
            <w:hideMark/>
          </w:tcPr>
          <w:p w14:paraId="521DDCF0" w14:textId="77777777" w:rsidR="00125FCE" w:rsidRPr="00125FCE" w:rsidRDefault="00125FCE" w:rsidP="00125FCE">
            <w:pPr>
              <w:pStyle w:val="NoSpacing"/>
              <w:rPr>
                <w:lang w:eastAsia="en-CA"/>
              </w:rPr>
            </w:pPr>
            <w:r w:rsidRPr="00125FCE">
              <w:rPr>
                <w:lang w:eastAsia="en-CA"/>
              </w:rPr>
              <w:t>1950</w:t>
            </w:r>
          </w:p>
        </w:tc>
        <w:tc>
          <w:tcPr>
            <w:tcW w:w="3777" w:type="dxa"/>
            <w:tcBorders>
              <w:top w:val="nil"/>
              <w:left w:val="nil"/>
              <w:bottom w:val="nil"/>
              <w:right w:val="nil"/>
            </w:tcBorders>
            <w:shd w:val="clear" w:color="auto" w:fill="auto"/>
            <w:noWrap/>
            <w:vAlign w:val="bottom"/>
            <w:hideMark/>
          </w:tcPr>
          <w:p w14:paraId="5EB1CA1A" w14:textId="77777777" w:rsidR="00125FCE" w:rsidRPr="00125FCE" w:rsidRDefault="00125FCE" w:rsidP="00125FCE">
            <w:pPr>
              <w:pStyle w:val="NoSpacing"/>
              <w:rPr>
                <w:lang w:eastAsia="en-CA"/>
              </w:rPr>
            </w:pPr>
            <w:r w:rsidRPr="00125FCE">
              <w:rPr>
                <w:lang w:eastAsia="en-CA"/>
              </w:rPr>
              <w:t>132,074,236</w:t>
            </w:r>
          </w:p>
        </w:tc>
        <w:tc>
          <w:tcPr>
            <w:tcW w:w="2698" w:type="dxa"/>
            <w:tcBorders>
              <w:top w:val="nil"/>
              <w:left w:val="nil"/>
              <w:bottom w:val="nil"/>
              <w:right w:val="nil"/>
            </w:tcBorders>
            <w:shd w:val="clear" w:color="auto" w:fill="auto"/>
            <w:noWrap/>
            <w:vAlign w:val="bottom"/>
            <w:hideMark/>
          </w:tcPr>
          <w:p w14:paraId="65A3209C" w14:textId="77777777" w:rsidR="00125FCE" w:rsidRPr="00125FCE" w:rsidRDefault="00125FCE" w:rsidP="00125FCE">
            <w:pPr>
              <w:pStyle w:val="NoSpacing"/>
              <w:rPr>
                <w:lang w:eastAsia="en-CA"/>
              </w:rPr>
            </w:pPr>
            <w:r w:rsidRPr="00125FCE">
              <w:rPr>
                <w:lang w:eastAsia="en-CA"/>
              </w:rPr>
              <w:t>32.20%</w:t>
            </w:r>
          </w:p>
        </w:tc>
      </w:tr>
      <w:tr w:rsidR="00125FCE" w:rsidRPr="00125FCE" w14:paraId="5EDBE74D" w14:textId="77777777" w:rsidTr="00125FCE">
        <w:trPr>
          <w:trHeight w:val="281"/>
        </w:trPr>
        <w:tc>
          <w:tcPr>
            <w:tcW w:w="3075" w:type="dxa"/>
            <w:tcBorders>
              <w:top w:val="nil"/>
              <w:left w:val="nil"/>
              <w:bottom w:val="nil"/>
              <w:right w:val="nil"/>
            </w:tcBorders>
            <w:shd w:val="clear" w:color="auto" w:fill="auto"/>
            <w:noWrap/>
            <w:vAlign w:val="bottom"/>
            <w:hideMark/>
          </w:tcPr>
          <w:p w14:paraId="7479DB2C" w14:textId="77777777" w:rsidR="00125FCE" w:rsidRPr="00125FCE" w:rsidRDefault="00125FCE" w:rsidP="00125FCE">
            <w:pPr>
              <w:pStyle w:val="NoSpacing"/>
              <w:rPr>
                <w:lang w:eastAsia="en-CA"/>
              </w:rPr>
            </w:pPr>
            <w:r w:rsidRPr="00125FCE">
              <w:rPr>
                <w:lang w:eastAsia="en-CA"/>
              </w:rPr>
              <w:t>1960</w:t>
            </w:r>
          </w:p>
        </w:tc>
        <w:tc>
          <w:tcPr>
            <w:tcW w:w="3777" w:type="dxa"/>
            <w:tcBorders>
              <w:top w:val="nil"/>
              <w:left w:val="nil"/>
              <w:bottom w:val="nil"/>
              <w:right w:val="nil"/>
            </w:tcBorders>
            <w:shd w:val="clear" w:color="auto" w:fill="auto"/>
            <w:noWrap/>
            <w:vAlign w:val="bottom"/>
            <w:hideMark/>
          </w:tcPr>
          <w:p w14:paraId="01DA1835" w14:textId="77777777" w:rsidR="00125FCE" w:rsidRPr="00125FCE" w:rsidRDefault="00125FCE" w:rsidP="00125FCE">
            <w:pPr>
              <w:pStyle w:val="NoSpacing"/>
              <w:rPr>
                <w:lang w:eastAsia="en-CA"/>
              </w:rPr>
            </w:pPr>
            <w:r w:rsidRPr="00125FCE">
              <w:rPr>
                <w:lang w:eastAsia="en-CA"/>
              </w:rPr>
              <w:t>158,092,860</w:t>
            </w:r>
          </w:p>
        </w:tc>
        <w:tc>
          <w:tcPr>
            <w:tcW w:w="2698" w:type="dxa"/>
            <w:tcBorders>
              <w:top w:val="nil"/>
              <w:left w:val="nil"/>
              <w:bottom w:val="nil"/>
              <w:right w:val="nil"/>
            </w:tcBorders>
            <w:shd w:val="clear" w:color="auto" w:fill="auto"/>
            <w:noWrap/>
            <w:vAlign w:val="bottom"/>
            <w:hideMark/>
          </w:tcPr>
          <w:p w14:paraId="26DF480D" w14:textId="77777777" w:rsidR="00125FCE" w:rsidRPr="00125FCE" w:rsidRDefault="00125FCE" w:rsidP="00125FCE">
            <w:pPr>
              <w:pStyle w:val="NoSpacing"/>
              <w:rPr>
                <w:lang w:eastAsia="en-CA"/>
              </w:rPr>
            </w:pPr>
            <w:r w:rsidRPr="00125FCE">
              <w:rPr>
                <w:lang w:eastAsia="en-CA"/>
              </w:rPr>
              <w:t>19.70%</w:t>
            </w:r>
          </w:p>
        </w:tc>
      </w:tr>
      <w:tr w:rsidR="00125FCE" w:rsidRPr="00125FCE" w14:paraId="4A9C2E32" w14:textId="77777777" w:rsidTr="00125FCE">
        <w:trPr>
          <w:trHeight w:val="281"/>
        </w:trPr>
        <w:tc>
          <w:tcPr>
            <w:tcW w:w="3075" w:type="dxa"/>
            <w:tcBorders>
              <w:top w:val="nil"/>
              <w:left w:val="nil"/>
              <w:bottom w:val="nil"/>
              <w:right w:val="nil"/>
            </w:tcBorders>
            <w:shd w:val="clear" w:color="auto" w:fill="auto"/>
            <w:noWrap/>
            <w:vAlign w:val="bottom"/>
            <w:hideMark/>
          </w:tcPr>
          <w:p w14:paraId="354557E1" w14:textId="77777777" w:rsidR="00125FCE" w:rsidRPr="00125FCE" w:rsidRDefault="00125FCE" w:rsidP="00125FCE">
            <w:pPr>
              <w:pStyle w:val="NoSpacing"/>
              <w:rPr>
                <w:lang w:eastAsia="en-CA"/>
              </w:rPr>
            </w:pPr>
            <w:r w:rsidRPr="00125FCE">
              <w:rPr>
                <w:lang w:eastAsia="en-CA"/>
              </w:rPr>
              <w:t>1970</w:t>
            </w:r>
          </w:p>
        </w:tc>
        <w:tc>
          <w:tcPr>
            <w:tcW w:w="3777" w:type="dxa"/>
            <w:tcBorders>
              <w:top w:val="nil"/>
              <w:left w:val="nil"/>
              <w:bottom w:val="nil"/>
              <w:right w:val="nil"/>
            </w:tcBorders>
            <w:shd w:val="clear" w:color="auto" w:fill="auto"/>
            <w:noWrap/>
            <w:vAlign w:val="bottom"/>
            <w:hideMark/>
          </w:tcPr>
          <w:p w14:paraId="40492396" w14:textId="77777777" w:rsidR="00125FCE" w:rsidRPr="00125FCE" w:rsidRDefault="00125FCE" w:rsidP="00125FCE">
            <w:pPr>
              <w:pStyle w:val="NoSpacing"/>
              <w:rPr>
                <w:lang w:eastAsia="en-CA"/>
              </w:rPr>
            </w:pPr>
            <w:r w:rsidRPr="00125FCE">
              <w:rPr>
                <w:lang w:eastAsia="en-CA"/>
              </w:rPr>
              <w:t>181,047,943</w:t>
            </w:r>
          </w:p>
        </w:tc>
        <w:tc>
          <w:tcPr>
            <w:tcW w:w="2698" w:type="dxa"/>
            <w:tcBorders>
              <w:top w:val="nil"/>
              <w:left w:val="nil"/>
              <w:bottom w:val="nil"/>
              <w:right w:val="nil"/>
            </w:tcBorders>
            <w:shd w:val="clear" w:color="auto" w:fill="auto"/>
            <w:noWrap/>
            <w:vAlign w:val="bottom"/>
            <w:hideMark/>
          </w:tcPr>
          <w:p w14:paraId="50E70AF5" w14:textId="77777777" w:rsidR="00125FCE" w:rsidRPr="00125FCE" w:rsidRDefault="00125FCE" w:rsidP="00125FCE">
            <w:pPr>
              <w:pStyle w:val="NoSpacing"/>
              <w:rPr>
                <w:lang w:eastAsia="en-CA"/>
              </w:rPr>
            </w:pPr>
            <w:r w:rsidRPr="00125FCE">
              <w:rPr>
                <w:lang w:eastAsia="en-CA"/>
              </w:rPr>
              <w:t>14.52%</w:t>
            </w:r>
          </w:p>
        </w:tc>
      </w:tr>
      <w:tr w:rsidR="00125FCE" w:rsidRPr="00125FCE" w14:paraId="4E5A902A" w14:textId="77777777" w:rsidTr="00125FCE">
        <w:trPr>
          <w:trHeight w:val="281"/>
        </w:trPr>
        <w:tc>
          <w:tcPr>
            <w:tcW w:w="3075" w:type="dxa"/>
            <w:tcBorders>
              <w:top w:val="nil"/>
              <w:left w:val="nil"/>
              <w:bottom w:val="nil"/>
              <w:right w:val="nil"/>
            </w:tcBorders>
            <w:shd w:val="clear" w:color="auto" w:fill="auto"/>
            <w:noWrap/>
            <w:vAlign w:val="bottom"/>
            <w:hideMark/>
          </w:tcPr>
          <w:p w14:paraId="64A52228" w14:textId="77777777" w:rsidR="00125FCE" w:rsidRPr="00125FCE" w:rsidRDefault="00125FCE" w:rsidP="00125FCE">
            <w:pPr>
              <w:pStyle w:val="NoSpacing"/>
              <w:rPr>
                <w:lang w:eastAsia="en-CA"/>
              </w:rPr>
            </w:pPr>
            <w:r w:rsidRPr="00125FCE">
              <w:rPr>
                <w:lang w:eastAsia="en-CA"/>
              </w:rPr>
              <w:t>1980</w:t>
            </w:r>
          </w:p>
        </w:tc>
        <w:tc>
          <w:tcPr>
            <w:tcW w:w="3777" w:type="dxa"/>
            <w:tcBorders>
              <w:top w:val="nil"/>
              <w:left w:val="nil"/>
              <w:bottom w:val="nil"/>
              <w:right w:val="nil"/>
            </w:tcBorders>
            <w:shd w:val="clear" w:color="auto" w:fill="auto"/>
            <w:noWrap/>
            <w:vAlign w:val="bottom"/>
            <w:hideMark/>
          </w:tcPr>
          <w:p w14:paraId="2E1C4B3F" w14:textId="77777777" w:rsidR="00125FCE" w:rsidRPr="00125FCE" w:rsidRDefault="00125FCE" w:rsidP="00125FCE">
            <w:pPr>
              <w:pStyle w:val="NoSpacing"/>
              <w:rPr>
                <w:lang w:eastAsia="en-CA"/>
              </w:rPr>
            </w:pPr>
            <w:r w:rsidRPr="00125FCE">
              <w:rPr>
                <w:lang w:eastAsia="en-CA"/>
              </w:rPr>
              <w:t>203,099,583</w:t>
            </w:r>
          </w:p>
        </w:tc>
        <w:tc>
          <w:tcPr>
            <w:tcW w:w="2698" w:type="dxa"/>
            <w:tcBorders>
              <w:top w:val="nil"/>
              <w:left w:val="nil"/>
              <w:bottom w:val="nil"/>
              <w:right w:val="nil"/>
            </w:tcBorders>
            <w:shd w:val="clear" w:color="auto" w:fill="auto"/>
            <w:noWrap/>
            <w:vAlign w:val="bottom"/>
            <w:hideMark/>
          </w:tcPr>
          <w:p w14:paraId="0E7F8D40" w14:textId="77777777" w:rsidR="00125FCE" w:rsidRPr="00125FCE" w:rsidRDefault="00125FCE" w:rsidP="00125FCE">
            <w:pPr>
              <w:pStyle w:val="NoSpacing"/>
              <w:rPr>
                <w:lang w:eastAsia="en-CA"/>
              </w:rPr>
            </w:pPr>
            <w:r w:rsidRPr="00125FCE">
              <w:rPr>
                <w:lang w:eastAsia="en-CA"/>
              </w:rPr>
              <w:t>12.18%</w:t>
            </w:r>
          </w:p>
        </w:tc>
      </w:tr>
      <w:tr w:rsidR="00125FCE" w:rsidRPr="00125FCE" w14:paraId="13C556CE" w14:textId="77777777" w:rsidTr="00125FCE">
        <w:trPr>
          <w:trHeight w:val="281"/>
        </w:trPr>
        <w:tc>
          <w:tcPr>
            <w:tcW w:w="3075" w:type="dxa"/>
            <w:tcBorders>
              <w:top w:val="nil"/>
              <w:left w:val="nil"/>
              <w:bottom w:val="nil"/>
              <w:right w:val="nil"/>
            </w:tcBorders>
            <w:shd w:val="clear" w:color="auto" w:fill="auto"/>
            <w:noWrap/>
            <w:vAlign w:val="bottom"/>
            <w:hideMark/>
          </w:tcPr>
          <w:p w14:paraId="035972C7" w14:textId="77777777" w:rsidR="00125FCE" w:rsidRPr="00125FCE" w:rsidRDefault="00125FCE" w:rsidP="00125FCE">
            <w:pPr>
              <w:pStyle w:val="NoSpacing"/>
              <w:rPr>
                <w:lang w:eastAsia="en-CA"/>
              </w:rPr>
            </w:pPr>
            <w:r w:rsidRPr="00125FCE">
              <w:rPr>
                <w:lang w:eastAsia="en-CA"/>
              </w:rPr>
              <w:t>1990</w:t>
            </w:r>
          </w:p>
        </w:tc>
        <w:tc>
          <w:tcPr>
            <w:tcW w:w="3777" w:type="dxa"/>
            <w:tcBorders>
              <w:top w:val="nil"/>
              <w:left w:val="nil"/>
              <w:bottom w:val="nil"/>
              <w:right w:val="nil"/>
            </w:tcBorders>
            <w:shd w:val="clear" w:color="auto" w:fill="auto"/>
            <w:noWrap/>
            <w:vAlign w:val="bottom"/>
            <w:hideMark/>
          </w:tcPr>
          <w:p w14:paraId="1994F5C4" w14:textId="77777777" w:rsidR="00125FCE" w:rsidRPr="00125FCE" w:rsidRDefault="00125FCE" w:rsidP="00125FCE">
            <w:pPr>
              <w:pStyle w:val="NoSpacing"/>
              <w:rPr>
                <w:lang w:eastAsia="en-CA"/>
              </w:rPr>
            </w:pPr>
            <w:r w:rsidRPr="00125FCE">
              <w:rPr>
                <w:lang w:eastAsia="en-CA"/>
              </w:rPr>
              <w:t>229,055,710</w:t>
            </w:r>
          </w:p>
        </w:tc>
        <w:tc>
          <w:tcPr>
            <w:tcW w:w="2698" w:type="dxa"/>
            <w:tcBorders>
              <w:top w:val="nil"/>
              <w:left w:val="nil"/>
              <w:bottom w:val="nil"/>
              <w:right w:val="nil"/>
            </w:tcBorders>
            <w:shd w:val="clear" w:color="auto" w:fill="auto"/>
            <w:noWrap/>
            <w:vAlign w:val="bottom"/>
            <w:hideMark/>
          </w:tcPr>
          <w:p w14:paraId="02A51FE5" w14:textId="77777777" w:rsidR="00125FCE" w:rsidRPr="00125FCE" w:rsidRDefault="00125FCE" w:rsidP="00125FCE">
            <w:pPr>
              <w:pStyle w:val="NoSpacing"/>
              <w:rPr>
                <w:lang w:eastAsia="en-CA"/>
              </w:rPr>
            </w:pPr>
            <w:r w:rsidRPr="00125FCE">
              <w:rPr>
                <w:lang w:eastAsia="en-CA"/>
              </w:rPr>
              <w:t>12.78%</w:t>
            </w:r>
          </w:p>
        </w:tc>
      </w:tr>
      <w:tr w:rsidR="00125FCE" w:rsidRPr="00125FCE" w14:paraId="70748B45" w14:textId="77777777" w:rsidTr="00125FCE">
        <w:trPr>
          <w:trHeight w:val="281"/>
        </w:trPr>
        <w:tc>
          <w:tcPr>
            <w:tcW w:w="3075" w:type="dxa"/>
            <w:tcBorders>
              <w:top w:val="nil"/>
              <w:left w:val="nil"/>
              <w:bottom w:val="nil"/>
              <w:right w:val="nil"/>
            </w:tcBorders>
            <w:shd w:val="clear" w:color="auto" w:fill="auto"/>
            <w:noWrap/>
            <w:vAlign w:val="bottom"/>
            <w:hideMark/>
          </w:tcPr>
          <w:p w14:paraId="149FE2AD" w14:textId="77777777" w:rsidR="00125FCE" w:rsidRPr="00125FCE" w:rsidRDefault="00125FCE" w:rsidP="00125FCE">
            <w:pPr>
              <w:pStyle w:val="NoSpacing"/>
              <w:rPr>
                <w:lang w:eastAsia="en-CA"/>
              </w:rPr>
            </w:pPr>
            <w:r w:rsidRPr="00125FCE">
              <w:rPr>
                <w:lang w:eastAsia="en-CA"/>
              </w:rPr>
              <w:t>2000</w:t>
            </w:r>
          </w:p>
        </w:tc>
        <w:tc>
          <w:tcPr>
            <w:tcW w:w="3777" w:type="dxa"/>
            <w:tcBorders>
              <w:top w:val="nil"/>
              <w:left w:val="nil"/>
              <w:bottom w:val="nil"/>
              <w:right w:val="nil"/>
            </w:tcBorders>
            <w:shd w:val="clear" w:color="auto" w:fill="auto"/>
            <w:noWrap/>
            <w:vAlign w:val="bottom"/>
            <w:hideMark/>
          </w:tcPr>
          <w:p w14:paraId="54C7B60D" w14:textId="77777777" w:rsidR="00125FCE" w:rsidRPr="00125FCE" w:rsidRDefault="00125FCE" w:rsidP="00125FCE">
            <w:pPr>
              <w:pStyle w:val="NoSpacing"/>
              <w:rPr>
                <w:lang w:eastAsia="en-CA"/>
              </w:rPr>
            </w:pPr>
            <w:r w:rsidRPr="00125FCE">
              <w:rPr>
                <w:lang w:eastAsia="en-CA"/>
              </w:rPr>
              <w:t>259,176,535</w:t>
            </w:r>
          </w:p>
        </w:tc>
        <w:tc>
          <w:tcPr>
            <w:tcW w:w="2698" w:type="dxa"/>
            <w:tcBorders>
              <w:top w:val="nil"/>
              <w:left w:val="nil"/>
              <w:bottom w:val="nil"/>
              <w:right w:val="nil"/>
            </w:tcBorders>
            <w:shd w:val="clear" w:color="auto" w:fill="auto"/>
            <w:noWrap/>
            <w:vAlign w:val="bottom"/>
            <w:hideMark/>
          </w:tcPr>
          <w:p w14:paraId="0C9FFB33" w14:textId="77777777" w:rsidR="00125FCE" w:rsidRPr="00125FCE" w:rsidRDefault="00125FCE" w:rsidP="00125FCE">
            <w:pPr>
              <w:pStyle w:val="NoSpacing"/>
              <w:rPr>
                <w:lang w:eastAsia="en-CA"/>
              </w:rPr>
            </w:pPr>
            <w:r w:rsidRPr="00125FCE">
              <w:rPr>
                <w:lang w:eastAsia="en-CA"/>
              </w:rPr>
              <w:t>13.15%</w:t>
            </w:r>
          </w:p>
        </w:tc>
      </w:tr>
      <w:tr w:rsidR="00125FCE" w:rsidRPr="00125FCE" w14:paraId="327E4B97" w14:textId="77777777" w:rsidTr="00125FCE">
        <w:trPr>
          <w:trHeight w:val="281"/>
        </w:trPr>
        <w:tc>
          <w:tcPr>
            <w:tcW w:w="3075" w:type="dxa"/>
            <w:tcBorders>
              <w:top w:val="nil"/>
              <w:left w:val="nil"/>
              <w:bottom w:val="nil"/>
              <w:right w:val="nil"/>
            </w:tcBorders>
            <w:shd w:val="clear" w:color="auto" w:fill="auto"/>
            <w:noWrap/>
            <w:vAlign w:val="bottom"/>
            <w:hideMark/>
          </w:tcPr>
          <w:p w14:paraId="420FDBAA" w14:textId="77777777" w:rsidR="00125FCE" w:rsidRPr="00125FCE" w:rsidRDefault="00125FCE" w:rsidP="00125FCE">
            <w:pPr>
              <w:pStyle w:val="NoSpacing"/>
              <w:rPr>
                <w:lang w:eastAsia="en-CA"/>
              </w:rPr>
            </w:pPr>
            <w:r w:rsidRPr="00125FCE">
              <w:rPr>
                <w:lang w:eastAsia="en-CA"/>
              </w:rPr>
              <w:t>2010</w:t>
            </w:r>
          </w:p>
        </w:tc>
        <w:tc>
          <w:tcPr>
            <w:tcW w:w="3777" w:type="dxa"/>
            <w:tcBorders>
              <w:top w:val="nil"/>
              <w:left w:val="nil"/>
              <w:bottom w:val="nil"/>
              <w:right w:val="nil"/>
            </w:tcBorders>
            <w:shd w:val="clear" w:color="auto" w:fill="auto"/>
            <w:noWrap/>
            <w:vAlign w:val="bottom"/>
            <w:hideMark/>
          </w:tcPr>
          <w:p w14:paraId="756ADD80" w14:textId="77777777" w:rsidR="00125FCE" w:rsidRPr="00125FCE" w:rsidRDefault="00125FCE" w:rsidP="00125FCE">
            <w:pPr>
              <w:pStyle w:val="NoSpacing"/>
              <w:rPr>
                <w:lang w:eastAsia="en-CA"/>
              </w:rPr>
            </w:pPr>
            <w:r w:rsidRPr="00125FCE">
              <w:rPr>
                <w:lang w:eastAsia="en-CA"/>
              </w:rPr>
              <w:t>286,934,342</w:t>
            </w:r>
          </w:p>
        </w:tc>
        <w:tc>
          <w:tcPr>
            <w:tcW w:w="2698" w:type="dxa"/>
            <w:tcBorders>
              <w:top w:val="nil"/>
              <w:left w:val="nil"/>
              <w:bottom w:val="nil"/>
              <w:right w:val="nil"/>
            </w:tcBorders>
            <w:shd w:val="clear" w:color="auto" w:fill="auto"/>
            <w:noWrap/>
            <w:vAlign w:val="bottom"/>
            <w:hideMark/>
          </w:tcPr>
          <w:p w14:paraId="1FC0620D" w14:textId="77777777" w:rsidR="00125FCE" w:rsidRPr="00125FCE" w:rsidRDefault="00125FCE" w:rsidP="00125FCE">
            <w:pPr>
              <w:pStyle w:val="NoSpacing"/>
              <w:rPr>
                <w:lang w:eastAsia="en-CA"/>
              </w:rPr>
            </w:pPr>
            <w:r w:rsidRPr="00125FCE">
              <w:rPr>
                <w:lang w:eastAsia="en-CA"/>
              </w:rPr>
              <w:t>10.71%</w:t>
            </w:r>
          </w:p>
        </w:tc>
      </w:tr>
      <w:tr w:rsidR="00125FCE" w:rsidRPr="00125FCE" w14:paraId="7C9B1D6B" w14:textId="77777777" w:rsidTr="00125FCE">
        <w:trPr>
          <w:trHeight w:val="281"/>
        </w:trPr>
        <w:tc>
          <w:tcPr>
            <w:tcW w:w="3075" w:type="dxa"/>
            <w:tcBorders>
              <w:top w:val="nil"/>
              <w:left w:val="nil"/>
              <w:bottom w:val="nil"/>
              <w:right w:val="nil"/>
            </w:tcBorders>
            <w:shd w:val="clear" w:color="auto" w:fill="auto"/>
            <w:noWrap/>
            <w:vAlign w:val="bottom"/>
            <w:hideMark/>
          </w:tcPr>
          <w:p w14:paraId="3226A28B" w14:textId="77777777" w:rsidR="00125FCE" w:rsidRPr="00125FCE" w:rsidRDefault="00125FCE" w:rsidP="00125FCE">
            <w:pPr>
              <w:pStyle w:val="NoSpacing"/>
              <w:rPr>
                <w:lang w:eastAsia="en-CA"/>
              </w:rPr>
            </w:pPr>
            <w:r w:rsidRPr="00125FCE">
              <w:rPr>
                <w:lang w:eastAsia="en-CA"/>
              </w:rPr>
              <w:t>2020</w:t>
            </w:r>
          </w:p>
        </w:tc>
        <w:tc>
          <w:tcPr>
            <w:tcW w:w="3777" w:type="dxa"/>
            <w:tcBorders>
              <w:top w:val="nil"/>
              <w:left w:val="nil"/>
              <w:bottom w:val="nil"/>
              <w:right w:val="nil"/>
            </w:tcBorders>
            <w:shd w:val="clear" w:color="auto" w:fill="auto"/>
            <w:noWrap/>
            <w:vAlign w:val="bottom"/>
            <w:hideMark/>
          </w:tcPr>
          <w:p w14:paraId="0F367B4D" w14:textId="77777777" w:rsidR="00125FCE" w:rsidRPr="00125FCE" w:rsidRDefault="00125FCE" w:rsidP="00125FCE">
            <w:pPr>
              <w:pStyle w:val="NoSpacing"/>
              <w:rPr>
                <w:lang w:eastAsia="en-CA"/>
              </w:rPr>
            </w:pPr>
            <w:r w:rsidRPr="00125FCE">
              <w:rPr>
                <w:lang w:eastAsia="en-CA"/>
              </w:rPr>
              <w:t>310,893,360</w:t>
            </w:r>
          </w:p>
        </w:tc>
        <w:tc>
          <w:tcPr>
            <w:tcW w:w="2698" w:type="dxa"/>
            <w:tcBorders>
              <w:top w:val="nil"/>
              <w:left w:val="nil"/>
              <w:bottom w:val="nil"/>
              <w:right w:val="nil"/>
            </w:tcBorders>
            <w:shd w:val="clear" w:color="auto" w:fill="auto"/>
            <w:noWrap/>
            <w:vAlign w:val="bottom"/>
            <w:hideMark/>
          </w:tcPr>
          <w:p w14:paraId="3824F36B" w14:textId="77777777" w:rsidR="00125FCE" w:rsidRPr="00125FCE" w:rsidRDefault="00125FCE" w:rsidP="00125FCE">
            <w:pPr>
              <w:pStyle w:val="NoSpacing"/>
              <w:rPr>
                <w:lang w:eastAsia="en-CA"/>
              </w:rPr>
            </w:pPr>
            <w:r w:rsidRPr="00125FCE">
              <w:rPr>
                <w:lang w:eastAsia="en-CA"/>
              </w:rPr>
              <w:t>8.35%</w:t>
            </w:r>
          </w:p>
        </w:tc>
      </w:tr>
    </w:tbl>
    <w:p w14:paraId="2A15FD54" w14:textId="3B31ED33" w:rsidR="004F18E2" w:rsidRDefault="004F18E2" w:rsidP="004F18E2">
      <w:pPr>
        <w:pStyle w:val="NoSpacing"/>
      </w:pPr>
    </w:p>
    <w:p w14:paraId="514F5F4B" w14:textId="77777777" w:rsidR="00883130" w:rsidRDefault="00883130" w:rsidP="004F18E2">
      <w:pPr>
        <w:pStyle w:val="NoSpacing"/>
      </w:pPr>
    </w:p>
    <w:p w14:paraId="2243A8F7" w14:textId="77777777" w:rsidR="00883130" w:rsidRDefault="00883130" w:rsidP="00883130">
      <w:pPr>
        <w:pStyle w:val="NoSpacing"/>
        <w:sectPr w:rsidR="00883130" w:rsidSect="00883130">
          <w:footnotePr>
            <w:numFmt w:val="chicago"/>
          </w:footnotePr>
          <w:endnotePr>
            <w:numFmt w:val="decimal"/>
            <w:numRestart w:val="eachSect"/>
          </w:endnotePr>
          <w:pgSz w:w="12240" w:h="15840"/>
          <w:pgMar w:top="1440" w:right="1440" w:bottom="1440" w:left="1440" w:header="708" w:footer="708" w:gutter="0"/>
          <w:cols w:space="708"/>
          <w:docGrid w:linePitch="360"/>
        </w:sectPr>
      </w:pPr>
    </w:p>
    <w:p w14:paraId="6FFDC530" w14:textId="3F88B8AD" w:rsidR="00294784" w:rsidRPr="008246EF" w:rsidRDefault="00B6226B" w:rsidP="008246EF">
      <w:pPr>
        <w:pStyle w:val="Heading1"/>
      </w:pPr>
      <w:bookmarkStart w:id="67" w:name="_Toc202006253"/>
      <w:r>
        <w:lastRenderedPageBreak/>
        <w:t xml:space="preserve">Appendix </w:t>
      </w:r>
      <w:r w:rsidR="004F18E2">
        <w:t>4</w:t>
      </w:r>
      <w:r>
        <w:t xml:space="preserve">. </w:t>
      </w:r>
      <w:r w:rsidR="008246EF" w:rsidRPr="008246EF">
        <w:t>Presidents of the United States of America</w:t>
      </w:r>
      <w:bookmarkEnd w:id="67"/>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061"/>
        <w:gridCol w:w="2721"/>
        <w:gridCol w:w="2721"/>
      </w:tblGrid>
      <w:tr w:rsidR="004F6933" w:rsidRPr="002B45C0" w14:paraId="1912E848" w14:textId="77777777" w:rsidTr="00EE3938">
        <w:tc>
          <w:tcPr>
            <w:tcW w:w="842" w:type="dxa"/>
            <w:tcBorders>
              <w:bottom w:val="single" w:sz="4" w:space="0" w:color="auto"/>
            </w:tcBorders>
          </w:tcPr>
          <w:p w14:paraId="676420F2" w14:textId="77777777" w:rsidR="004F6933" w:rsidRPr="002B45C0" w:rsidRDefault="004F6933" w:rsidP="00AF4CAA">
            <w:pPr>
              <w:pStyle w:val="NoSpacing"/>
              <w:rPr>
                <w:b/>
                <w:bCs/>
              </w:rPr>
            </w:pPr>
          </w:p>
        </w:tc>
        <w:tc>
          <w:tcPr>
            <w:tcW w:w="3061" w:type="dxa"/>
            <w:tcBorders>
              <w:bottom w:val="single" w:sz="4" w:space="0" w:color="auto"/>
            </w:tcBorders>
          </w:tcPr>
          <w:p w14:paraId="0750E133" w14:textId="745C9F47" w:rsidR="004F6933" w:rsidRPr="002B45C0" w:rsidRDefault="004F6933" w:rsidP="00AF4CAA">
            <w:pPr>
              <w:pStyle w:val="NoSpacing"/>
              <w:rPr>
                <w:b/>
                <w:bCs/>
              </w:rPr>
            </w:pPr>
            <w:r w:rsidRPr="002B45C0">
              <w:rPr>
                <w:b/>
                <w:bCs/>
              </w:rPr>
              <w:t>President</w:t>
            </w:r>
          </w:p>
        </w:tc>
        <w:tc>
          <w:tcPr>
            <w:tcW w:w="2721" w:type="dxa"/>
            <w:tcBorders>
              <w:bottom w:val="single" w:sz="4" w:space="0" w:color="auto"/>
            </w:tcBorders>
          </w:tcPr>
          <w:p w14:paraId="44DC099D" w14:textId="37E5A77E" w:rsidR="004F6933" w:rsidRPr="002B45C0" w:rsidRDefault="004F6933" w:rsidP="00AF4CAA">
            <w:pPr>
              <w:pStyle w:val="NoSpacing"/>
              <w:rPr>
                <w:b/>
                <w:bCs/>
              </w:rPr>
            </w:pPr>
            <w:r w:rsidRPr="002B45C0">
              <w:rPr>
                <w:b/>
                <w:bCs/>
              </w:rPr>
              <w:t>Political Party</w:t>
            </w:r>
          </w:p>
        </w:tc>
        <w:tc>
          <w:tcPr>
            <w:tcW w:w="2721" w:type="dxa"/>
            <w:tcBorders>
              <w:bottom w:val="single" w:sz="4" w:space="0" w:color="auto"/>
            </w:tcBorders>
          </w:tcPr>
          <w:p w14:paraId="4869ACB1" w14:textId="330F45D5" w:rsidR="004F6933" w:rsidRPr="002B45C0" w:rsidRDefault="004F6933" w:rsidP="00AF4CAA">
            <w:pPr>
              <w:pStyle w:val="NoSpacing"/>
              <w:rPr>
                <w:b/>
                <w:bCs/>
              </w:rPr>
            </w:pPr>
            <w:r w:rsidRPr="002B45C0">
              <w:rPr>
                <w:b/>
                <w:bCs/>
              </w:rPr>
              <w:t>Administration</w:t>
            </w:r>
          </w:p>
        </w:tc>
      </w:tr>
      <w:tr w:rsidR="004F6933" w14:paraId="02D7B01C" w14:textId="77777777" w:rsidTr="00EE3938">
        <w:tc>
          <w:tcPr>
            <w:tcW w:w="842" w:type="dxa"/>
            <w:tcBorders>
              <w:top w:val="single" w:sz="4" w:space="0" w:color="auto"/>
            </w:tcBorders>
          </w:tcPr>
          <w:p w14:paraId="5C1760EA" w14:textId="71CCBA78" w:rsidR="004F6933" w:rsidRDefault="004F6933" w:rsidP="00AF4CAA">
            <w:pPr>
              <w:pStyle w:val="NoSpacing"/>
            </w:pPr>
            <w:r>
              <w:t>1.</w:t>
            </w:r>
          </w:p>
        </w:tc>
        <w:tc>
          <w:tcPr>
            <w:tcW w:w="3061" w:type="dxa"/>
            <w:tcBorders>
              <w:top w:val="single" w:sz="4" w:space="0" w:color="auto"/>
            </w:tcBorders>
          </w:tcPr>
          <w:p w14:paraId="07EDC741" w14:textId="20608843" w:rsidR="004F6933" w:rsidRDefault="004F6933" w:rsidP="00AF4CAA">
            <w:pPr>
              <w:pStyle w:val="NoSpacing"/>
            </w:pPr>
            <w:r>
              <w:t>George Washington</w:t>
            </w:r>
          </w:p>
        </w:tc>
        <w:tc>
          <w:tcPr>
            <w:tcW w:w="2721" w:type="dxa"/>
            <w:tcBorders>
              <w:top w:val="single" w:sz="4" w:space="0" w:color="auto"/>
            </w:tcBorders>
          </w:tcPr>
          <w:p w14:paraId="4801BEB6" w14:textId="6B006C6A" w:rsidR="004F6933" w:rsidRDefault="004F6933" w:rsidP="00AF4CAA">
            <w:pPr>
              <w:pStyle w:val="NoSpacing"/>
            </w:pPr>
            <w:r>
              <w:t>Independent</w:t>
            </w:r>
          </w:p>
        </w:tc>
        <w:tc>
          <w:tcPr>
            <w:tcW w:w="2721" w:type="dxa"/>
            <w:tcBorders>
              <w:top w:val="single" w:sz="4" w:space="0" w:color="auto"/>
            </w:tcBorders>
          </w:tcPr>
          <w:p w14:paraId="05FE2B81" w14:textId="6001919B" w:rsidR="004F6933" w:rsidRDefault="004F6933" w:rsidP="00AF4CAA">
            <w:pPr>
              <w:pStyle w:val="NoSpacing"/>
            </w:pPr>
            <w:r>
              <w:t>1789-1797</w:t>
            </w:r>
          </w:p>
        </w:tc>
      </w:tr>
      <w:tr w:rsidR="004F6933" w14:paraId="0E3E1642" w14:textId="77777777" w:rsidTr="00EE3938">
        <w:tc>
          <w:tcPr>
            <w:tcW w:w="842" w:type="dxa"/>
          </w:tcPr>
          <w:p w14:paraId="336EE049" w14:textId="561A724C" w:rsidR="004F6933" w:rsidRDefault="004F6933" w:rsidP="00AF4CAA">
            <w:pPr>
              <w:pStyle w:val="NoSpacing"/>
            </w:pPr>
            <w:r>
              <w:t>2.</w:t>
            </w:r>
          </w:p>
        </w:tc>
        <w:tc>
          <w:tcPr>
            <w:tcW w:w="3061" w:type="dxa"/>
          </w:tcPr>
          <w:p w14:paraId="3F9F2111" w14:textId="3B5F1E50" w:rsidR="004F6933" w:rsidRDefault="004F6933" w:rsidP="00AF4CAA">
            <w:pPr>
              <w:pStyle w:val="NoSpacing"/>
            </w:pPr>
            <w:r>
              <w:t>John Adams</w:t>
            </w:r>
          </w:p>
        </w:tc>
        <w:tc>
          <w:tcPr>
            <w:tcW w:w="2721" w:type="dxa"/>
          </w:tcPr>
          <w:p w14:paraId="56C46D21" w14:textId="3D042EDD" w:rsidR="004F6933" w:rsidRDefault="004F6933" w:rsidP="00AF4CAA">
            <w:pPr>
              <w:pStyle w:val="NoSpacing"/>
            </w:pPr>
            <w:r>
              <w:t>Federalist</w:t>
            </w:r>
          </w:p>
        </w:tc>
        <w:tc>
          <w:tcPr>
            <w:tcW w:w="2721" w:type="dxa"/>
          </w:tcPr>
          <w:p w14:paraId="489B70AA" w14:textId="19422075" w:rsidR="004F6933" w:rsidRDefault="004F6933" w:rsidP="00AF4CAA">
            <w:pPr>
              <w:pStyle w:val="NoSpacing"/>
            </w:pPr>
            <w:r>
              <w:t>1797-1801</w:t>
            </w:r>
          </w:p>
        </w:tc>
      </w:tr>
      <w:tr w:rsidR="004F6933" w14:paraId="0C324761" w14:textId="77777777" w:rsidTr="00EE3938">
        <w:tc>
          <w:tcPr>
            <w:tcW w:w="842" w:type="dxa"/>
          </w:tcPr>
          <w:p w14:paraId="73D91083" w14:textId="4F9FAC3E" w:rsidR="004F6933" w:rsidRDefault="004F6933" w:rsidP="00AF4CAA">
            <w:pPr>
              <w:pStyle w:val="NoSpacing"/>
            </w:pPr>
            <w:r>
              <w:t>3.</w:t>
            </w:r>
          </w:p>
        </w:tc>
        <w:tc>
          <w:tcPr>
            <w:tcW w:w="3061" w:type="dxa"/>
          </w:tcPr>
          <w:p w14:paraId="695B5491" w14:textId="742EC36E" w:rsidR="004F6933" w:rsidRDefault="004F6933" w:rsidP="00AF4CAA">
            <w:pPr>
              <w:pStyle w:val="NoSpacing"/>
            </w:pPr>
            <w:r>
              <w:t>Thomas Jefferson</w:t>
            </w:r>
          </w:p>
        </w:tc>
        <w:tc>
          <w:tcPr>
            <w:tcW w:w="2721" w:type="dxa"/>
          </w:tcPr>
          <w:p w14:paraId="6FC83CED" w14:textId="221F3BE7" w:rsidR="004F6933" w:rsidRDefault="004F6933" w:rsidP="00AF4CAA">
            <w:pPr>
              <w:pStyle w:val="NoSpacing"/>
            </w:pPr>
            <w:r>
              <w:t>Republican</w:t>
            </w:r>
          </w:p>
        </w:tc>
        <w:tc>
          <w:tcPr>
            <w:tcW w:w="2721" w:type="dxa"/>
          </w:tcPr>
          <w:p w14:paraId="6FD652C5" w14:textId="59B3B961" w:rsidR="004F6933" w:rsidRDefault="004F6933" w:rsidP="00AF4CAA">
            <w:pPr>
              <w:pStyle w:val="NoSpacing"/>
            </w:pPr>
            <w:r>
              <w:t>1801-1809</w:t>
            </w:r>
          </w:p>
        </w:tc>
      </w:tr>
      <w:tr w:rsidR="004F6933" w14:paraId="533A652F" w14:textId="77777777" w:rsidTr="00EE3938">
        <w:tc>
          <w:tcPr>
            <w:tcW w:w="842" w:type="dxa"/>
          </w:tcPr>
          <w:p w14:paraId="01D3BCDA" w14:textId="3B9FB02C" w:rsidR="004F6933" w:rsidRDefault="004F6933" w:rsidP="00AF4CAA">
            <w:pPr>
              <w:pStyle w:val="NoSpacing"/>
            </w:pPr>
            <w:r>
              <w:t>4.</w:t>
            </w:r>
          </w:p>
        </w:tc>
        <w:tc>
          <w:tcPr>
            <w:tcW w:w="3061" w:type="dxa"/>
          </w:tcPr>
          <w:p w14:paraId="3300A341" w14:textId="745F071C" w:rsidR="004F6933" w:rsidRDefault="004F6933" w:rsidP="00AF4CAA">
            <w:pPr>
              <w:pStyle w:val="NoSpacing"/>
            </w:pPr>
            <w:r>
              <w:t>Aaron Burr</w:t>
            </w:r>
          </w:p>
        </w:tc>
        <w:tc>
          <w:tcPr>
            <w:tcW w:w="2721" w:type="dxa"/>
          </w:tcPr>
          <w:p w14:paraId="3A83C6F6" w14:textId="1C1B5D78" w:rsidR="004F6933" w:rsidRDefault="004F6933" w:rsidP="00AF4CAA">
            <w:pPr>
              <w:pStyle w:val="NoSpacing"/>
            </w:pPr>
            <w:r>
              <w:t>Democratic</w:t>
            </w:r>
          </w:p>
        </w:tc>
        <w:tc>
          <w:tcPr>
            <w:tcW w:w="2721" w:type="dxa"/>
          </w:tcPr>
          <w:p w14:paraId="6C74ADBF" w14:textId="194A9C87" w:rsidR="004F6933" w:rsidRDefault="004F6933" w:rsidP="00AF4CAA">
            <w:pPr>
              <w:pStyle w:val="NoSpacing"/>
            </w:pPr>
            <w:r>
              <w:t>1809-1817</w:t>
            </w:r>
          </w:p>
        </w:tc>
      </w:tr>
      <w:tr w:rsidR="004F6933" w14:paraId="37F7804B" w14:textId="77777777" w:rsidTr="00EE3938">
        <w:tc>
          <w:tcPr>
            <w:tcW w:w="842" w:type="dxa"/>
          </w:tcPr>
          <w:p w14:paraId="0BA88E98" w14:textId="7836662B" w:rsidR="004F6933" w:rsidRDefault="004F6933" w:rsidP="00AF4CAA">
            <w:pPr>
              <w:pStyle w:val="NoSpacing"/>
            </w:pPr>
            <w:r>
              <w:t>5.</w:t>
            </w:r>
          </w:p>
        </w:tc>
        <w:tc>
          <w:tcPr>
            <w:tcW w:w="3061" w:type="dxa"/>
          </w:tcPr>
          <w:p w14:paraId="5C731125" w14:textId="6D668B0D" w:rsidR="004F6933" w:rsidRDefault="004F6933" w:rsidP="00AF4CAA">
            <w:pPr>
              <w:pStyle w:val="NoSpacing"/>
            </w:pPr>
            <w:r>
              <w:t>James Madison</w:t>
            </w:r>
          </w:p>
        </w:tc>
        <w:tc>
          <w:tcPr>
            <w:tcW w:w="2721" w:type="dxa"/>
          </w:tcPr>
          <w:p w14:paraId="45658D8F" w14:textId="645505CA" w:rsidR="004F6933" w:rsidRDefault="004F6933" w:rsidP="00AF4CAA">
            <w:pPr>
              <w:pStyle w:val="NoSpacing"/>
            </w:pPr>
            <w:r>
              <w:t>Republican</w:t>
            </w:r>
          </w:p>
        </w:tc>
        <w:tc>
          <w:tcPr>
            <w:tcW w:w="2721" w:type="dxa"/>
          </w:tcPr>
          <w:p w14:paraId="63F48DF9" w14:textId="356EE392" w:rsidR="004F6933" w:rsidRDefault="004F6933" w:rsidP="00AF4CAA">
            <w:pPr>
              <w:pStyle w:val="NoSpacing"/>
            </w:pPr>
            <w:r>
              <w:t>1817-182</w:t>
            </w:r>
            <w:r w:rsidR="00280847">
              <w:t>5</w:t>
            </w:r>
          </w:p>
        </w:tc>
      </w:tr>
      <w:tr w:rsidR="00CC1CD2" w14:paraId="52603472" w14:textId="77777777" w:rsidTr="00EE3938">
        <w:tc>
          <w:tcPr>
            <w:tcW w:w="842" w:type="dxa"/>
          </w:tcPr>
          <w:p w14:paraId="5D52C8C1" w14:textId="5FBF6AB0" w:rsidR="00CC1CD2" w:rsidRDefault="00CC1CD2" w:rsidP="00AF4CAA">
            <w:pPr>
              <w:pStyle w:val="NoSpacing"/>
            </w:pPr>
            <w:r>
              <w:t xml:space="preserve">6. </w:t>
            </w:r>
          </w:p>
        </w:tc>
        <w:tc>
          <w:tcPr>
            <w:tcW w:w="3061" w:type="dxa"/>
          </w:tcPr>
          <w:p w14:paraId="4BEC7AEA" w14:textId="5C82E5F1" w:rsidR="00CC1CD2" w:rsidRDefault="00CC1CD2" w:rsidP="00AF4CAA">
            <w:pPr>
              <w:pStyle w:val="NoSpacing"/>
            </w:pPr>
            <w:r>
              <w:t>Aaron Burr</w:t>
            </w:r>
          </w:p>
        </w:tc>
        <w:tc>
          <w:tcPr>
            <w:tcW w:w="2721" w:type="dxa"/>
          </w:tcPr>
          <w:p w14:paraId="4A3444F0" w14:textId="7AC78300" w:rsidR="00CC1CD2" w:rsidRDefault="00CC1CD2" w:rsidP="00AF4CAA">
            <w:pPr>
              <w:pStyle w:val="NoSpacing"/>
            </w:pPr>
            <w:r>
              <w:t>Democratic</w:t>
            </w:r>
          </w:p>
        </w:tc>
        <w:tc>
          <w:tcPr>
            <w:tcW w:w="2721" w:type="dxa"/>
          </w:tcPr>
          <w:p w14:paraId="52459489" w14:textId="340BFCEA" w:rsidR="00CC1CD2" w:rsidRDefault="00CC1CD2" w:rsidP="00AF4CAA">
            <w:pPr>
              <w:pStyle w:val="NoSpacing"/>
            </w:pPr>
            <w:r>
              <w:t>1825-1827</w:t>
            </w:r>
          </w:p>
        </w:tc>
      </w:tr>
      <w:tr w:rsidR="004F6933" w14:paraId="1565A712" w14:textId="77777777" w:rsidTr="00EE3938">
        <w:tc>
          <w:tcPr>
            <w:tcW w:w="842" w:type="dxa"/>
          </w:tcPr>
          <w:p w14:paraId="454F8FE7" w14:textId="63354761" w:rsidR="004F6933" w:rsidRDefault="00CC1CD2" w:rsidP="00AF4CAA">
            <w:pPr>
              <w:pStyle w:val="NoSpacing"/>
            </w:pPr>
            <w:r>
              <w:t>7</w:t>
            </w:r>
            <w:r w:rsidR="004F6933">
              <w:t>.</w:t>
            </w:r>
          </w:p>
        </w:tc>
        <w:tc>
          <w:tcPr>
            <w:tcW w:w="3061" w:type="dxa"/>
          </w:tcPr>
          <w:p w14:paraId="18506CDC" w14:textId="2B574DB9" w:rsidR="004F6933" w:rsidRDefault="00280847" w:rsidP="00AF4CAA">
            <w:pPr>
              <w:pStyle w:val="NoSpacing"/>
            </w:pPr>
            <w:r>
              <w:t>William Henry Harrison</w:t>
            </w:r>
          </w:p>
        </w:tc>
        <w:tc>
          <w:tcPr>
            <w:tcW w:w="2721" w:type="dxa"/>
          </w:tcPr>
          <w:p w14:paraId="606CE287" w14:textId="6FF6EE87" w:rsidR="004F6933" w:rsidRDefault="004F6933" w:rsidP="00AF4CAA">
            <w:pPr>
              <w:pStyle w:val="NoSpacing"/>
            </w:pPr>
            <w:r>
              <w:t>Democratic</w:t>
            </w:r>
          </w:p>
        </w:tc>
        <w:tc>
          <w:tcPr>
            <w:tcW w:w="2721" w:type="dxa"/>
          </w:tcPr>
          <w:p w14:paraId="4C3B2E22" w14:textId="5BCC03B4" w:rsidR="004F6933" w:rsidRDefault="004F6933" w:rsidP="00AF4CAA">
            <w:pPr>
              <w:pStyle w:val="NoSpacing"/>
            </w:pPr>
            <w:r>
              <w:t>182</w:t>
            </w:r>
            <w:r w:rsidR="00CC1CD2">
              <w:t>7</w:t>
            </w:r>
            <w:r>
              <w:t>-18</w:t>
            </w:r>
            <w:r w:rsidR="00280847">
              <w:t>3</w:t>
            </w:r>
            <w:r w:rsidR="00CC1CD2">
              <w:t>7</w:t>
            </w:r>
          </w:p>
        </w:tc>
      </w:tr>
      <w:tr w:rsidR="004F6933" w14:paraId="12E86253" w14:textId="77777777" w:rsidTr="00EE3938">
        <w:tc>
          <w:tcPr>
            <w:tcW w:w="842" w:type="dxa"/>
          </w:tcPr>
          <w:p w14:paraId="27103073" w14:textId="306D73BA" w:rsidR="004F6933" w:rsidRDefault="004F6933" w:rsidP="00AF4CAA">
            <w:pPr>
              <w:pStyle w:val="NoSpacing"/>
            </w:pPr>
            <w:r>
              <w:t xml:space="preserve">8. </w:t>
            </w:r>
          </w:p>
        </w:tc>
        <w:tc>
          <w:tcPr>
            <w:tcW w:w="3061" w:type="dxa"/>
          </w:tcPr>
          <w:p w14:paraId="331F6613" w14:textId="4FB0AB80" w:rsidR="004F6933" w:rsidRDefault="00280847" w:rsidP="00AF4CAA">
            <w:pPr>
              <w:pStyle w:val="NoSpacing"/>
            </w:pPr>
            <w:r>
              <w:t>Zebulon Pike</w:t>
            </w:r>
          </w:p>
        </w:tc>
        <w:tc>
          <w:tcPr>
            <w:tcW w:w="2721" w:type="dxa"/>
          </w:tcPr>
          <w:p w14:paraId="569BA684" w14:textId="0B4458D5" w:rsidR="004F6933" w:rsidRDefault="00280847" w:rsidP="00AF4CAA">
            <w:pPr>
              <w:pStyle w:val="NoSpacing"/>
            </w:pPr>
            <w:r>
              <w:t>Republican</w:t>
            </w:r>
          </w:p>
        </w:tc>
        <w:tc>
          <w:tcPr>
            <w:tcW w:w="2721" w:type="dxa"/>
          </w:tcPr>
          <w:p w14:paraId="2C4FF7F6" w14:textId="795463D4" w:rsidR="004F6933" w:rsidRDefault="004F6933" w:rsidP="00AF4CAA">
            <w:pPr>
              <w:pStyle w:val="NoSpacing"/>
            </w:pPr>
            <w:r>
              <w:t>183</w:t>
            </w:r>
            <w:r w:rsidR="00280847">
              <w:t>7</w:t>
            </w:r>
            <w:r>
              <w:t>-184</w:t>
            </w:r>
            <w:r w:rsidR="00280847">
              <w:t>5</w:t>
            </w:r>
          </w:p>
        </w:tc>
      </w:tr>
      <w:tr w:rsidR="004F6933" w14:paraId="51AFFD15" w14:textId="77777777" w:rsidTr="00EE3938">
        <w:tc>
          <w:tcPr>
            <w:tcW w:w="842" w:type="dxa"/>
          </w:tcPr>
          <w:p w14:paraId="103E9A93" w14:textId="0BCD2F3B" w:rsidR="004F6933" w:rsidRDefault="00280847" w:rsidP="00AF4CAA">
            <w:pPr>
              <w:pStyle w:val="NoSpacing"/>
            </w:pPr>
            <w:r>
              <w:t>9</w:t>
            </w:r>
            <w:r w:rsidR="006C4A7F">
              <w:t>.</w:t>
            </w:r>
          </w:p>
        </w:tc>
        <w:tc>
          <w:tcPr>
            <w:tcW w:w="3061" w:type="dxa"/>
          </w:tcPr>
          <w:p w14:paraId="4CBCA469" w14:textId="78A8F092" w:rsidR="004F6933" w:rsidRDefault="004F6933" w:rsidP="00AF4CAA">
            <w:pPr>
              <w:pStyle w:val="NoSpacing"/>
            </w:pPr>
            <w:r>
              <w:t>Daniel Webster</w:t>
            </w:r>
          </w:p>
        </w:tc>
        <w:tc>
          <w:tcPr>
            <w:tcW w:w="2721" w:type="dxa"/>
          </w:tcPr>
          <w:p w14:paraId="7BFC3405" w14:textId="327B784C" w:rsidR="004F6933" w:rsidRDefault="004F6933" w:rsidP="00AF4CAA">
            <w:pPr>
              <w:pStyle w:val="NoSpacing"/>
            </w:pPr>
            <w:r>
              <w:t>Democratic</w:t>
            </w:r>
          </w:p>
        </w:tc>
        <w:tc>
          <w:tcPr>
            <w:tcW w:w="2721" w:type="dxa"/>
          </w:tcPr>
          <w:p w14:paraId="1564A8E4" w14:textId="3F0D2D14" w:rsidR="004F6933" w:rsidRDefault="004F6933" w:rsidP="00AF4CAA">
            <w:pPr>
              <w:pStyle w:val="NoSpacing"/>
            </w:pPr>
            <w:r>
              <w:t>184</w:t>
            </w:r>
            <w:r w:rsidR="00280847">
              <w:t>5</w:t>
            </w:r>
            <w:r>
              <w:t>-1852</w:t>
            </w:r>
          </w:p>
        </w:tc>
      </w:tr>
      <w:tr w:rsidR="00CC1CD2" w14:paraId="433E6838" w14:textId="77777777" w:rsidTr="00EE3938">
        <w:tc>
          <w:tcPr>
            <w:tcW w:w="842" w:type="dxa"/>
          </w:tcPr>
          <w:p w14:paraId="6B71FAC5" w14:textId="367E5C98" w:rsidR="00CC1CD2" w:rsidRDefault="00CC1CD2" w:rsidP="00AF4CAA">
            <w:pPr>
              <w:pStyle w:val="NoSpacing"/>
            </w:pPr>
            <w:r>
              <w:t xml:space="preserve">10. </w:t>
            </w:r>
          </w:p>
        </w:tc>
        <w:tc>
          <w:tcPr>
            <w:tcW w:w="3061" w:type="dxa"/>
          </w:tcPr>
          <w:p w14:paraId="0EAE56F3" w14:textId="7D02F2D4" w:rsidR="00CC1CD2" w:rsidRDefault="00CC1CD2" w:rsidP="00AF4CAA">
            <w:pPr>
              <w:pStyle w:val="NoSpacing"/>
            </w:pPr>
            <w:r>
              <w:t xml:space="preserve">James L. </w:t>
            </w:r>
            <w:proofErr w:type="spellStart"/>
            <w:r>
              <w:t>Petigru</w:t>
            </w:r>
            <w:proofErr w:type="spellEnd"/>
          </w:p>
        </w:tc>
        <w:tc>
          <w:tcPr>
            <w:tcW w:w="2721" w:type="dxa"/>
          </w:tcPr>
          <w:p w14:paraId="514A53A9" w14:textId="71568703" w:rsidR="00CC1CD2" w:rsidRDefault="00CC1CD2" w:rsidP="00AF4CAA">
            <w:pPr>
              <w:pStyle w:val="NoSpacing"/>
            </w:pPr>
            <w:r>
              <w:t>Democratic</w:t>
            </w:r>
          </w:p>
        </w:tc>
        <w:tc>
          <w:tcPr>
            <w:tcW w:w="2721" w:type="dxa"/>
          </w:tcPr>
          <w:p w14:paraId="2B785AC1" w14:textId="25F1A412" w:rsidR="00CC1CD2" w:rsidRDefault="00CC1CD2" w:rsidP="00AF4CAA">
            <w:pPr>
              <w:pStyle w:val="NoSpacing"/>
            </w:pPr>
            <w:r>
              <w:t>1852-1853</w:t>
            </w:r>
          </w:p>
        </w:tc>
      </w:tr>
      <w:tr w:rsidR="00CC1CD2" w14:paraId="5F590E9F" w14:textId="77777777" w:rsidTr="00EE3938">
        <w:tc>
          <w:tcPr>
            <w:tcW w:w="842" w:type="dxa"/>
          </w:tcPr>
          <w:p w14:paraId="6DE434F4" w14:textId="28B3068A" w:rsidR="00CC1CD2" w:rsidRDefault="00CC1CD2" w:rsidP="00AF4CAA">
            <w:pPr>
              <w:pStyle w:val="NoSpacing"/>
            </w:pPr>
            <w:r>
              <w:t xml:space="preserve">11. </w:t>
            </w:r>
          </w:p>
        </w:tc>
        <w:tc>
          <w:tcPr>
            <w:tcW w:w="3061" w:type="dxa"/>
          </w:tcPr>
          <w:p w14:paraId="66D05FC9" w14:textId="380B1716" w:rsidR="00CC1CD2" w:rsidRDefault="00CC1CD2" w:rsidP="00AF4CAA">
            <w:pPr>
              <w:pStyle w:val="NoSpacing"/>
            </w:pPr>
            <w:r>
              <w:t>Robert F. Stockton</w:t>
            </w:r>
          </w:p>
        </w:tc>
        <w:tc>
          <w:tcPr>
            <w:tcW w:w="2721" w:type="dxa"/>
          </w:tcPr>
          <w:p w14:paraId="62F798A1" w14:textId="56255A60" w:rsidR="00CC1CD2" w:rsidRDefault="00CC1CD2" w:rsidP="00AF4CAA">
            <w:pPr>
              <w:pStyle w:val="NoSpacing"/>
            </w:pPr>
            <w:r>
              <w:t>Republican</w:t>
            </w:r>
          </w:p>
        </w:tc>
        <w:tc>
          <w:tcPr>
            <w:tcW w:w="2721" w:type="dxa"/>
          </w:tcPr>
          <w:p w14:paraId="4FA746EF" w14:textId="68B6E9EF" w:rsidR="00CC1CD2" w:rsidRDefault="00CC1CD2" w:rsidP="00AF4CAA">
            <w:pPr>
              <w:pStyle w:val="NoSpacing"/>
            </w:pPr>
            <w:r>
              <w:t>1853-1861</w:t>
            </w:r>
          </w:p>
        </w:tc>
      </w:tr>
      <w:tr w:rsidR="00CC1CD2" w14:paraId="0622C24D" w14:textId="77777777" w:rsidTr="00EE3938">
        <w:tc>
          <w:tcPr>
            <w:tcW w:w="842" w:type="dxa"/>
          </w:tcPr>
          <w:p w14:paraId="297A1E44" w14:textId="770EB55F" w:rsidR="00CC1CD2" w:rsidRDefault="00CC1CD2" w:rsidP="00AF4CAA">
            <w:pPr>
              <w:pStyle w:val="NoSpacing"/>
            </w:pPr>
            <w:r>
              <w:t xml:space="preserve">12. </w:t>
            </w:r>
          </w:p>
        </w:tc>
        <w:tc>
          <w:tcPr>
            <w:tcW w:w="3061" w:type="dxa"/>
          </w:tcPr>
          <w:p w14:paraId="4CE7E334" w14:textId="6A0CD700" w:rsidR="00CC1CD2" w:rsidRDefault="00053A62" w:rsidP="00AF4CAA">
            <w:pPr>
              <w:pStyle w:val="NoSpacing"/>
            </w:pPr>
            <w:r>
              <w:t>Richard</w:t>
            </w:r>
            <w:r w:rsidR="001435E5">
              <w:t xml:space="preserve"> H.</w:t>
            </w:r>
            <w:r w:rsidR="00CC1CD2">
              <w:t xml:space="preserve"> Menefee</w:t>
            </w:r>
          </w:p>
        </w:tc>
        <w:tc>
          <w:tcPr>
            <w:tcW w:w="2721" w:type="dxa"/>
          </w:tcPr>
          <w:p w14:paraId="77042D2F" w14:textId="5338158A" w:rsidR="00CC1CD2" w:rsidRDefault="00CC1CD2" w:rsidP="00AF4CAA">
            <w:pPr>
              <w:pStyle w:val="NoSpacing"/>
            </w:pPr>
            <w:r>
              <w:t>Democratic</w:t>
            </w:r>
          </w:p>
        </w:tc>
        <w:tc>
          <w:tcPr>
            <w:tcW w:w="2721" w:type="dxa"/>
          </w:tcPr>
          <w:p w14:paraId="76466878" w14:textId="7A1981F7" w:rsidR="00CC1CD2" w:rsidRDefault="00CC1CD2" w:rsidP="00AF4CAA">
            <w:pPr>
              <w:pStyle w:val="NoSpacing"/>
            </w:pPr>
            <w:r>
              <w:t>1861-1865</w:t>
            </w:r>
          </w:p>
        </w:tc>
      </w:tr>
      <w:tr w:rsidR="00CC1CD2" w14:paraId="36D13B6E" w14:textId="77777777" w:rsidTr="00EE3938">
        <w:tc>
          <w:tcPr>
            <w:tcW w:w="842" w:type="dxa"/>
          </w:tcPr>
          <w:p w14:paraId="66B932AE" w14:textId="0A50E42B" w:rsidR="00CC1CD2" w:rsidRDefault="00CC1CD2" w:rsidP="00AF4CAA">
            <w:pPr>
              <w:pStyle w:val="NoSpacing"/>
            </w:pPr>
            <w:r>
              <w:t>13.</w:t>
            </w:r>
          </w:p>
        </w:tc>
        <w:tc>
          <w:tcPr>
            <w:tcW w:w="3061" w:type="dxa"/>
          </w:tcPr>
          <w:p w14:paraId="69DA2489" w14:textId="696E4B9E" w:rsidR="00CC1CD2" w:rsidRDefault="00CC1CD2" w:rsidP="00AF4CAA">
            <w:pPr>
              <w:pStyle w:val="NoSpacing"/>
            </w:pPr>
            <w:r>
              <w:t>George Wash. Woodward</w:t>
            </w:r>
          </w:p>
        </w:tc>
        <w:tc>
          <w:tcPr>
            <w:tcW w:w="2721" w:type="dxa"/>
          </w:tcPr>
          <w:p w14:paraId="70B8881D" w14:textId="3EEDF889" w:rsidR="00CC1CD2" w:rsidRDefault="00CC1CD2" w:rsidP="00AF4CAA">
            <w:pPr>
              <w:pStyle w:val="NoSpacing"/>
            </w:pPr>
            <w:r>
              <w:t>Republican</w:t>
            </w:r>
          </w:p>
        </w:tc>
        <w:tc>
          <w:tcPr>
            <w:tcW w:w="2721" w:type="dxa"/>
          </w:tcPr>
          <w:p w14:paraId="724AB366" w14:textId="2206D0D3" w:rsidR="00CC1CD2" w:rsidRDefault="00CC1CD2" w:rsidP="00AF4CAA">
            <w:pPr>
              <w:pStyle w:val="NoSpacing"/>
            </w:pPr>
            <w:r>
              <w:t>1865-1868</w:t>
            </w:r>
          </w:p>
        </w:tc>
      </w:tr>
      <w:tr w:rsidR="00CC1CD2" w14:paraId="2E01949B" w14:textId="77777777" w:rsidTr="00EE3938">
        <w:tc>
          <w:tcPr>
            <w:tcW w:w="842" w:type="dxa"/>
          </w:tcPr>
          <w:p w14:paraId="1616EEC4" w14:textId="5C4DF367" w:rsidR="00CC1CD2" w:rsidRDefault="00CC1CD2" w:rsidP="00AF4CAA">
            <w:pPr>
              <w:pStyle w:val="NoSpacing"/>
            </w:pPr>
            <w:r>
              <w:t xml:space="preserve">14. </w:t>
            </w:r>
          </w:p>
        </w:tc>
        <w:tc>
          <w:tcPr>
            <w:tcW w:w="3061" w:type="dxa"/>
          </w:tcPr>
          <w:p w14:paraId="08D2939F" w14:textId="416D2F0D" w:rsidR="00CC1CD2" w:rsidRDefault="00CC1CD2" w:rsidP="00AF4CAA">
            <w:pPr>
              <w:pStyle w:val="NoSpacing"/>
            </w:pPr>
            <w:r>
              <w:t xml:space="preserve">William </w:t>
            </w:r>
            <w:r w:rsidR="007653E6">
              <w:t>Pitt</w:t>
            </w:r>
            <w:r>
              <w:t xml:space="preserve"> Fessenden</w:t>
            </w:r>
          </w:p>
        </w:tc>
        <w:tc>
          <w:tcPr>
            <w:tcW w:w="2721" w:type="dxa"/>
          </w:tcPr>
          <w:p w14:paraId="1175FA01" w14:textId="7FE7BEB4" w:rsidR="00CC1CD2" w:rsidRDefault="00CC1CD2" w:rsidP="00AF4CAA">
            <w:pPr>
              <w:pStyle w:val="NoSpacing"/>
            </w:pPr>
            <w:r>
              <w:t>Free Democratic</w:t>
            </w:r>
          </w:p>
        </w:tc>
        <w:tc>
          <w:tcPr>
            <w:tcW w:w="2721" w:type="dxa"/>
          </w:tcPr>
          <w:p w14:paraId="7604B786" w14:textId="0961DFD6" w:rsidR="00CC1CD2" w:rsidRDefault="00CC1CD2" w:rsidP="00AF4CAA">
            <w:pPr>
              <w:pStyle w:val="NoSpacing"/>
            </w:pPr>
            <w:r>
              <w:t>1868-1869</w:t>
            </w:r>
          </w:p>
        </w:tc>
      </w:tr>
      <w:tr w:rsidR="00CC1CD2" w14:paraId="676F67B1" w14:textId="77777777" w:rsidTr="00EE3938">
        <w:tc>
          <w:tcPr>
            <w:tcW w:w="842" w:type="dxa"/>
          </w:tcPr>
          <w:p w14:paraId="758A486D" w14:textId="357F8F95" w:rsidR="00CC1CD2" w:rsidRDefault="00CC1CD2" w:rsidP="00AF4CAA">
            <w:pPr>
              <w:pStyle w:val="NoSpacing"/>
            </w:pPr>
            <w:r>
              <w:t xml:space="preserve">15. </w:t>
            </w:r>
          </w:p>
        </w:tc>
        <w:tc>
          <w:tcPr>
            <w:tcW w:w="3061" w:type="dxa"/>
          </w:tcPr>
          <w:p w14:paraId="55096812" w14:textId="00D0C0AE" w:rsidR="00CC1CD2" w:rsidRDefault="00CC1CD2" w:rsidP="00AF4CAA">
            <w:pPr>
              <w:pStyle w:val="NoSpacing"/>
            </w:pPr>
            <w:r>
              <w:t>George Bancroft</w:t>
            </w:r>
          </w:p>
        </w:tc>
        <w:tc>
          <w:tcPr>
            <w:tcW w:w="2721" w:type="dxa"/>
          </w:tcPr>
          <w:p w14:paraId="64EA58B9" w14:textId="022019F6" w:rsidR="00CC1CD2" w:rsidRDefault="00CC1CD2" w:rsidP="00AF4CAA">
            <w:pPr>
              <w:pStyle w:val="NoSpacing"/>
            </w:pPr>
            <w:r>
              <w:t>Free Democratic</w:t>
            </w:r>
          </w:p>
        </w:tc>
        <w:tc>
          <w:tcPr>
            <w:tcW w:w="2721" w:type="dxa"/>
          </w:tcPr>
          <w:p w14:paraId="0D5A976A" w14:textId="0DE75DA2" w:rsidR="00CC1CD2" w:rsidRDefault="00CC1CD2" w:rsidP="00AF4CAA">
            <w:pPr>
              <w:pStyle w:val="NoSpacing"/>
            </w:pPr>
            <w:r>
              <w:t>1869-1870</w:t>
            </w:r>
          </w:p>
        </w:tc>
      </w:tr>
      <w:tr w:rsidR="00CC1CD2" w14:paraId="1D19F332" w14:textId="77777777" w:rsidTr="00EE3938">
        <w:tc>
          <w:tcPr>
            <w:tcW w:w="842" w:type="dxa"/>
          </w:tcPr>
          <w:p w14:paraId="3C8AE3FD" w14:textId="79B426CF" w:rsidR="00CC1CD2" w:rsidRDefault="00CC1CD2" w:rsidP="00AF4CAA">
            <w:pPr>
              <w:pStyle w:val="NoSpacing"/>
            </w:pPr>
            <w:r>
              <w:t xml:space="preserve">16. </w:t>
            </w:r>
          </w:p>
        </w:tc>
        <w:tc>
          <w:tcPr>
            <w:tcW w:w="3061" w:type="dxa"/>
          </w:tcPr>
          <w:p w14:paraId="375929AB" w14:textId="0DEE7E50" w:rsidR="00CC1CD2" w:rsidRDefault="00CC1CD2" w:rsidP="00AF4CAA">
            <w:pPr>
              <w:pStyle w:val="NoSpacing"/>
            </w:pPr>
            <w:r>
              <w:t>Tenant Pendleton Kennedy</w:t>
            </w:r>
          </w:p>
        </w:tc>
        <w:tc>
          <w:tcPr>
            <w:tcW w:w="2721" w:type="dxa"/>
          </w:tcPr>
          <w:p w14:paraId="72A046E8" w14:textId="0ABB7389" w:rsidR="00CC1CD2" w:rsidRDefault="00CC1CD2" w:rsidP="00AF4CAA">
            <w:pPr>
              <w:pStyle w:val="NoSpacing"/>
            </w:pPr>
            <w:r>
              <w:t>Free Democratic</w:t>
            </w:r>
          </w:p>
        </w:tc>
        <w:tc>
          <w:tcPr>
            <w:tcW w:w="2721" w:type="dxa"/>
          </w:tcPr>
          <w:p w14:paraId="09CD1E8E" w14:textId="13E161E7" w:rsidR="00CC1CD2" w:rsidRDefault="00CC1CD2" w:rsidP="00AF4CAA">
            <w:pPr>
              <w:pStyle w:val="NoSpacing"/>
            </w:pPr>
            <w:r>
              <w:t>1870-1877</w:t>
            </w:r>
          </w:p>
        </w:tc>
      </w:tr>
      <w:tr w:rsidR="00CC1CD2" w14:paraId="38BBAA9F" w14:textId="77777777" w:rsidTr="00EE3938">
        <w:tc>
          <w:tcPr>
            <w:tcW w:w="842" w:type="dxa"/>
          </w:tcPr>
          <w:p w14:paraId="31912F67" w14:textId="0F41D1AE" w:rsidR="00CC1CD2" w:rsidRDefault="00CC1CD2" w:rsidP="00AF4CAA">
            <w:pPr>
              <w:pStyle w:val="NoSpacing"/>
            </w:pPr>
            <w:r>
              <w:t xml:space="preserve">17. </w:t>
            </w:r>
          </w:p>
        </w:tc>
        <w:tc>
          <w:tcPr>
            <w:tcW w:w="3061" w:type="dxa"/>
          </w:tcPr>
          <w:p w14:paraId="29D43F56" w14:textId="35292326" w:rsidR="00CC1CD2" w:rsidRDefault="00CC1CD2" w:rsidP="00AF4CAA">
            <w:pPr>
              <w:pStyle w:val="NoSpacing"/>
            </w:pPr>
            <w:r>
              <w:t>John Wentworth</w:t>
            </w:r>
          </w:p>
        </w:tc>
        <w:tc>
          <w:tcPr>
            <w:tcW w:w="2721" w:type="dxa"/>
          </w:tcPr>
          <w:p w14:paraId="4E8E9391" w14:textId="07E24DD6" w:rsidR="00CC1CD2" w:rsidRDefault="00CC1CD2" w:rsidP="00AF4CAA">
            <w:pPr>
              <w:pStyle w:val="NoSpacing"/>
            </w:pPr>
            <w:r>
              <w:t>Free Democratic</w:t>
            </w:r>
          </w:p>
        </w:tc>
        <w:tc>
          <w:tcPr>
            <w:tcW w:w="2721" w:type="dxa"/>
          </w:tcPr>
          <w:p w14:paraId="4EC00CE6" w14:textId="7AECFB50" w:rsidR="00CC1CD2" w:rsidRDefault="00CC1CD2" w:rsidP="00AF4CAA">
            <w:pPr>
              <w:pStyle w:val="NoSpacing"/>
            </w:pPr>
            <w:r>
              <w:t>1877-1879</w:t>
            </w:r>
          </w:p>
        </w:tc>
      </w:tr>
      <w:tr w:rsidR="00CC1CD2" w14:paraId="2F746D67" w14:textId="77777777" w:rsidTr="00EE3938">
        <w:tc>
          <w:tcPr>
            <w:tcW w:w="842" w:type="dxa"/>
          </w:tcPr>
          <w:p w14:paraId="77F9D7C4" w14:textId="6B15CB10" w:rsidR="00CC1CD2" w:rsidRDefault="00CC1CD2" w:rsidP="00AF4CAA">
            <w:pPr>
              <w:pStyle w:val="NoSpacing"/>
            </w:pPr>
            <w:r>
              <w:t xml:space="preserve">18. </w:t>
            </w:r>
          </w:p>
        </w:tc>
        <w:tc>
          <w:tcPr>
            <w:tcW w:w="3061" w:type="dxa"/>
          </w:tcPr>
          <w:p w14:paraId="46D77995" w14:textId="2AA994B7" w:rsidR="00CC1CD2" w:rsidRDefault="00CC1CD2" w:rsidP="00AF4CAA">
            <w:pPr>
              <w:pStyle w:val="NoSpacing"/>
            </w:pPr>
            <w:r>
              <w:t>Curran Emmet</w:t>
            </w:r>
          </w:p>
        </w:tc>
        <w:tc>
          <w:tcPr>
            <w:tcW w:w="2721" w:type="dxa"/>
          </w:tcPr>
          <w:p w14:paraId="53601AE0" w14:textId="69F8DB04" w:rsidR="00CC1CD2" w:rsidRDefault="00CC1CD2" w:rsidP="00AF4CAA">
            <w:pPr>
              <w:pStyle w:val="NoSpacing"/>
            </w:pPr>
            <w:r>
              <w:t>Free Democratic</w:t>
            </w:r>
          </w:p>
        </w:tc>
        <w:tc>
          <w:tcPr>
            <w:tcW w:w="2721" w:type="dxa"/>
          </w:tcPr>
          <w:p w14:paraId="28F3E3BC" w14:textId="74137D2F" w:rsidR="00CC1CD2" w:rsidRDefault="00CC1CD2" w:rsidP="00AF4CAA">
            <w:pPr>
              <w:pStyle w:val="NoSpacing"/>
            </w:pPr>
            <w:r>
              <w:t>1879-1886</w:t>
            </w:r>
          </w:p>
        </w:tc>
      </w:tr>
      <w:tr w:rsidR="00CC1CD2" w14:paraId="7612A458" w14:textId="77777777" w:rsidTr="00EE3938">
        <w:tc>
          <w:tcPr>
            <w:tcW w:w="842" w:type="dxa"/>
          </w:tcPr>
          <w:p w14:paraId="6B1C50A9" w14:textId="3E1C1043" w:rsidR="00CC1CD2" w:rsidRDefault="00CC1CD2" w:rsidP="00AF4CAA">
            <w:pPr>
              <w:pStyle w:val="NoSpacing"/>
            </w:pPr>
            <w:r>
              <w:t xml:space="preserve">19. </w:t>
            </w:r>
          </w:p>
        </w:tc>
        <w:tc>
          <w:tcPr>
            <w:tcW w:w="3061" w:type="dxa"/>
          </w:tcPr>
          <w:p w14:paraId="384F6565" w14:textId="33CDA613" w:rsidR="00CC1CD2" w:rsidRDefault="00CC1CD2" w:rsidP="00AF4CAA">
            <w:pPr>
              <w:pStyle w:val="NoSpacing"/>
            </w:pPr>
            <w:r>
              <w:t>John A. Logan</w:t>
            </w:r>
          </w:p>
        </w:tc>
        <w:tc>
          <w:tcPr>
            <w:tcW w:w="2721" w:type="dxa"/>
          </w:tcPr>
          <w:p w14:paraId="58F1B339" w14:textId="25CA1A93" w:rsidR="00CC1CD2" w:rsidRDefault="00CC1CD2" w:rsidP="00AF4CAA">
            <w:pPr>
              <w:pStyle w:val="NoSpacing"/>
            </w:pPr>
            <w:r>
              <w:t>Free Democratic</w:t>
            </w:r>
          </w:p>
        </w:tc>
        <w:tc>
          <w:tcPr>
            <w:tcW w:w="2721" w:type="dxa"/>
          </w:tcPr>
          <w:p w14:paraId="4B758240" w14:textId="1EC74C9F" w:rsidR="00CC1CD2" w:rsidRDefault="00CC1CD2" w:rsidP="00AF4CAA">
            <w:pPr>
              <w:pStyle w:val="NoSpacing"/>
            </w:pPr>
            <w:r>
              <w:t>1886-1891</w:t>
            </w:r>
          </w:p>
        </w:tc>
      </w:tr>
      <w:tr w:rsidR="00CC1CD2" w14:paraId="5F92C28D" w14:textId="77777777" w:rsidTr="00EE3938">
        <w:tc>
          <w:tcPr>
            <w:tcW w:w="842" w:type="dxa"/>
          </w:tcPr>
          <w:p w14:paraId="260F1468" w14:textId="55A8A019" w:rsidR="00CC1CD2" w:rsidRDefault="00CC1CD2" w:rsidP="00AF4CAA">
            <w:pPr>
              <w:pStyle w:val="NoSpacing"/>
            </w:pPr>
            <w:r>
              <w:t xml:space="preserve">20. </w:t>
            </w:r>
          </w:p>
        </w:tc>
        <w:tc>
          <w:tcPr>
            <w:tcW w:w="3061" w:type="dxa"/>
          </w:tcPr>
          <w:p w14:paraId="2B8E8EFB" w14:textId="53E97C89" w:rsidR="00CC1CD2" w:rsidRDefault="00CC1CD2" w:rsidP="00AF4CAA">
            <w:pPr>
              <w:pStyle w:val="NoSpacing"/>
            </w:pPr>
            <w:r>
              <w:t>John W. Foster</w:t>
            </w:r>
          </w:p>
        </w:tc>
        <w:tc>
          <w:tcPr>
            <w:tcW w:w="2721" w:type="dxa"/>
          </w:tcPr>
          <w:p w14:paraId="17100BAD" w14:textId="4EE95BED" w:rsidR="00CC1CD2" w:rsidRDefault="00CC1CD2" w:rsidP="00AF4CAA">
            <w:pPr>
              <w:pStyle w:val="NoSpacing"/>
            </w:pPr>
            <w:r>
              <w:t>Free Democratic</w:t>
            </w:r>
          </w:p>
        </w:tc>
        <w:tc>
          <w:tcPr>
            <w:tcW w:w="2721" w:type="dxa"/>
          </w:tcPr>
          <w:p w14:paraId="5D9CB32E" w14:textId="508DC311" w:rsidR="00CC1CD2" w:rsidRDefault="00CC1CD2" w:rsidP="00AF4CAA">
            <w:pPr>
              <w:pStyle w:val="NoSpacing"/>
            </w:pPr>
            <w:r>
              <w:t>1891-1892</w:t>
            </w:r>
          </w:p>
        </w:tc>
      </w:tr>
      <w:tr w:rsidR="00CC1CD2" w14:paraId="5475744A" w14:textId="77777777" w:rsidTr="00EE3938">
        <w:tc>
          <w:tcPr>
            <w:tcW w:w="842" w:type="dxa"/>
          </w:tcPr>
          <w:p w14:paraId="660E4453" w14:textId="4112BD0B" w:rsidR="00CC1CD2" w:rsidRDefault="00CC1CD2" w:rsidP="00AF4CAA">
            <w:pPr>
              <w:pStyle w:val="NoSpacing"/>
            </w:pPr>
            <w:r>
              <w:t xml:space="preserve">21. </w:t>
            </w:r>
          </w:p>
        </w:tc>
        <w:tc>
          <w:tcPr>
            <w:tcW w:w="3061" w:type="dxa"/>
          </w:tcPr>
          <w:p w14:paraId="4C601C90" w14:textId="0BB4EE6D" w:rsidR="00CC1CD2" w:rsidRDefault="00CC1CD2" w:rsidP="00AF4CAA">
            <w:pPr>
              <w:pStyle w:val="NoSpacing"/>
            </w:pPr>
            <w:r>
              <w:t>Galusha Pennypacker</w:t>
            </w:r>
          </w:p>
        </w:tc>
        <w:tc>
          <w:tcPr>
            <w:tcW w:w="2721" w:type="dxa"/>
          </w:tcPr>
          <w:p w14:paraId="1E34962F" w14:textId="6A5F4808" w:rsidR="00CC1CD2" w:rsidRDefault="00CC1CD2" w:rsidP="00AF4CAA">
            <w:pPr>
              <w:pStyle w:val="NoSpacing"/>
            </w:pPr>
            <w:r>
              <w:t>Free Democratic</w:t>
            </w:r>
          </w:p>
        </w:tc>
        <w:tc>
          <w:tcPr>
            <w:tcW w:w="2721" w:type="dxa"/>
          </w:tcPr>
          <w:p w14:paraId="627242B1" w14:textId="2BD379AC" w:rsidR="00CC1CD2" w:rsidRDefault="00CC1CD2" w:rsidP="00AF4CAA">
            <w:pPr>
              <w:pStyle w:val="NoSpacing"/>
            </w:pPr>
            <w:r>
              <w:t>1892-1898</w:t>
            </w:r>
          </w:p>
        </w:tc>
      </w:tr>
      <w:tr w:rsidR="00CC1CD2" w14:paraId="783990D4" w14:textId="77777777" w:rsidTr="00EE3938">
        <w:tc>
          <w:tcPr>
            <w:tcW w:w="842" w:type="dxa"/>
          </w:tcPr>
          <w:p w14:paraId="416B49AD" w14:textId="06EB204C" w:rsidR="00CC1CD2" w:rsidRDefault="00CC1CD2" w:rsidP="00AF4CAA">
            <w:pPr>
              <w:pStyle w:val="NoSpacing"/>
            </w:pPr>
            <w:r>
              <w:t xml:space="preserve">22. </w:t>
            </w:r>
          </w:p>
        </w:tc>
        <w:tc>
          <w:tcPr>
            <w:tcW w:w="3061" w:type="dxa"/>
          </w:tcPr>
          <w:p w14:paraId="4BF64C28" w14:textId="12A62AC5" w:rsidR="00CC1CD2" w:rsidRDefault="00CC1CD2" w:rsidP="00AF4CAA">
            <w:pPr>
              <w:pStyle w:val="NoSpacing"/>
            </w:pPr>
            <w:r>
              <w:t>John M. DuBois</w:t>
            </w:r>
          </w:p>
        </w:tc>
        <w:tc>
          <w:tcPr>
            <w:tcW w:w="2721" w:type="dxa"/>
          </w:tcPr>
          <w:p w14:paraId="42D467C8" w14:textId="4E4848A8" w:rsidR="00CC1CD2" w:rsidRDefault="00CC1CD2" w:rsidP="00AF4CAA">
            <w:pPr>
              <w:pStyle w:val="NoSpacing"/>
            </w:pPr>
            <w:r>
              <w:t>Free Democratic</w:t>
            </w:r>
          </w:p>
        </w:tc>
        <w:tc>
          <w:tcPr>
            <w:tcW w:w="2721" w:type="dxa"/>
          </w:tcPr>
          <w:p w14:paraId="699E47E8" w14:textId="5FEAB024" w:rsidR="00CC1CD2" w:rsidRDefault="00CC1CD2" w:rsidP="00AF4CAA">
            <w:pPr>
              <w:pStyle w:val="NoSpacing"/>
            </w:pPr>
            <w:r>
              <w:t>1898-1904</w:t>
            </w:r>
          </w:p>
        </w:tc>
      </w:tr>
      <w:tr w:rsidR="00CC1CD2" w14:paraId="37AA7B61" w14:textId="77777777" w:rsidTr="00EE3938">
        <w:tc>
          <w:tcPr>
            <w:tcW w:w="842" w:type="dxa"/>
          </w:tcPr>
          <w:p w14:paraId="39C594F5" w14:textId="0542BA29" w:rsidR="00CC1CD2" w:rsidRDefault="00CC1CD2" w:rsidP="00AF4CAA">
            <w:pPr>
              <w:pStyle w:val="NoSpacing"/>
            </w:pPr>
            <w:r>
              <w:t xml:space="preserve">23. </w:t>
            </w:r>
          </w:p>
        </w:tc>
        <w:tc>
          <w:tcPr>
            <w:tcW w:w="3061" w:type="dxa"/>
          </w:tcPr>
          <w:p w14:paraId="6BF051B2" w14:textId="29C82B4E" w:rsidR="00CC1CD2" w:rsidRDefault="00CC1CD2" w:rsidP="00AF4CAA">
            <w:pPr>
              <w:pStyle w:val="NoSpacing"/>
            </w:pPr>
            <w:r>
              <w:t>Cromwell Hutton</w:t>
            </w:r>
          </w:p>
        </w:tc>
        <w:tc>
          <w:tcPr>
            <w:tcW w:w="2721" w:type="dxa"/>
          </w:tcPr>
          <w:p w14:paraId="7D7AF992" w14:textId="5825B856" w:rsidR="00CC1CD2" w:rsidRDefault="00CC1CD2" w:rsidP="00AF4CAA">
            <w:pPr>
              <w:pStyle w:val="NoSpacing"/>
            </w:pPr>
            <w:r>
              <w:t>Free Democratic</w:t>
            </w:r>
          </w:p>
        </w:tc>
        <w:tc>
          <w:tcPr>
            <w:tcW w:w="2721" w:type="dxa"/>
          </w:tcPr>
          <w:p w14:paraId="71C5430F" w14:textId="1E6D73BE" w:rsidR="00CC1CD2" w:rsidRDefault="00CC1CD2" w:rsidP="00AF4CAA">
            <w:pPr>
              <w:pStyle w:val="NoSpacing"/>
            </w:pPr>
            <w:r>
              <w:t>1904-1910</w:t>
            </w:r>
          </w:p>
        </w:tc>
      </w:tr>
      <w:tr w:rsidR="00CC1CD2" w14:paraId="5A178D76" w14:textId="77777777" w:rsidTr="00EE3938">
        <w:tc>
          <w:tcPr>
            <w:tcW w:w="842" w:type="dxa"/>
          </w:tcPr>
          <w:p w14:paraId="6A417191" w14:textId="6BEC735C" w:rsidR="00CC1CD2" w:rsidRDefault="00CC1CD2" w:rsidP="00AF4CAA">
            <w:pPr>
              <w:pStyle w:val="NoSpacing"/>
            </w:pPr>
            <w:r>
              <w:t xml:space="preserve">24. </w:t>
            </w:r>
          </w:p>
        </w:tc>
        <w:tc>
          <w:tcPr>
            <w:tcW w:w="3061" w:type="dxa"/>
          </w:tcPr>
          <w:p w14:paraId="6BAEA569" w14:textId="6EDE6BDB" w:rsidR="00CC1CD2" w:rsidRDefault="00CC1CD2" w:rsidP="00AF4CAA">
            <w:pPr>
              <w:pStyle w:val="NoSpacing"/>
            </w:pPr>
            <w:r>
              <w:t>Martin Fueger</w:t>
            </w:r>
          </w:p>
        </w:tc>
        <w:tc>
          <w:tcPr>
            <w:tcW w:w="2721" w:type="dxa"/>
          </w:tcPr>
          <w:p w14:paraId="260C8FE7" w14:textId="5E0EFFF8" w:rsidR="00CC1CD2" w:rsidRDefault="00CC1CD2" w:rsidP="00AF4CAA">
            <w:pPr>
              <w:pStyle w:val="NoSpacing"/>
            </w:pPr>
            <w:r>
              <w:t>Free Democratic</w:t>
            </w:r>
          </w:p>
        </w:tc>
        <w:tc>
          <w:tcPr>
            <w:tcW w:w="2721" w:type="dxa"/>
          </w:tcPr>
          <w:p w14:paraId="4AF953FA" w14:textId="535032B2" w:rsidR="00CC1CD2" w:rsidRDefault="00CC1CD2" w:rsidP="00AF4CAA">
            <w:pPr>
              <w:pStyle w:val="NoSpacing"/>
            </w:pPr>
            <w:r>
              <w:t>1910-1916</w:t>
            </w:r>
          </w:p>
        </w:tc>
      </w:tr>
      <w:tr w:rsidR="00CC1CD2" w14:paraId="3BF1E8E7" w14:textId="77777777" w:rsidTr="00EE3938">
        <w:tc>
          <w:tcPr>
            <w:tcW w:w="842" w:type="dxa"/>
          </w:tcPr>
          <w:p w14:paraId="21C9B1B7" w14:textId="691280AA" w:rsidR="00CC1CD2" w:rsidRDefault="00CC1CD2" w:rsidP="00AF4CAA">
            <w:pPr>
              <w:pStyle w:val="NoSpacing"/>
            </w:pPr>
            <w:r>
              <w:t>25.</w:t>
            </w:r>
          </w:p>
        </w:tc>
        <w:tc>
          <w:tcPr>
            <w:tcW w:w="3061" w:type="dxa"/>
          </w:tcPr>
          <w:p w14:paraId="51B3805D" w14:textId="5AD364BC" w:rsidR="00CC1CD2" w:rsidRDefault="00CC1CD2" w:rsidP="00AF4CAA">
            <w:pPr>
              <w:pStyle w:val="NoSpacing"/>
            </w:pPr>
            <w:r>
              <w:t>Paul Drennan Cravath</w:t>
            </w:r>
          </w:p>
        </w:tc>
        <w:tc>
          <w:tcPr>
            <w:tcW w:w="2721" w:type="dxa"/>
          </w:tcPr>
          <w:p w14:paraId="6E50432E" w14:textId="2D02AD7F" w:rsidR="00CC1CD2" w:rsidRDefault="00CC1CD2" w:rsidP="00AF4CAA">
            <w:pPr>
              <w:pStyle w:val="NoSpacing"/>
            </w:pPr>
            <w:r>
              <w:t>Radical</w:t>
            </w:r>
          </w:p>
        </w:tc>
        <w:tc>
          <w:tcPr>
            <w:tcW w:w="2721" w:type="dxa"/>
          </w:tcPr>
          <w:p w14:paraId="182E1BEC" w14:textId="2E94A163" w:rsidR="00CC1CD2" w:rsidRDefault="00CC1CD2" w:rsidP="00AF4CAA">
            <w:pPr>
              <w:pStyle w:val="NoSpacing"/>
            </w:pPr>
            <w:r>
              <w:t>1916-1922</w:t>
            </w:r>
          </w:p>
        </w:tc>
      </w:tr>
      <w:tr w:rsidR="00CC1CD2" w14:paraId="7613C8BF" w14:textId="77777777" w:rsidTr="00EE3938">
        <w:tc>
          <w:tcPr>
            <w:tcW w:w="842" w:type="dxa"/>
          </w:tcPr>
          <w:p w14:paraId="730B3E5B" w14:textId="05DED77F" w:rsidR="00CC1CD2" w:rsidRDefault="00CC1CD2" w:rsidP="00AF4CAA">
            <w:pPr>
              <w:pStyle w:val="NoSpacing"/>
            </w:pPr>
            <w:r>
              <w:t xml:space="preserve">26. </w:t>
            </w:r>
          </w:p>
        </w:tc>
        <w:tc>
          <w:tcPr>
            <w:tcW w:w="3061" w:type="dxa"/>
          </w:tcPr>
          <w:p w14:paraId="11641A0E" w14:textId="7DB5EA35" w:rsidR="00CC1CD2" w:rsidRDefault="00CC1CD2" w:rsidP="00AF4CAA">
            <w:pPr>
              <w:pStyle w:val="NoSpacing"/>
            </w:pPr>
            <w:r>
              <w:t>Robert Brinkerhoff</w:t>
            </w:r>
          </w:p>
        </w:tc>
        <w:tc>
          <w:tcPr>
            <w:tcW w:w="2721" w:type="dxa"/>
          </w:tcPr>
          <w:p w14:paraId="48483B44" w14:textId="10C42B40" w:rsidR="00CC1CD2" w:rsidRDefault="00CC1CD2" w:rsidP="00AF4CAA">
            <w:pPr>
              <w:pStyle w:val="NoSpacing"/>
            </w:pPr>
            <w:r>
              <w:t>Radical</w:t>
            </w:r>
          </w:p>
        </w:tc>
        <w:tc>
          <w:tcPr>
            <w:tcW w:w="2721" w:type="dxa"/>
          </w:tcPr>
          <w:p w14:paraId="161671AD" w14:textId="6294CAD0" w:rsidR="00CC1CD2" w:rsidRDefault="00CC1CD2" w:rsidP="00AF4CAA">
            <w:pPr>
              <w:pStyle w:val="NoSpacing"/>
            </w:pPr>
            <w:r>
              <w:t>1922-1928</w:t>
            </w:r>
          </w:p>
        </w:tc>
      </w:tr>
      <w:tr w:rsidR="00CC1CD2" w14:paraId="20ABF144" w14:textId="77777777" w:rsidTr="00EE3938">
        <w:tc>
          <w:tcPr>
            <w:tcW w:w="842" w:type="dxa"/>
          </w:tcPr>
          <w:p w14:paraId="17DCD6F3" w14:textId="50FDDF87" w:rsidR="00CC1CD2" w:rsidRDefault="00CC1CD2" w:rsidP="00AF4CAA">
            <w:pPr>
              <w:pStyle w:val="NoSpacing"/>
            </w:pPr>
            <w:r>
              <w:t xml:space="preserve">27. </w:t>
            </w:r>
          </w:p>
        </w:tc>
        <w:tc>
          <w:tcPr>
            <w:tcW w:w="3061" w:type="dxa"/>
          </w:tcPr>
          <w:p w14:paraId="0E2EEE90" w14:textId="6359C199" w:rsidR="00CC1CD2" w:rsidRDefault="00CC1CD2" w:rsidP="00AF4CAA">
            <w:pPr>
              <w:pStyle w:val="NoSpacing"/>
            </w:pPr>
            <w:r>
              <w:t>Pancrace Landry</w:t>
            </w:r>
          </w:p>
        </w:tc>
        <w:tc>
          <w:tcPr>
            <w:tcW w:w="2721" w:type="dxa"/>
          </w:tcPr>
          <w:p w14:paraId="3982CC53" w14:textId="2452D137" w:rsidR="00CC1CD2" w:rsidRDefault="00CC1CD2" w:rsidP="00AF4CAA">
            <w:pPr>
              <w:pStyle w:val="NoSpacing"/>
            </w:pPr>
            <w:r>
              <w:t>Free Democratic</w:t>
            </w:r>
          </w:p>
        </w:tc>
        <w:tc>
          <w:tcPr>
            <w:tcW w:w="2721" w:type="dxa"/>
          </w:tcPr>
          <w:p w14:paraId="69E566F7" w14:textId="62D027D1" w:rsidR="00CC1CD2" w:rsidRDefault="00CC1CD2" w:rsidP="00AF4CAA">
            <w:pPr>
              <w:pStyle w:val="NoSpacing"/>
            </w:pPr>
            <w:r>
              <w:t>1928-1934</w:t>
            </w:r>
          </w:p>
        </w:tc>
      </w:tr>
      <w:tr w:rsidR="00CC1CD2" w14:paraId="187C6AFF" w14:textId="77777777" w:rsidTr="00EE3938">
        <w:tc>
          <w:tcPr>
            <w:tcW w:w="842" w:type="dxa"/>
          </w:tcPr>
          <w:p w14:paraId="37C1F656" w14:textId="36752751" w:rsidR="00CC1CD2" w:rsidRDefault="00CC1CD2" w:rsidP="00AF4CAA">
            <w:pPr>
              <w:pStyle w:val="NoSpacing"/>
            </w:pPr>
            <w:r>
              <w:t xml:space="preserve">28. </w:t>
            </w:r>
          </w:p>
        </w:tc>
        <w:tc>
          <w:tcPr>
            <w:tcW w:w="3061" w:type="dxa"/>
          </w:tcPr>
          <w:p w14:paraId="2714152A" w14:textId="083D0318" w:rsidR="00CC1CD2" w:rsidRDefault="00CC1CD2" w:rsidP="00AF4CAA">
            <w:pPr>
              <w:pStyle w:val="NoSpacing"/>
            </w:pPr>
            <w:r>
              <w:t>Leonidas C. Dyer</w:t>
            </w:r>
          </w:p>
        </w:tc>
        <w:tc>
          <w:tcPr>
            <w:tcW w:w="2721" w:type="dxa"/>
          </w:tcPr>
          <w:p w14:paraId="487CB084" w14:textId="1351B722" w:rsidR="00CC1CD2" w:rsidRDefault="00CC1CD2" w:rsidP="00AF4CAA">
            <w:pPr>
              <w:pStyle w:val="NoSpacing"/>
            </w:pPr>
            <w:r>
              <w:t>Free Democratic</w:t>
            </w:r>
          </w:p>
        </w:tc>
        <w:tc>
          <w:tcPr>
            <w:tcW w:w="2721" w:type="dxa"/>
          </w:tcPr>
          <w:p w14:paraId="728CA3FF" w14:textId="7466062E" w:rsidR="00CC1CD2" w:rsidRDefault="00CC1CD2" w:rsidP="00AF4CAA">
            <w:pPr>
              <w:pStyle w:val="NoSpacing"/>
            </w:pPr>
            <w:r>
              <w:t>1934-1940</w:t>
            </w:r>
          </w:p>
        </w:tc>
      </w:tr>
      <w:tr w:rsidR="00CC1CD2" w14:paraId="0CACD09B" w14:textId="77777777" w:rsidTr="00EE3938">
        <w:tc>
          <w:tcPr>
            <w:tcW w:w="842" w:type="dxa"/>
          </w:tcPr>
          <w:p w14:paraId="53AF0AC2" w14:textId="47723022" w:rsidR="00CC1CD2" w:rsidRDefault="00CC1CD2" w:rsidP="00AF4CAA">
            <w:pPr>
              <w:pStyle w:val="NoSpacing"/>
            </w:pPr>
            <w:r>
              <w:t xml:space="preserve">29. </w:t>
            </w:r>
          </w:p>
        </w:tc>
        <w:tc>
          <w:tcPr>
            <w:tcW w:w="3061" w:type="dxa"/>
          </w:tcPr>
          <w:p w14:paraId="7D3C9069" w14:textId="78536E8C" w:rsidR="00CC1CD2" w:rsidRDefault="00CC1CD2" w:rsidP="00AF4CAA">
            <w:pPr>
              <w:pStyle w:val="NoSpacing"/>
            </w:pPr>
            <w:r>
              <w:t>Robert G. Menzies</w:t>
            </w:r>
          </w:p>
        </w:tc>
        <w:tc>
          <w:tcPr>
            <w:tcW w:w="2721" w:type="dxa"/>
          </w:tcPr>
          <w:p w14:paraId="177D077B" w14:textId="18E4E1DF" w:rsidR="00CC1CD2" w:rsidRDefault="00CC1CD2" w:rsidP="00AF4CAA">
            <w:pPr>
              <w:pStyle w:val="NoSpacing"/>
            </w:pPr>
            <w:r>
              <w:t>Radical</w:t>
            </w:r>
          </w:p>
        </w:tc>
        <w:tc>
          <w:tcPr>
            <w:tcW w:w="2721" w:type="dxa"/>
          </w:tcPr>
          <w:p w14:paraId="3294AC90" w14:textId="1F442E9A" w:rsidR="00CC1CD2" w:rsidRDefault="00CC1CD2" w:rsidP="00AF4CAA">
            <w:pPr>
              <w:pStyle w:val="NoSpacing"/>
            </w:pPr>
            <w:r>
              <w:t>1940-1946</w:t>
            </w:r>
          </w:p>
        </w:tc>
      </w:tr>
      <w:tr w:rsidR="00CC1CD2" w14:paraId="71F82269" w14:textId="77777777" w:rsidTr="00EE3938">
        <w:tc>
          <w:tcPr>
            <w:tcW w:w="842" w:type="dxa"/>
          </w:tcPr>
          <w:p w14:paraId="6D7C00C7" w14:textId="02AD5CCD" w:rsidR="00CC1CD2" w:rsidRDefault="00CC1CD2" w:rsidP="00AF4CAA">
            <w:pPr>
              <w:pStyle w:val="NoSpacing"/>
            </w:pPr>
            <w:r>
              <w:t xml:space="preserve">30. </w:t>
            </w:r>
          </w:p>
        </w:tc>
        <w:tc>
          <w:tcPr>
            <w:tcW w:w="3061" w:type="dxa"/>
          </w:tcPr>
          <w:p w14:paraId="4936BDF7" w14:textId="70E3D51E" w:rsidR="00CC1CD2" w:rsidRDefault="00CC1CD2" w:rsidP="00AF4CAA">
            <w:pPr>
              <w:pStyle w:val="NoSpacing"/>
            </w:pPr>
            <w:r>
              <w:t>Herman Trisch</w:t>
            </w:r>
          </w:p>
        </w:tc>
        <w:tc>
          <w:tcPr>
            <w:tcW w:w="2721" w:type="dxa"/>
          </w:tcPr>
          <w:p w14:paraId="54228751" w14:textId="46818F8B" w:rsidR="00CC1CD2" w:rsidRDefault="00CC1CD2" w:rsidP="00AF4CAA">
            <w:pPr>
              <w:pStyle w:val="NoSpacing"/>
            </w:pPr>
            <w:r>
              <w:t>Free Democratic</w:t>
            </w:r>
          </w:p>
        </w:tc>
        <w:tc>
          <w:tcPr>
            <w:tcW w:w="2721" w:type="dxa"/>
          </w:tcPr>
          <w:p w14:paraId="4BAE1F6B" w14:textId="786EB6E0" w:rsidR="00CC1CD2" w:rsidRDefault="00CC1CD2" w:rsidP="00AF4CAA">
            <w:pPr>
              <w:pStyle w:val="NoSpacing"/>
            </w:pPr>
            <w:r>
              <w:t>1946-1950</w:t>
            </w:r>
          </w:p>
        </w:tc>
      </w:tr>
      <w:tr w:rsidR="00CC1CD2" w14:paraId="51EFE893" w14:textId="77777777" w:rsidTr="00EE3938">
        <w:tc>
          <w:tcPr>
            <w:tcW w:w="842" w:type="dxa"/>
          </w:tcPr>
          <w:p w14:paraId="7B644CA8" w14:textId="4FCDCCC9" w:rsidR="00CC1CD2" w:rsidRDefault="00CC1CD2" w:rsidP="00AF4CAA">
            <w:pPr>
              <w:pStyle w:val="NoSpacing"/>
            </w:pPr>
            <w:r>
              <w:t xml:space="preserve">31. </w:t>
            </w:r>
          </w:p>
        </w:tc>
        <w:tc>
          <w:tcPr>
            <w:tcW w:w="3061" w:type="dxa"/>
          </w:tcPr>
          <w:p w14:paraId="51DDCEB4" w14:textId="6C7E74B3" w:rsidR="00CC1CD2" w:rsidRDefault="00BE1857" w:rsidP="00AF4CAA">
            <w:pPr>
              <w:pStyle w:val="NoSpacing"/>
            </w:pPr>
            <w:r>
              <w:t>Bess</w:t>
            </w:r>
            <w:r w:rsidR="00CC1CD2">
              <w:t xml:space="preserve"> Gervasi</w:t>
            </w:r>
          </w:p>
        </w:tc>
        <w:tc>
          <w:tcPr>
            <w:tcW w:w="2721" w:type="dxa"/>
          </w:tcPr>
          <w:p w14:paraId="454FAB07" w14:textId="14ABCD5D" w:rsidR="00CC1CD2" w:rsidRDefault="00CC1CD2" w:rsidP="00AF4CAA">
            <w:pPr>
              <w:pStyle w:val="NoSpacing"/>
            </w:pPr>
            <w:r>
              <w:t>Free Democratic</w:t>
            </w:r>
          </w:p>
        </w:tc>
        <w:tc>
          <w:tcPr>
            <w:tcW w:w="2721" w:type="dxa"/>
          </w:tcPr>
          <w:p w14:paraId="1C610B01" w14:textId="2DBF99B7" w:rsidR="00CC1CD2" w:rsidRDefault="00CC1CD2" w:rsidP="00AF4CAA">
            <w:pPr>
              <w:pStyle w:val="NoSpacing"/>
            </w:pPr>
            <w:r>
              <w:t>1950-1958</w:t>
            </w:r>
          </w:p>
        </w:tc>
      </w:tr>
      <w:tr w:rsidR="00CC1CD2" w14:paraId="6EE261E0" w14:textId="77777777" w:rsidTr="00EE3938">
        <w:tc>
          <w:tcPr>
            <w:tcW w:w="842" w:type="dxa"/>
          </w:tcPr>
          <w:p w14:paraId="28F154A1" w14:textId="25360A39" w:rsidR="00CC1CD2" w:rsidRDefault="00CC1CD2" w:rsidP="00AF4CAA">
            <w:pPr>
              <w:pStyle w:val="NoSpacing"/>
            </w:pPr>
            <w:r>
              <w:t xml:space="preserve">32. </w:t>
            </w:r>
          </w:p>
        </w:tc>
        <w:tc>
          <w:tcPr>
            <w:tcW w:w="3061" w:type="dxa"/>
          </w:tcPr>
          <w:p w14:paraId="4D4877E2" w14:textId="5FB97607" w:rsidR="00CC1CD2" w:rsidRDefault="00CC1CD2" w:rsidP="00AF4CAA">
            <w:pPr>
              <w:pStyle w:val="NoSpacing"/>
            </w:pPr>
            <w:r>
              <w:t>Zimri Kovack</w:t>
            </w:r>
          </w:p>
        </w:tc>
        <w:tc>
          <w:tcPr>
            <w:tcW w:w="2721" w:type="dxa"/>
          </w:tcPr>
          <w:p w14:paraId="702BF94F" w14:textId="1CD45FA9" w:rsidR="00CC1CD2" w:rsidRDefault="00CC1CD2" w:rsidP="00AF4CAA">
            <w:pPr>
              <w:pStyle w:val="NoSpacing"/>
            </w:pPr>
            <w:r>
              <w:t>Radical</w:t>
            </w:r>
          </w:p>
        </w:tc>
        <w:tc>
          <w:tcPr>
            <w:tcW w:w="2721" w:type="dxa"/>
          </w:tcPr>
          <w:p w14:paraId="62082E3A" w14:textId="1117C506" w:rsidR="00CC1CD2" w:rsidRDefault="00CC1CD2" w:rsidP="00AF4CAA">
            <w:pPr>
              <w:pStyle w:val="NoSpacing"/>
            </w:pPr>
            <w:r>
              <w:t>1958-1964</w:t>
            </w:r>
          </w:p>
        </w:tc>
      </w:tr>
      <w:tr w:rsidR="00CC1CD2" w14:paraId="1F5B916B" w14:textId="77777777" w:rsidTr="00EE3938">
        <w:tc>
          <w:tcPr>
            <w:tcW w:w="842" w:type="dxa"/>
          </w:tcPr>
          <w:p w14:paraId="6FBB569F" w14:textId="2532F6F7" w:rsidR="00CC1CD2" w:rsidRDefault="00CC1CD2" w:rsidP="00AF4CAA">
            <w:pPr>
              <w:pStyle w:val="NoSpacing"/>
            </w:pPr>
            <w:r>
              <w:t xml:space="preserve">33. </w:t>
            </w:r>
          </w:p>
        </w:tc>
        <w:tc>
          <w:tcPr>
            <w:tcW w:w="3061" w:type="dxa"/>
          </w:tcPr>
          <w:p w14:paraId="00F7175D" w14:textId="705F6207" w:rsidR="00CC1CD2" w:rsidRDefault="00CC1CD2" w:rsidP="00AF4CAA">
            <w:pPr>
              <w:pStyle w:val="NoSpacing"/>
            </w:pPr>
            <w:r>
              <w:t>Gerhardt Stiller</w:t>
            </w:r>
          </w:p>
        </w:tc>
        <w:tc>
          <w:tcPr>
            <w:tcW w:w="2721" w:type="dxa"/>
          </w:tcPr>
          <w:p w14:paraId="2247F92B" w14:textId="387DCA0F" w:rsidR="00CC1CD2" w:rsidRDefault="00CC1CD2" w:rsidP="00AF4CAA">
            <w:pPr>
              <w:pStyle w:val="NoSpacing"/>
            </w:pPr>
            <w:r>
              <w:t>Radical</w:t>
            </w:r>
          </w:p>
        </w:tc>
        <w:tc>
          <w:tcPr>
            <w:tcW w:w="2721" w:type="dxa"/>
          </w:tcPr>
          <w:p w14:paraId="3E2EAACF" w14:textId="48852D8D" w:rsidR="00CC1CD2" w:rsidRDefault="00CC1CD2" w:rsidP="00AF4CAA">
            <w:pPr>
              <w:pStyle w:val="NoSpacing"/>
            </w:pPr>
            <w:r>
              <w:t>1964-1970</w:t>
            </w:r>
          </w:p>
        </w:tc>
      </w:tr>
      <w:tr w:rsidR="00065F69" w14:paraId="4EF0B7E3" w14:textId="77777777" w:rsidTr="00EE3938">
        <w:tc>
          <w:tcPr>
            <w:tcW w:w="842" w:type="dxa"/>
          </w:tcPr>
          <w:p w14:paraId="4539C5B5" w14:textId="5B6FFE3E" w:rsidR="00065F69" w:rsidRDefault="00CC1CD2" w:rsidP="00AF4CAA">
            <w:pPr>
              <w:pStyle w:val="NoSpacing"/>
            </w:pPr>
            <w:r>
              <w:t xml:space="preserve">34. </w:t>
            </w:r>
          </w:p>
        </w:tc>
        <w:tc>
          <w:tcPr>
            <w:tcW w:w="3061" w:type="dxa"/>
          </w:tcPr>
          <w:p w14:paraId="54629335" w14:textId="0C681A21" w:rsidR="00065F69" w:rsidRDefault="00065F69" w:rsidP="00AF4CAA">
            <w:pPr>
              <w:pStyle w:val="NoSpacing"/>
            </w:pPr>
            <w:r>
              <w:t xml:space="preserve">Milton </w:t>
            </w:r>
            <w:proofErr w:type="spellStart"/>
            <w:r>
              <w:t>Soozoocky</w:t>
            </w:r>
            <w:proofErr w:type="spellEnd"/>
          </w:p>
        </w:tc>
        <w:tc>
          <w:tcPr>
            <w:tcW w:w="2721" w:type="dxa"/>
          </w:tcPr>
          <w:p w14:paraId="64B64C04" w14:textId="36F08084" w:rsidR="00065F69" w:rsidRDefault="00065F69" w:rsidP="00AF4CAA">
            <w:pPr>
              <w:pStyle w:val="NoSpacing"/>
            </w:pPr>
            <w:r>
              <w:t>Free Democratic</w:t>
            </w:r>
          </w:p>
        </w:tc>
        <w:tc>
          <w:tcPr>
            <w:tcW w:w="2721" w:type="dxa"/>
          </w:tcPr>
          <w:p w14:paraId="408F27A5" w14:textId="13B2C75E" w:rsidR="00065F69" w:rsidRDefault="00065F69" w:rsidP="00AF4CAA">
            <w:pPr>
              <w:pStyle w:val="NoSpacing"/>
            </w:pPr>
            <w:r>
              <w:t>1970-1976</w:t>
            </w:r>
          </w:p>
        </w:tc>
      </w:tr>
    </w:tbl>
    <w:p w14:paraId="3010F322" w14:textId="2411684B" w:rsidR="008246EF" w:rsidRDefault="008246EF" w:rsidP="00AF4CAA">
      <w:pPr>
        <w:pStyle w:val="NoSpacing"/>
      </w:pPr>
    </w:p>
    <w:p w14:paraId="735E3221" w14:textId="77777777" w:rsidR="00112636" w:rsidRDefault="00112636" w:rsidP="00112636">
      <w:pPr>
        <w:pStyle w:val="NoSpacing"/>
      </w:pPr>
      <w:r>
        <w:br w:type="page"/>
      </w:r>
    </w:p>
    <w:p w14:paraId="38DB8BDF" w14:textId="55588605" w:rsidR="008246EF" w:rsidRDefault="008246EF" w:rsidP="008246EF">
      <w:pPr>
        <w:pStyle w:val="Heading1"/>
      </w:pPr>
      <w:bookmarkStart w:id="68" w:name="_Toc202006254"/>
      <w:r>
        <w:lastRenderedPageBreak/>
        <w:t xml:space="preserve">Appendix </w:t>
      </w:r>
      <w:r w:rsidR="004F18E2">
        <w:t>5</w:t>
      </w:r>
      <w:r>
        <w:t xml:space="preserve">. Leaders of the </w:t>
      </w:r>
      <w:r w:rsidR="001F2B9D">
        <w:t>Monetary</w:t>
      </w:r>
      <w:r>
        <w:t xml:space="preserve"> Authority</w:t>
      </w:r>
      <w:r w:rsidR="001F2B9D">
        <w:t xml:space="preserve"> of the United States</w:t>
      </w:r>
      <w:bookmarkEnd w:id="68"/>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5783"/>
        <w:gridCol w:w="2721"/>
      </w:tblGrid>
      <w:tr w:rsidR="00306084" w:rsidRPr="002B45C0" w14:paraId="49C0752D" w14:textId="77777777" w:rsidTr="00306084">
        <w:tc>
          <w:tcPr>
            <w:tcW w:w="842" w:type="dxa"/>
            <w:tcBorders>
              <w:bottom w:val="single" w:sz="4" w:space="0" w:color="auto"/>
            </w:tcBorders>
          </w:tcPr>
          <w:p w14:paraId="126543A6" w14:textId="77777777" w:rsidR="00306084" w:rsidRPr="002B45C0" w:rsidRDefault="00306084" w:rsidP="00AF4CAA">
            <w:pPr>
              <w:pStyle w:val="NoSpacing"/>
              <w:rPr>
                <w:b/>
                <w:bCs/>
              </w:rPr>
            </w:pPr>
          </w:p>
        </w:tc>
        <w:tc>
          <w:tcPr>
            <w:tcW w:w="5783" w:type="dxa"/>
            <w:tcBorders>
              <w:bottom w:val="single" w:sz="4" w:space="0" w:color="auto"/>
            </w:tcBorders>
          </w:tcPr>
          <w:p w14:paraId="51E0F20C" w14:textId="21D9E3A8" w:rsidR="00306084" w:rsidRPr="002B45C0" w:rsidRDefault="00306084" w:rsidP="00AF4CAA">
            <w:pPr>
              <w:pStyle w:val="NoSpacing"/>
              <w:rPr>
                <w:b/>
                <w:bCs/>
              </w:rPr>
            </w:pPr>
            <w:r w:rsidRPr="002B45C0">
              <w:rPr>
                <w:b/>
                <w:bCs/>
              </w:rPr>
              <w:t>Presidents of the Bank of North America</w:t>
            </w:r>
          </w:p>
        </w:tc>
        <w:tc>
          <w:tcPr>
            <w:tcW w:w="2721" w:type="dxa"/>
            <w:tcBorders>
              <w:bottom w:val="single" w:sz="4" w:space="0" w:color="auto"/>
            </w:tcBorders>
          </w:tcPr>
          <w:p w14:paraId="08A8AB4E" w14:textId="77777777" w:rsidR="00306084" w:rsidRPr="002B45C0" w:rsidRDefault="00306084" w:rsidP="00AF4CAA">
            <w:pPr>
              <w:pStyle w:val="NoSpacing"/>
              <w:rPr>
                <w:b/>
                <w:bCs/>
              </w:rPr>
            </w:pPr>
            <w:r w:rsidRPr="002B45C0">
              <w:rPr>
                <w:b/>
                <w:bCs/>
              </w:rPr>
              <w:t>Administration</w:t>
            </w:r>
          </w:p>
        </w:tc>
      </w:tr>
      <w:tr w:rsidR="00306084" w14:paraId="3398A87D" w14:textId="77777777" w:rsidTr="00306084">
        <w:tc>
          <w:tcPr>
            <w:tcW w:w="842" w:type="dxa"/>
            <w:tcBorders>
              <w:top w:val="single" w:sz="4" w:space="0" w:color="auto"/>
            </w:tcBorders>
          </w:tcPr>
          <w:p w14:paraId="775C0EC5" w14:textId="77777777" w:rsidR="00306084" w:rsidRDefault="00306084" w:rsidP="00AF4CAA">
            <w:pPr>
              <w:pStyle w:val="NoSpacing"/>
            </w:pPr>
            <w:r>
              <w:t>1.</w:t>
            </w:r>
          </w:p>
        </w:tc>
        <w:tc>
          <w:tcPr>
            <w:tcW w:w="5783" w:type="dxa"/>
            <w:tcBorders>
              <w:top w:val="single" w:sz="4" w:space="0" w:color="auto"/>
            </w:tcBorders>
          </w:tcPr>
          <w:p w14:paraId="21AF8A16" w14:textId="0974586D" w:rsidR="00306084" w:rsidRDefault="00306084" w:rsidP="00AF4CAA">
            <w:pPr>
              <w:pStyle w:val="NoSpacing"/>
            </w:pPr>
            <w:r>
              <w:t>Thomas Willing</w:t>
            </w:r>
          </w:p>
        </w:tc>
        <w:tc>
          <w:tcPr>
            <w:tcW w:w="2721" w:type="dxa"/>
            <w:tcBorders>
              <w:top w:val="single" w:sz="4" w:space="0" w:color="auto"/>
            </w:tcBorders>
          </w:tcPr>
          <w:p w14:paraId="56CA8D39" w14:textId="28475420" w:rsidR="00306084" w:rsidRDefault="00306084" w:rsidP="00AF4CAA">
            <w:pPr>
              <w:pStyle w:val="NoSpacing"/>
            </w:pPr>
            <w:r>
              <w:t>1781-1791</w:t>
            </w:r>
          </w:p>
        </w:tc>
      </w:tr>
      <w:tr w:rsidR="00306084" w14:paraId="30989849" w14:textId="77777777" w:rsidTr="00306084">
        <w:tc>
          <w:tcPr>
            <w:tcW w:w="842" w:type="dxa"/>
          </w:tcPr>
          <w:p w14:paraId="468C1D37" w14:textId="77777777" w:rsidR="00306084" w:rsidRDefault="00306084" w:rsidP="00AF4CAA">
            <w:pPr>
              <w:pStyle w:val="NoSpacing"/>
            </w:pPr>
          </w:p>
        </w:tc>
        <w:tc>
          <w:tcPr>
            <w:tcW w:w="5783" w:type="dxa"/>
          </w:tcPr>
          <w:p w14:paraId="08499AFB" w14:textId="77777777" w:rsidR="00306084" w:rsidRDefault="00306084" w:rsidP="00AF4CAA">
            <w:pPr>
              <w:pStyle w:val="NoSpacing"/>
            </w:pPr>
          </w:p>
        </w:tc>
        <w:tc>
          <w:tcPr>
            <w:tcW w:w="2721" w:type="dxa"/>
          </w:tcPr>
          <w:p w14:paraId="0ACB340D" w14:textId="77777777" w:rsidR="00306084" w:rsidRDefault="00306084" w:rsidP="00AF4CAA">
            <w:pPr>
              <w:pStyle w:val="NoSpacing"/>
            </w:pPr>
          </w:p>
        </w:tc>
      </w:tr>
      <w:tr w:rsidR="00306084" w:rsidRPr="002B45C0" w14:paraId="02E5D7F2" w14:textId="77777777" w:rsidTr="00306084">
        <w:tc>
          <w:tcPr>
            <w:tcW w:w="842" w:type="dxa"/>
            <w:tcBorders>
              <w:bottom w:val="single" w:sz="4" w:space="0" w:color="auto"/>
            </w:tcBorders>
          </w:tcPr>
          <w:p w14:paraId="73C8CB35" w14:textId="77777777" w:rsidR="00306084" w:rsidRPr="002B45C0" w:rsidRDefault="00306084" w:rsidP="00AF4CAA">
            <w:pPr>
              <w:pStyle w:val="NoSpacing"/>
              <w:rPr>
                <w:b/>
                <w:bCs/>
              </w:rPr>
            </w:pPr>
          </w:p>
        </w:tc>
        <w:tc>
          <w:tcPr>
            <w:tcW w:w="5783" w:type="dxa"/>
            <w:tcBorders>
              <w:bottom w:val="single" w:sz="4" w:space="0" w:color="auto"/>
            </w:tcBorders>
          </w:tcPr>
          <w:p w14:paraId="7928ADAF" w14:textId="1E6AF760" w:rsidR="00306084" w:rsidRPr="002B45C0" w:rsidRDefault="00306084" w:rsidP="00AF4CAA">
            <w:pPr>
              <w:pStyle w:val="NoSpacing"/>
              <w:rPr>
                <w:b/>
                <w:bCs/>
              </w:rPr>
            </w:pPr>
            <w:r w:rsidRPr="002B45C0">
              <w:rPr>
                <w:b/>
                <w:bCs/>
              </w:rPr>
              <w:t>Presidents of the First Bank of the United States</w:t>
            </w:r>
          </w:p>
        </w:tc>
        <w:tc>
          <w:tcPr>
            <w:tcW w:w="2721" w:type="dxa"/>
            <w:tcBorders>
              <w:bottom w:val="single" w:sz="4" w:space="0" w:color="auto"/>
            </w:tcBorders>
          </w:tcPr>
          <w:p w14:paraId="289BFA80" w14:textId="476BA012" w:rsidR="00306084" w:rsidRPr="002B45C0" w:rsidRDefault="008D0E73" w:rsidP="00AF4CAA">
            <w:pPr>
              <w:pStyle w:val="NoSpacing"/>
              <w:rPr>
                <w:b/>
                <w:bCs/>
              </w:rPr>
            </w:pPr>
            <w:r w:rsidRPr="002B45C0">
              <w:rPr>
                <w:b/>
                <w:bCs/>
              </w:rPr>
              <w:t>Administration</w:t>
            </w:r>
          </w:p>
        </w:tc>
      </w:tr>
      <w:tr w:rsidR="00306084" w14:paraId="24454041" w14:textId="77777777" w:rsidTr="00306084">
        <w:tc>
          <w:tcPr>
            <w:tcW w:w="842" w:type="dxa"/>
            <w:tcBorders>
              <w:top w:val="single" w:sz="4" w:space="0" w:color="auto"/>
            </w:tcBorders>
          </w:tcPr>
          <w:p w14:paraId="028482A7" w14:textId="2143850D" w:rsidR="00306084" w:rsidRDefault="00306084" w:rsidP="00AF4CAA">
            <w:pPr>
              <w:pStyle w:val="NoSpacing"/>
            </w:pPr>
            <w:r>
              <w:t>1.</w:t>
            </w:r>
          </w:p>
        </w:tc>
        <w:tc>
          <w:tcPr>
            <w:tcW w:w="5783" w:type="dxa"/>
            <w:tcBorders>
              <w:top w:val="single" w:sz="4" w:space="0" w:color="auto"/>
            </w:tcBorders>
          </w:tcPr>
          <w:p w14:paraId="3094FFD5" w14:textId="2FAF6D0D" w:rsidR="00306084" w:rsidRDefault="00306084" w:rsidP="00AF4CAA">
            <w:pPr>
              <w:pStyle w:val="NoSpacing"/>
            </w:pPr>
            <w:r>
              <w:t>Thomas Willing</w:t>
            </w:r>
          </w:p>
        </w:tc>
        <w:tc>
          <w:tcPr>
            <w:tcW w:w="2721" w:type="dxa"/>
            <w:tcBorders>
              <w:top w:val="single" w:sz="4" w:space="0" w:color="auto"/>
            </w:tcBorders>
          </w:tcPr>
          <w:p w14:paraId="068B2CE0" w14:textId="3E7A7C38" w:rsidR="00306084" w:rsidRDefault="00306084" w:rsidP="00AF4CAA">
            <w:pPr>
              <w:pStyle w:val="NoSpacing"/>
            </w:pPr>
            <w:r>
              <w:t>1791-1807</w:t>
            </w:r>
          </w:p>
        </w:tc>
      </w:tr>
      <w:tr w:rsidR="00306084" w14:paraId="7812FF92" w14:textId="77777777" w:rsidTr="00306084">
        <w:tc>
          <w:tcPr>
            <w:tcW w:w="842" w:type="dxa"/>
          </w:tcPr>
          <w:p w14:paraId="0FBEBDE8" w14:textId="1746CF4D" w:rsidR="00306084" w:rsidRDefault="00306084" w:rsidP="00AF4CAA">
            <w:pPr>
              <w:pStyle w:val="NoSpacing"/>
            </w:pPr>
            <w:r>
              <w:t>2.</w:t>
            </w:r>
          </w:p>
        </w:tc>
        <w:tc>
          <w:tcPr>
            <w:tcW w:w="5783" w:type="dxa"/>
          </w:tcPr>
          <w:p w14:paraId="23881AEA" w14:textId="19166B4C" w:rsidR="00306084" w:rsidRDefault="00306084" w:rsidP="00AF4CAA">
            <w:pPr>
              <w:pStyle w:val="NoSpacing"/>
            </w:pPr>
            <w:r>
              <w:t>David Lenox</w:t>
            </w:r>
          </w:p>
        </w:tc>
        <w:tc>
          <w:tcPr>
            <w:tcW w:w="2721" w:type="dxa"/>
          </w:tcPr>
          <w:p w14:paraId="5D2F3BB9" w14:textId="18499FFB" w:rsidR="00306084" w:rsidRDefault="00306084" w:rsidP="00AF4CAA">
            <w:pPr>
              <w:pStyle w:val="NoSpacing"/>
            </w:pPr>
            <w:r>
              <w:t>1807-1811</w:t>
            </w:r>
          </w:p>
        </w:tc>
      </w:tr>
      <w:tr w:rsidR="00306084" w14:paraId="4CEA93CC" w14:textId="77777777" w:rsidTr="00306084">
        <w:tc>
          <w:tcPr>
            <w:tcW w:w="842" w:type="dxa"/>
          </w:tcPr>
          <w:p w14:paraId="0A676FA8" w14:textId="77777777" w:rsidR="00306084" w:rsidRDefault="00306084" w:rsidP="00AF4CAA">
            <w:pPr>
              <w:pStyle w:val="NoSpacing"/>
            </w:pPr>
          </w:p>
        </w:tc>
        <w:tc>
          <w:tcPr>
            <w:tcW w:w="5783" w:type="dxa"/>
          </w:tcPr>
          <w:p w14:paraId="3D334989" w14:textId="77777777" w:rsidR="00306084" w:rsidRDefault="00306084" w:rsidP="00AF4CAA">
            <w:pPr>
              <w:pStyle w:val="NoSpacing"/>
            </w:pPr>
          </w:p>
        </w:tc>
        <w:tc>
          <w:tcPr>
            <w:tcW w:w="2721" w:type="dxa"/>
          </w:tcPr>
          <w:p w14:paraId="7398EDE0" w14:textId="77777777" w:rsidR="00306084" w:rsidRDefault="00306084" w:rsidP="00AF4CAA">
            <w:pPr>
              <w:pStyle w:val="NoSpacing"/>
            </w:pPr>
          </w:p>
        </w:tc>
      </w:tr>
      <w:tr w:rsidR="00306084" w:rsidRPr="002B45C0" w14:paraId="6A4E1F05" w14:textId="77777777" w:rsidTr="00306084">
        <w:tc>
          <w:tcPr>
            <w:tcW w:w="842" w:type="dxa"/>
            <w:tcBorders>
              <w:bottom w:val="single" w:sz="4" w:space="0" w:color="auto"/>
            </w:tcBorders>
          </w:tcPr>
          <w:p w14:paraId="7757AD8D" w14:textId="77777777" w:rsidR="00306084" w:rsidRPr="002B45C0" w:rsidRDefault="00306084" w:rsidP="00AF4CAA">
            <w:pPr>
              <w:pStyle w:val="NoSpacing"/>
              <w:rPr>
                <w:b/>
                <w:bCs/>
              </w:rPr>
            </w:pPr>
          </w:p>
        </w:tc>
        <w:tc>
          <w:tcPr>
            <w:tcW w:w="5783" w:type="dxa"/>
            <w:tcBorders>
              <w:bottom w:val="single" w:sz="4" w:space="0" w:color="auto"/>
            </w:tcBorders>
          </w:tcPr>
          <w:p w14:paraId="79A9F3D4" w14:textId="4D46379A" w:rsidR="00306084" w:rsidRPr="002B45C0" w:rsidRDefault="00306084" w:rsidP="00AF4CAA">
            <w:pPr>
              <w:pStyle w:val="NoSpacing"/>
              <w:rPr>
                <w:b/>
                <w:bCs/>
              </w:rPr>
            </w:pPr>
            <w:r w:rsidRPr="002B45C0">
              <w:rPr>
                <w:b/>
                <w:bCs/>
              </w:rPr>
              <w:t>Presidents of the Second Bank of the United States</w:t>
            </w:r>
          </w:p>
        </w:tc>
        <w:tc>
          <w:tcPr>
            <w:tcW w:w="2721" w:type="dxa"/>
            <w:tcBorders>
              <w:bottom w:val="single" w:sz="4" w:space="0" w:color="auto"/>
            </w:tcBorders>
          </w:tcPr>
          <w:p w14:paraId="07FC04BB" w14:textId="5B6811FC" w:rsidR="00306084" w:rsidRPr="002B45C0" w:rsidRDefault="008D0E73" w:rsidP="00AF4CAA">
            <w:pPr>
              <w:pStyle w:val="NoSpacing"/>
              <w:rPr>
                <w:b/>
                <w:bCs/>
              </w:rPr>
            </w:pPr>
            <w:r w:rsidRPr="002B45C0">
              <w:rPr>
                <w:b/>
                <w:bCs/>
              </w:rPr>
              <w:t>Administration</w:t>
            </w:r>
          </w:p>
        </w:tc>
      </w:tr>
      <w:tr w:rsidR="00306084" w14:paraId="1ABB5A68" w14:textId="77777777" w:rsidTr="00306084">
        <w:tc>
          <w:tcPr>
            <w:tcW w:w="842" w:type="dxa"/>
            <w:tcBorders>
              <w:top w:val="single" w:sz="4" w:space="0" w:color="auto"/>
            </w:tcBorders>
          </w:tcPr>
          <w:p w14:paraId="0BE37C4D" w14:textId="769F6833" w:rsidR="00306084" w:rsidRDefault="00306084" w:rsidP="00AF4CAA">
            <w:pPr>
              <w:pStyle w:val="NoSpacing"/>
            </w:pPr>
            <w:r>
              <w:t>1.</w:t>
            </w:r>
            <w:r w:rsidR="003362DB">
              <w:t xml:space="preserve"> </w:t>
            </w:r>
          </w:p>
        </w:tc>
        <w:tc>
          <w:tcPr>
            <w:tcW w:w="5783" w:type="dxa"/>
            <w:tcBorders>
              <w:top w:val="single" w:sz="4" w:space="0" w:color="auto"/>
            </w:tcBorders>
          </w:tcPr>
          <w:p w14:paraId="31245DFB" w14:textId="60255511" w:rsidR="00306084" w:rsidRDefault="008D0E73" w:rsidP="00AF4CAA">
            <w:pPr>
              <w:pStyle w:val="NoSpacing"/>
            </w:pPr>
            <w:r>
              <w:t>Joshua Forman</w:t>
            </w:r>
          </w:p>
        </w:tc>
        <w:tc>
          <w:tcPr>
            <w:tcW w:w="2721" w:type="dxa"/>
            <w:tcBorders>
              <w:top w:val="single" w:sz="4" w:space="0" w:color="auto"/>
            </w:tcBorders>
          </w:tcPr>
          <w:p w14:paraId="48B67535" w14:textId="28EAB9CC" w:rsidR="00306084" w:rsidRDefault="00306084" w:rsidP="00AF4CAA">
            <w:pPr>
              <w:pStyle w:val="NoSpacing"/>
            </w:pPr>
            <w:r>
              <w:t>18</w:t>
            </w:r>
            <w:r w:rsidR="008D0E73">
              <w:t>25</w:t>
            </w:r>
            <w:r>
              <w:t>-18</w:t>
            </w:r>
            <w:r w:rsidR="008D0E73">
              <w:t>35</w:t>
            </w:r>
          </w:p>
        </w:tc>
      </w:tr>
      <w:tr w:rsidR="00306084" w14:paraId="7D3EF280" w14:textId="77777777" w:rsidTr="00306084">
        <w:tc>
          <w:tcPr>
            <w:tcW w:w="842" w:type="dxa"/>
          </w:tcPr>
          <w:p w14:paraId="20880DB1" w14:textId="42B94847" w:rsidR="00306084" w:rsidRDefault="008D0E73" w:rsidP="00AF4CAA">
            <w:pPr>
              <w:pStyle w:val="NoSpacing"/>
            </w:pPr>
            <w:r>
              <w:t>2</w:t>
            </w:r>
            <w:r w:rsidR="00306084">
              <w:t>.</w:t>
            </w:r>
            <w:r w:rsidR="003362DB">
              <w:t xml:space="preserve"> </w:t>
            </w:r>
          </w:p>
        </w:tc>
        <w:tc>
          <w:tcPr>
            <w:tcW w:w="5783" w:type="dxa"/>
          </w:tcPr>
          <w:p w14:paraId="1E8204D6" w14:textId="0BD04B94" w:rsidR="00306084" w:rsidRDefault="00902727" w:rsidP="00AF4CAA">
            <w:pPr>
              <w:pStyle w:val="NoSpacing"/>
            </w:pPr>
            <w:r>
              <w:t>Jonathan Thompson</w:t>
            </w:r>
          </w:p>
        </w:tc>
        <w:tc>
          <w:tcPr>
            <w:tcW w:w="2721" w:type="dxa"/>
          </w:tcPr>
          <w:p w14:paraId="0FDBC5C6" w14:textId="2482C97B" w:rsidR="00306084" w:rsidRDefault="00306084" w:rsidP="00AF4CAA">
            <w:pPr>
              <w:pStyle w:val="NoSpacing"/>
            </w:pPr>
            <w:r>
              <w:t>18</w:t>
            </w:r>
            <w:r w:rsidR="008D0E73">
              <w:t>35</w:t>
            </w:r>
            <w:r>
              <w:t>-18</w:t>
            </w:r>
            <w:r w:rsidR="008D0E73">
              <w:t>40</w:t>
            </w:r>
          </w:p>
        </w:tc>
      </w:tr>
      <w:tr w:rsidR="00306084" w14:paraId="37EB40F7" w14:textId="77777777" w:rsidTr="00306084">
        <w:tc>
          <w:tcPr>
            <w:tcW w:w="842" w:type="dxa"/>
          </w:tcPr>
          <w:p w14:paraId="72EA13D4" w14:textId="5916A40F" w:rsidR="00306084" w:rsidRDefault="00902727" w:rsidP="00AF4CAA">
            <w:pPr>
              <w:pStyle w:val="NoSpacing"/>
            </w:pPr>
            <w:r>
              <w:t>3</w:t>
            </w:r>
            <w:r w:rsidR="00306084">
              <w:t>.</w:t>
            </w:r>
            <w:r w:rsidR="003362DB">
              <w:t xml:space="preserve"> </w:t>
            </w:r>
          </w:p>
        </w:tc>
        <w:tc>
          <w:tcPr>
            <w:tcW w:w="5783" w:type="dxa"/>
          </w:tcPr>
          <w:p w14:paraId="1907AB9F" w14:textId="769D020B" w:rsidR="00306084" w:rsidRDefault="00832C64" w:rsidP="00AF4CAA">
            <w:pPr>
              <w:pStyle w:val="NoSpacing"/>
            </w:pPr>
            <w:r>
              <w:t>James Gadsden</w:t>
            </w:r>
          </w:p>
        </w:tc>
        <w:tc>
          <w:tcPr>
            <w:tcW w:w="2721" w:type="dxa"/>
          </w:tcPr>
          <w:p w14:paraId="4A97AD96" w14:textId="4E4F7C5C" w:rsidR="00306084" w:rsidRDefault="00306084" w:rsidP="00AF4CAA">
            <w:pPr>
              <w:pStyle w:val="NoSpacing"/>
            </w:pPr>
            <w:r>
              <w:t>18</w:t>
            </w:r>
            <w:r w:rsidR="00902727">
              <w:t>40</w:t>
            </w:r>
            <w:r>
              <w:t>-18</w:t>
            </w:r>
            <w:r w:rsidR="00902727">
              <w:t>45</w:t>
            </w:r>
          </w:p>
        </w:tc>
      </w:tr>
      <w:tr w:rsidR="00306084" w14:paraId="54CDD22F" w14:textId="77777777" w:rsidTr="00306084">
        <w:tc>
          <w:tcPr>
            <w:tcW w:w="842" w:type="dxa"/>
          </w:tcPr>
          <w:p w14:paraId="572805AB" w14:textId="54A0AC3D" w:rsidR="00306084" w:rsidRDefault="00902727" w:rsidP="00AF4CAA">
            <w:pPr>
              <w:pStyle w:val="NoSpacing"/>
            </w:pPr>
            <w:r>
              <w:t>4</w:t>
            </w:r>
            <w:r w:rsidR="00306084">
              <w:t xml:space="preserve">. </w:t>
            </w:r>
            <w:r w:rsidR="003362DB">
              <w:t xml:space="preserve"> </w:t>
            </w:r>
          </w:p>
        </w:tc>
        <w:tc>
          <w:tcPr>
            <w:tcW w:w="5783" w:type="dxa"/>
          </w:tcPr>
          <w:p w14:paraId="356E44F8" w14:textId="012D8B9E" w:rsidR="00306084" w:rsidRDefault="00902727" w:rsidP="00AF4CAA">
            <w:pPr>
              <w:pStyle w:val="NoSpacing"/>
            </w:pPr>
            <w:r>
              <w:t>Nathan Appleton</w:t>
            </w:r>
          </w:p>
        </w:tc>
        <w:tc>
          <w:tcPr>
            <w:tcW w:w="2721" w:type="dxa"/>
          </w:tcPr>
          <w:p w14:paraId="7C4DEEC4" w14:textId="0924D6DB" w:rsidR="00306084" w:rsidRDefault="00306084" w:rsidP="00AF4CAA">
            <w:pPr>
              <w:pStyle w:val="NoSpacing"/>
            </w:pPr>
            <w:r>
              <w:t>18</w:t>
            </w:r>
            <w:r w:rsidR="00902727">
              <w:t>45</w:t>
            </w:r>
            <w:r>
              <w:t>-18</w:t>
            </w:r>
            <w:r w:rsidR="00902727">
              <w:t>51</w:t>
            </w:r>
          </w:p>
        </w:tc>
      </w:tr>
      <w:tr w:rsidR="00306084" w14:paraId="30B27D17" w14:textId="77777777" w:rsidTr="00306084">
        <w:tc>
          <w:tcPr>
            <w:tcW w:w="842" w:type="dxa"/>
          </w:tcPr>
          <w:p w14:paraId="77052E03" w14:textId="32FC835E" w:rsidR="00306084" w:rsidRDefault="00832C64" w:rsidP="00AF4CAA">
            <w:pPr>
              <w:pStyle w:val="NoSpacing"/>
            </w:pPr>
            <w:r>
              <w:t xml:space="preserve">5. </w:t>
            </w:r>
            <w:r w:rsidR="003362DB">
              <w:t xml:space="preserve"> </w:t>
            </w:r>
          </w:p>
        </w:tc>
        <w:tc>
          <w:tcPr>
            <w:tcW w:w="5783" w:type="dxa"/>
          </w:tcPr>
          <w:p w14:paraId="1CC31A3C" w14:textId="712050AF" w:rsidR="00306084" w:rsidRDefault="00832C64" w:rsidP="00AF4CAA">
            <w:pPr>
              <w:pStyle w:val="NoSpacing"/>
            </w:pPr>
            <w:r>
              <w:t>Reverdy Johnson</w:t>
            </w:r>
          </w:p>
        </w:tc>
        <w:tc>
          <w:tcPr>
            <w:tcW w:w="2721" w:type="dxa"/>
          </w:tcPr>
          <w:p w14:paraId="313DF37B" w14:textId="102CF948" w:rsidR="00306084" w:rsidRDefault="00832C64" w:rsidP="00AF4CAA">
            <w:pPr>
              <w:pStyle w:val="NoSpacing"/>
            </w:pPr>
            <w:r>
              <w:t>1851-1856</w:t>
            </w:r>
          </w:p>
        </w:tc>
      </w:tr>
      <w:tr w:rsidR="00306084" w14:paraId="14E0F114" w14:textId="77777777" w:rsidTr="00306084">
        <w:tc>
          <w:tcPr>
            <w:tcW w:w="842" w:type="dxa"/>
          </w:tcPr>
          <w:p w14:paraId="4A75B92A" w14:textId="1C487382" w:rsidR="00306084" w:rsidRDefault="00832C64" w:rsidP="00AF4CAA">
            <w:pPr>
              <w:pStyle w:val="NoSpacing"/>
            </w:pPr>
            <w:r>
              <w:t>6</w:t>
            </w:r>
            <w:r w:rsidR="00306084">
              <w:t>.</w:t>
            </w:r>
            <w:r w:rsidR="003362DB">
              <w:t xml:space="preserve"> </w:t>
            </w:r>
          </w:p>
        </w:tc>
        <w:tc>
          <w:tcPr>
            <w:tcW w:w="5783" w:type="dxa"/>
          </w:tcPr>
          <w:p w14:paraId="214D69FC" w14:textId="5726B3D0" w:rsidR="00306084" w:rsidRDefault="00EB3733" w:rsidP="00AF4CAA">
            <w:pPr>
              <w:pStyle w:val="NoSpacing"/>
            </w:pPr>
            <w:r>
              <w:t>Vernon K. Stevenson</w:t>
            </w:r>
          </w:p>
        </w:tc>
        <w:tc>
          <w:tcPr>
            <w:tcW w:w="2721" w:type="dxa"/>
          </w:tcPr>
          <w:p w14:paraId="1F0B7053" w14:textId="6E256B01" w:rsidR="00306084" w:rsidRDefault="00832C64" w:rsidP="00AF4CAA">
            <w:pPr>
              <w:pStyle w:val="NoSpacing"/>
            </w:pPr>
            <w:r>
              <w:t>1856-1861</w:t>
            </w:r>
          </w:p>
        </w:tc>
      </w:tr>
      <w:tr w:rsidR="00832C64" w14:paraId="05148592" w14:textId="77777777" w:rsidTr="00306084">
        <w:tc>
          <w:tcPr>
            <w:tcW w:w="842" w:type="dxa"/>
          </w:tcPr>
          <w:p w14:paraId="46C09E56" w14:textId="6E1CFF44" w:rsidR="00832C64" w:rsidRDefault="00832C64" w:rsidP="00AF4CAA">
            <w:pPr>
              <w:pStyle w:val="NoSpacing"/>
            </w:pPr>
            <w:r>
              <w:t xml:space="preserve">7. </w:t>
            </w:r>
          </w:p>
        </w:tc>
        <w:tc>
          <w:tcPr>
            <w:tcW w:w="5783" w:type="dxa"/>
          </w:tcPr>
          <w:p w14:paraId="6687270D" w14:textId="73805EC1" w:rsidR="00832C64" w:rsidRDefault="003064B8" w:rsidP="00AF4CAA">
            <w:pPr>
              <w:pStyle w:val="NoSpacing"/>
            </w:pPr>
            <w:r>
              <w:t>Charlemagne Tower</w:t>
            </w:r>
          </w:p>
        </w:tc>
        <w:tc>
          <w:tcPr>
            <w:tcW w:w="2721" w:type="dxa"/>
          </w:tcPr>
          <w:p w14:paraId="69F20772" w14:textId="0444FD8A" w:rsidR="00832C64" w:rsidRDefault="003064B8" w:rsidP="00AF4CAA">
            <w:pPr>
              <w:pStyle w:val="NoSpacing"/>
            </w:pPr>
            <w:r>
              <w:t>1861-1866</w:t>
            </w:r>
          </w:p>
        </w:tc>
      </w:tr>
      <w:tr w:rsidR="003064B8" w14:paraId="1D4D41D9" w14:textId="77777777" w:rsidTr="00306084">
        <w:tc>
          <w:tcPr>
            <w:tcW w:w="842" w:type="dxa"/>
          </w:tcPr>
          <w:p w14:paraId="6E147616" w14:textId="6BA54397" w:rsidR="003064B8" w:rsidRDefault="003064B8" w:rsidP="00AF4CAA">
            <w:pPr>
              <w:pStyle w:val="NoSpacing"/>
            </w:pPr>
            <w:r>
              <w:t xml:space="preserve">8. </w:t>
            </w:r>
          </w:p>
        </w:tc>
        <w:tc>
          <w:tcPr>
            <w:tcW w:w="5783" w:type="dxa"/>
          </w:tcPr>
          <w:p w14:paraId="2203118C" w14:textId="3EA28291" w:rsidR="003064B8" w:rsidRDefault="00993BD6" w:rsidP="00AF4CAA">
            <w:pPr>
              <w:pStyle w:val="NoSpacing"/>
            </w:pPr>
            <w:r>
              <w:t>Vernon K. Stevenson</w:t>
            </w:r>
          </w:p>
        </w:tc>
        <w:tc>
          <w:tcPr>
            <w:tcW w:w="2721" w:type="dxa"/>
          </w:tcPr>
          <w:p w14:paraId="6AC4DC88" w14:textId="7D6523D3" w:rsidR="003064B8" w:rsidRDefault="00993BD6" w:rsidP="00AF4CAA">
            <w:pPr>
              <w:pStyle w:val="NoSpacing"/>
            </w:pPr>
            <w:r>
              <w:t>1866-1868</w:t>
            </w:r>
          </w:p>
        </w:tc>
      </w:tr>
      <w:tr w:rsidR="00EB3733" w14:paraId="65A71A14" w14:textId="77777777" w:rsidTr="003362DB">
        <w:tc>
          <w:tcPr>
            <w:tcW w:w="842" w:type="dxa"/>
          </w:tcPr>
          <w:p w14:paraId="351BB312" w14:textId="77777777" w:rsidR="00EB3733" w:rsidRDefault="00EB3733" w:rsidP="00AF4CAA">
            <w:pPr>
              <w:pStyle w:val="NoSpacing"/>
            </w:pPr>
          </w:p>
        </w:tc>
        <w:tc>
          <w:tcPr>
            <w:tcW w:w="5783" w:type="dxa"/>
          </w:tcPr>
          <w:p w14:paraId="02B18BD0" w14:textId="77777777" w:rsidR="00EB3733" w:rsidRDefault="00EB3733" w:rsidP="00AF4CAA">
            <w:pPr>
              <w:pStyle w:val="NoSpacing"/>
            </w:pPr>
          </w:p>
        </w:tc>
        <w:tc>
          <w:tcPr>
            <w:tcW w:w="2721" w:type="dxa"/>
          </w:tcPr>
          <w:p w14:paraId="704D6EF8" w14:textId="77777777" w:rsidR="00EB3733" w:rsidRDefault="00EB3733" w:rsidP="00AF4CAA">
            <w:pPr>
              <w:pStyle w:val="NoSpacing"/>
            </w:pPr>
          </w:p>
        </w:tc>
      </w:tr>
      <w:tr w:rsidR="00EB3733" w:rsidRPr="002B45C0" w14:paraId="5482468A" w14:textId="77777777" w:rsidTr="003362DB">
        <w:tc>
          <w:tcPr>
            <w:tcW w:w="842" w:type="dxa"/>
            <w:tcBorders>
              <w:bottom w:val="single" w:sz="4" w:space="0" w:color="auto"/>
            </w:tcBorders>
          </w:tcPr>
          <w:p w14:paraId="7CEEEB91" w14:textId="77777777" w:rsidR="00EB3733" w:rsidRPr="002B45C0" w:rsidRDefault="00EB3733" w:rsidP="00AF4CAA">
            <w:pPr>
              <w:pStyle w:val="NoSpacing"/>
              <w:rPr>
                <w:b/>
                <w:bCs/>
              </w:rPr>
            </w:pPr>
          </w:p>
        </w:tc>
        <w:tc>
          <w:tcPr>
            <w:tcW w:w="5783" w:type="dxa"/>
            <w:tcBorders>
              <w:bottom w:val="single" w:sz="4" w:space="0" w:color="auto"/>
            </w:tcBorders>
          </w:tcPr>
          <w:p w14:paraId="74D017C7" w14:textId="2DA65EA7" w:rsidR="00EB3733" w:rsidRPr="002B45C0" w:rsidRDefault="00EB3733" w:rsidP="00AF4CAA">
            <w:pPr>
              <w:pStyle w:val="NoSpacing"/>
              <w:rPr>
                <w:b/>
                <w:bCs/>
              </w:rPr>
            </w:pPr>
            <w:r w:rsidRPr="002B45C0">
              <w:rPr>
                <w:b/>
                <w:bCs/>
              </w:rPr>
              <w:t>Presidents of the War Bank</w:t>
            </w:r>
          </w:p>
        </w:tc>
        <w:tc>
          <w:tcPr>
            <w:tcW w:w="2721" w:type="dxa"/>
            <w:tcBorders>
              <w:bottom w:val="single" w:sz="4" w:space="0" w:color="auto"/>
            </w:tcBorders>
          </w:tcPr>
          <w:p w14:paraId="6E2D221B" w14:textId="3680B6C0" w:rsidR="00EB3733" w:rsidRPr="002B45C0" w:rsidRDefault="00EB3733" w:rsidP="00AF4CAA">
            <w:pPr>
              <w:pStyle w:val="NoSpacing"/>
              <w:rPr>
                <w:b/>
                <w:bCs/>
              </w:rPr>
            </w:pPr>
            <w:r w:rsidRPr="002B45C0">
              <w:rPr>
                <w:b/>
                <w:bCs/>
              </w:rPr>
              <w:t>Administration</w:t>
            </w:r>
          </w:p>
        </w:tc>
      </w:tr>
      <w:tr w:rsidR="00EB3733" w14:paraId="57FA851A" w14:textId="77777777" w:rsidTr="003362DB">
        <w:tc>
          <w:tcPr>
            <w:tcW w:w="842" w:type="dxa"/>
            <w:tcBorders>
              <w:top w:val="single" w:sz="4" w:space="0" w:color="auto"/>
            </w:tcBorders>
          </w:tcPr>
          <w:p w14:paraId="431FC55F" w14:textId="571CD2FB" w:rsidR="00EB3733" w:rsidRDefault="004329C1" w:rsidP="00AF4CAA">
            <w:pPr>
              <w:pStyle w:val="NoSpacing"/>
            </w:pPr>
            <w:r>
              <w:t xml:space="preserve">1. </w:t>
            </w:r>
          </w:p>
        </w:tc>
        <w:tc>
          <w:tcPr>
            <w:tcW w:w="5783" w:type="dxa"/>
            <w:tcBorders>
              <w:top w:val="single" w:sz="4" w:space="0" w:color="auto"/>
            </w:tcBorders>
          </w:tcPr>
          <w:p w14:paraId="34E3AC72" w14:textId="693C6DE5" w:rsidR="00EB3733" w:rsidRDefault="005921A5" w:rsidP="00AF4CAA">
            <w:pPr>
              <w:pStyle w:val="NoSpacing"/>
            </w:pPr>
            <w:r>
              <w:t>Thomas Hillhouse</w:t>
            </w:r>
          </w:p>
        </w:tc>
        <w:tc>
          <w:tcPr>
            <w:tcW w:w="2721" w:type="dxa"/>
            <w:tcBorders>
              <w:top w:val="single" w:sz="4" w:space="0" w:color="auto"/>
            </w:tcBorders>
          </w:tcPr>
          <w:p w14:paraId="1D5B7093" w14:textId="0A213A67" w:rsidR="00EB3733" w:rsidRDefault="004329C1" w:rsidP="00AF4CAA">
            <w:pPr>
              <w:pStyle w:val="NoSpacing"/>
            </w:pPr>
            <w:r>
              <w:t>1868-1877</w:t>
            </w:r>
          </w:p>
        </w:tc>
      </w:tr>
      <w:tr w:rsidR="00EB3733" w14:paraId="7164CC05" w14:textId="77777777" w:rsidTr="00306084">
        <w:tc>
          <w:tcPr>
            <w:tcW w:w="842" w:type="dxa"/>
          </w:tcPr>
          <w:p w14:paraId="294C8A8A" w14:textId="05A7FE17" w:rsidR="00EB3733" w:rsidRDefault="004329C1" w:rsidP="00AF4CAA">
            <w:pPr>
              <w:pStyle w:val="NoSpacing"/>
            </w:pPr>
            <w:r>
              <w:t xml:space="preserve">2. </w:t>
            </w:r>
          </w:p>
        </w:tc>
        <w:tc>
          <w:tcPr>
            <w:tcW w:w="5783" w:type="dxa"/>
          </w:tcPr>
          <w:p w14:paraId="786B9C8E" w14:textId="2C0547A5" w:rsidR="00EB3733" w:rsidRDefault="002F0F2E" w:rsidP="00AF4CAA">
            <w:pPr>
              <w:pStyle w:val="NoSpacing"/>
            </w:pPr>
            <w:r>
              <w:t>Lawrence Baker</w:t>
            </w:r>
          </w:p>
        </w:tc>
        <w:tc>
          <w:tcPr>
            <w:tcW w:w="2721" w:type="dxa"/>
          </w:tcPr>
          <w:p w14:paraId="5361FE47" w14:textId="57D05A9C" w:rsidR="00EB3733" w:rsidRDefault="002F0F2E" w:rsidP="00AF4CAA">
            <w:pPr>
              <w:pStyle w:val="NoSpacing"/>
            </w:pPr>
            <w:r>
              <w:t>1877-1883</w:t>
            </w:r>
          </w:p>
        </w:tc>
      </w:tr>
      <w:tr w:rsidR="002F0F2E" w14:paraId="29179183" w14:textId="77777777" w:rsidTr="00BC7C20">
        <w:tc>
          <w:tcPr>
            <w:tcW w:w="842" w:type="dxa"/>
          </w:tcPr>
          <w:p w14:paraId="28AE8D63" w14:textId="77777777" w:rsidR="002F0F2E" w:rsidRDefault="002F0F2E" w:rsidP="00AF4CAA">
            <w:pPr>
              <w:pStyle w:val="NoSpacing"/>
            </w:pPr>
          </w:p>
        </w:tc>
        <w:tc>
          <w:tcPr>
            <w:tcW w:w="5783" w:type="dxa"/>
          </w:tcPr>
          <w:p w14:paraId="4B72D88C" w14:textId="77777777" w:rsidR="002F0F2E" w:rsidRDefault="002F0F2E" w:rsidP="00AF4CAA">
            <w:pPr>
              <w:pStyle w:val="NoSpacing"/>
            </w:pPr>
          </w:p>
        </w:tc>
        <w:tc>
          <w:tcPr>
            <w:tcW w:w="2721" w:type="dxa"/>
          </w:tcPr>
          <w:p w14:paraId="0FEA42F6" w14:textId="77777777" w:rsidR="002F0F2E" w:rsidRDefault="002F0F2E" w:rsidP="00AF4CAA">
            <w:pPr>
              <w:pStyle w:val="NoSpacing"/>
            </w:pPr>
          </w:p>
        </w:tc>
      </w:tr>
      <w:tr w:rsidR="00BC7C20" w14:paraId="540C9536" w14:textId="77777777" w:rsidTr="00BC7C20">
        <w:tc>
          <w:tcPr>
            <w:tcW w:w="842" w:type="dxa"/>
            <w:tcBorders>
              <w:bottom w:val="single" w:sz="4" w:space="0" w:color="auto"/>
            </w:tcBorders>
          </w:tcPr>
          <w:p w14:paraId="714CBB5B" w14:textId="77777777" w:rsidR="00BC7C20" w:rsidRPr="00BC7C20" w:rsidRDefault="00BC7C20" w:rsidP="00AF4CAA">
            <w:pPr>
              <w:pStyle w:val="NoSpacing"/>
            </w:pPr>
          </w:p>
        </w:tc>
        <w:tc>
          <w:tcPr>
            <w:tcW w:w="5783" w:type="dxa"/>
            <w:tcBorders>
              <w:bottom w:val="single" w:sz="4" w:space="0" w:color="auto"/>
            </w:tcBorders>
          </w:tcPr>
          <w:p w14:paraId="27BC74E4" w14:textId="26E889A0" w:rsidR="00BC7C20" w:rsidRPr="00C6289E" w:rsidRDefault="00BC7C20" w:rsidP="00AF4CAA">
            <w:pPr>
              <w:pStyle w:val="NoSpacing"/>
              <w:rPr>
                <w:b/>
                <w:bCs/>
              </w:rPr>
            </w:pPr>
            <w:r w:rsidRPr="00C6289E">
              <w:rPr>
                <w:b/>
                <w:bCs/>
              </w:rPr>
              <w:t>Secretaries of Fiduciary Affairs</w:t>
            </w:r>
          </w:p>
        </w:tc>
        <w:tc>
          <w:tcPr>
            <w:tcW w:w="2721" w:type="dxa"/>
            <w:tcBorders>
              <w:bottom w:val="single" w:sz="4" w:space="0" w:color="auto"/>
            </w:tcBorders>
          </w:tcPr>
          <w:p w14:paraId="03DD18C9" w14:textId="0D9EED1B" w:rsidR="00BC7C20" w:rsidRPr="00BC7C20" w:rsidRDefault="00BC7C20" w:rsidP="00AF4CAA">
            <w:pPr>
              <w:pStyle w:val="NoSpacing"/>
            </w:pPr>
            <w:r w:rsidRPr="00BC7C20">
              <w:t>Administration</w:t>
            </w:r>
          </w:p>
        </w:tc>
      </w:tr>
      <w:tr w:rsidR="00BC7C20" w14:paraId="167A8114" w14:textId="77777777" w:rsidTr="00BC7C20">
        <w:tc>
          <w:tcPr>
            <w:tcW w:w="842" w:type="dxa"/>
            <w:tcBorders>
              <w:top w:val="single" w:sz="4" w:space="0" w:color="auto"/>
            </w:tcBorders>
          </w:tcPr>
          <w:p w14:paraId="7582DE26" w14:textId="2A500EC7" w:rsidR="00BC7C20" w:rsidRDefault="00BC7C20" w:rsidP="00AF4CAA">
            <w:pPr>
              <w:pStyle w:val="NoSpacing"/>
            </w:pPr>
            <w:r>
              <w:t xml:space="preserve">1. </w:t>
            </w:r>
          </w:p>
        </w:tc>
        <w:tc>
          <w:tcPr>
            <w:tcW w:w="5783" w:type="dxa"/>
            <w:tcBorders>
              <w:top w:val="single" w:sz="4" w:space="0" w:color="auto"/>
            </w:tcBorders>
          </w:tcPr>
          <w:p w14:paraId="3891487F" w14:textId="4402D379" w:rsidR="00BC7C20" w:rsidRDefault="00BC7C20" w:rsidP="00AF4CAA">
            <w:pPr>
              <w:pStyle w:val="NoSpacing"/>
            </w:pPr>
            <w:r>
              <w:t>Thomas B. Ingersoll</w:t>
            </w:r>
          </w:p>
        </w:tc>
        <w:tc>
          <w:tcPr>
            <w:tcW w:w="2721" w:type="dxa"/>
            <w:tcBorders>
              <w:top w:val="single" w:sz="4" w:space="0" w:color="auto"/>
            </w:tcBorders>
          </w:tcPr>
          <w:p w14:paraId="3897112B" w14:textId="51CA58F0" w:rsidR="00BC7C20" w:rsidRDefault="00BC7C20" w:rsidP="00AF4CAA">
            <w:pPr>
              <w:pStyle w:val="NoSpacing"/>
            </w:pPr>
            <w:r>
              <w:t>1883-18</w:t>
            </w:r>
            <w:r w:rsidR="005B5FF9">
              <w:t>87</w:t>
            </w:r>
          </w:p>
        </w:tc>
      </w:tr>
      <w:tr w:rsidR="00BC7C20" w14:paraId="5633273E" w14:textId="77777777" w:rsidTr="00306084">
        <w:tc>
          <w:tcPr>
            <w:tcW w:w="842" w:type="dxa"/>
          </w:tcPr>
          <w:p w14:paraId="14C8E079" w14:textId="610D7E16" w:rsidR="00BC7C20" w:rsidRDefault="005B5FF9" w:rsidP="00AF4CAA">
            <w:pPr>
              <w:pStyle w:val="NoSpacing"/>
            </w:pPr>
            <w:r>
              <w:t xml:space="preserve">2. </w:t>
            </w:r>
          </w:p>
        </w:tc>
        <w:tc>
          <w:tcPr>
            <w:tcW w:w="5783" w:type="dxa"/>
          </w:tcPr>
          <w:p w14:paraId="7958307C" w14:textId="2AFA2366" w:rsidR="00BC7C20" w:rsidRDefault="00DA237B" w:rsidP="00AF4CAA">
            <w:pPr>
              <w:pStyle w:val="NoSpacing"/>
            </w:pPr>
            <w:r>
              <w:t>Daniel P. Jordan</w:t>
            </w:r>
          </w:p>
        </w:tc>
        <w:tc>
          <w:tcPr>
            <w:tcW w:w="2721" w:type="dxa"/>
          </w:tcPr>
          <w:p w14:paraId="4748FD88" w14:textId="1412DE3A" w:rsidR="00BC7C20" w:rsidRDefault="00DA237B" w:rsidP="00AF4CAA">
            <w:pPr>
              <w:pStyle w:val="NoSpacing"/>
            </w:pPr>
            <w:r>
              <w:t>1887-1898</w:t>
            </w:r>
          </w:p>
        </w:tc>
      </w:tr>
      <w:tr w:rsidR="00B478B3" w14:paraId="3A2D26AC" w14:textId="77777777" w:rsidTr="00306084">
        <w:tc>
          <w:tcPr>
            <w:tcW w:w="842" w:type="dxa"/>
          </w:tcPr>
          <w:p w14:paraId="2C2317C1" w14:textId="3D33654E" w:rsidR="00B478B3" w:rsidRDefault="00B478B3" w:rsidP="00AF4CAA">
            <w:pPr>
              <w:pStyle w:val="NoSpacing"/>
            </w:pPr>
            <w:r>
              <w:t xml:space="preserve">3. </w:t>
            </w:r>
          </w:p>
        </w:tc>
        <w:tc>
          <w:tcPr>
            <w:tcW w:w="5783" w:type="dxa"/>
          </w:tcPr>
          <w:p w14:paraId="5952FFE8" w14:textId="2C211AC4" w:rsidR="00B478B3" w:rsidRDefault="00B478B3" w:rsidP="00AF4CAA">
            <w:pPr>
              <w:pStyle w:val="NoSpacing"/>
            </w:pPr>
            <w:r>
              <w:t>Aaron B. Walters</w:t>
            </w:r>
          </w:p>
        </w:tc>
        <w:tc>
          <w:tcPr>
            <w:tcW w:w="2721" w:type="dxa"/>
          </w:tcPr>
          <w:p w14:paraId="60305B58" w14:textId="746DBD94" w:rsidR="00B478B3" w:rsidRDefault="00B478B3" w:rsidP="00AF4CAA">
            <w:pPr>
              <w:pStyle w:val="NoSpacing"/>
            </w:pPr>
            <w:r>
              <w:t>1898-1916</w:t>
            </w:r>
          </w:p>
        </w:tc>
      </w:tr>
      <w:tr w:rsidR="007B5D73" w14:paraId="7C0E0135" w14:textId="77777777" w:rsidTr="00306084">
        <w:tc>
          <w:tcPr>
            <w:tcW w:w="842" w:type="dxa"/>
          </w:tcPr>
          <w:p w14:paraId="1B10A674" w14:textId="7B5E7813" w:rsidR="007B5D73" w:rsidRDefault="007B5D73" w:rsidP="00AF4CAA">
            <w:pPr>
              <w:pStyle w:val="NoSpacing"/>
            </w:pPr>
            <w:r>
              <w:t xml:space="preserve">4. </w:t>
            </w:r>
          </w:p>
        </w:tc>
        <w:tc>
          <w:tcPr>
            <w:tcW w:w="5783" w:type="dxa"/>
          </w:tcPr>
          <w:p w14:paraId="68CE615E" w14:textId="1340B56B" w:rsidR="007B5D73" w:rsidRDefault="00280F7D" w:rsidP="00AF4CAA">
            <w:pPr>
              <w:pStyle w:val="NoSpacing"/>
            </w:pPr>
            <w:r>
              <w:t>Webster</w:t>
            </w:r>
            <w:r w:rsidR="00B628A0">
              <w:t xml:space="preserve"> Waller</w:t>
            </w:r>
          </w:p>
        </w:tc>
        <w:tc>
          <w:tcPr>
            <w:tcW w:w="2721" w:type="dxa"/>
          </w:tcPr>
          <w:p w14:paraId="507A39F3" w14:textId="1E78E1DB" w:rsidR="007B5D73" w:rsidRDefault="007B5D73" w:rsidP="00AF4CAA">
            <w:pPr>
              <w:pStyle w:val="NoSpacing"/>
            </w:pPr>
            <w:r>
              <w:t>1916-1918</w:t>
            </w:r>
          </w:p>
        </w:tc>
      </w:tr>
      <w:tr w:rsidR="007B5D73" w14:paraId="5B4F94FC" w14:textId="77777777" w:rsidTr="00B628A0">
        <w:tc>
          <w:tcPr>
            <w:tcW w:w="842" w:type="dxa"/>
          </w:tcPr>
          <w:p w14:paraId="7C5791EC" w14:textId="77777777" w:rsidR="007B5D73" w:rsidRDefault="007B5D73" w:rsidP="00AF4CAA">
            <w:pPr>
              <w:pStyle w:val="NoSpacing"/>
            </w:pPr>
          </w:p>
        </w:tc>
        <w:tc>
          <w:tcPr>
            <w:tcW w:w="5783" w:type="dxa"/>
          </w:tcPr>
          <w:p w14:paraId="4685F941" w14:textId="77777777" w:rsidR="007B5D73" w:rsidRDefault="007B5D73" w:rsidP="00AF4CAA">
            <w:pPr>
              <w:pStyle w:val="NoSpacing"/>
            </w:pPr>
          </w:p>
        </w:tc>
        <w:tc>
          <w:tcPr>
            <w:tcW w:w="2721" w:type="dxa"/>
          </w:tcPr>
          <w:p w14:paraId="1CB80975" w14:textId="77777777" w:rsidR="007B5D73" w:rsidRDefault="007B5D73" w:rsidP="00AF4CAA">
            <w:pPr>
              <w:pStyle w:val="NoSpacing"/>
            </w:pPr>
          </w:p>
        </w:tc>
      </w:tr>
      <w:tr w:rsidR="007B5D73" w:rsidRPr="00B628A0" w14:paraId="5A1C9177" w14:textId="77777777" w:rsidTr="00B628A0">
        <w:tc>
          <w:tcPr>
            <w:tcW w:w="842" w:type="dxa"/>
            <w:tcBorders>
              <w:bottom w:val="single" w:sz="4" w:space="0" w:color="auto"/>
            </w:tcBorders>
          </w:tcPr>
          <w:p w14:paraId="37C23823" w14:textId="77777777" w:rsidR="007B5D73" w:rsidRPr="00B628A0" w:rsidRDefault="007B5D73" w:rsidP="00AF4CAA">
            <w:pPr>
              <w:pStyle w:val="NoSpacing"/>
            </w:pPr>
          </w:p>
        </w:tc>
        <w:tc>
          <w:tcPr>
            <w:tcW w:w="5783" w:type="dxa"/>
            <w:tcBorders>
              <w:bottom w:val="single" w:sz="4" w:space="0" w:color="auto"/>
            </w:tcBorders>
          </w:tcPr>
          <w:p w14:paraId="30F07966" w14:textId="00716557" w:rsidR="007B5D73" w:rsidRPr="00C6289E" w:rsidRDefault="00134084" w:rsidP="00AF4CAA">
            <w:pPr>
              <w:pStyle w:val="NoSpacing"/>
              <w:rPr>
                <w:b/>
                <w:bCs/>
              </w:rPr>
            </w:pPr>
            <w:r w:rsidRPr="00C6289E">
              <w:rPr>
                <w:b/>
                <w:bCs/>
              </w:rPr>
              <w:t xml:space="preserve">Administrators of the </w:t>
            </w:r>
            <w:r w:rsidR="00B628A0" w:rsidRPr="00C6289E">
              <w:rPr>
                <w:b/>
                <w:bCs/>
              </w:rPr>
              <w:t xml:space="preserve">United States </w:t>
            </w:r>
            <w:r w:rsidRPr="00C6289E">
              <w:rPr>
                <w:b/>
                <w:bCs/>
              </w:rPr>
              <w:t>Fiduciary Office</w:t>
            </w:r>
          </w:p>
        </w:tc>
        <w:tc>
          <w:tcPr>
            <w:tcW w:w="2721" w:type="dxa"/>
            <w:tcBorders>
              <w:bottom w:val="single" w:sz="4" w:space="0" w:color="auto"/>
            </w:tcBorders>
          </w:tcPr>
          <w:p w14:paraId="146DFA00" w14:textId="52BB8C66" w:rsidR="007B5D73" w:rsidRPr="00B628A0" w:rsidRDefault="000939CF" w:rsidP="00AF4CAA">
            <w:pPr>
              <w:pStyle w:val="NoSpacing"/>
            </w:pPr>
            <w:r>
              <w:t>Administration</w:t>
            </w:r>
          </w:p>
        </w:tc>
      </w:tr>
      <w:tr w:rsidR="007B5D73" w14:paraId="3C43DA1C" w14:textId="77777777" w:rsidTr="0032548F">
        <w:tc>
          <w:tcPr>
            <w:tcW w:w="842" w:type="dxa"/>
            <w:tcBorders>
              <w:top w:val="single" w:sz="4" w:space="0" w:color="auto"/>
            </w:tcBorders>
          </w:tcPr>
          <w:p w14:paraId="2C17F857" w14:textId="19852ABF" w:rsidR="007B5D73" w:rsidRDefault="00B628A0" w:rsidP="00AF4CAA">
            <w:pPr>
              <w:pStyle w:val="NoSpacing"/>
            </w:pPr>
            <w:r>
              <w:t xml:space="preserve">1. </w:t>
            </w:r>
          </w:p>
        </w:tc>
        <w:tc>
          <w:tcPr>
            <w:tcW w:w="5783" w:type="dxa"/>
            <w:tcBorders>
              <w:top w:val="single" w:sz="4" w:space="0" w:color="auto"/>
            </w:tcBorders>
          </w:tcPr>
          <w:p w14:paraId="2E9EEFFB" w14:textId="5E9FCF9C" w:rsidR="007B5D73" w:rsidRDefault="00280F7D" w:rsidP="00AF4CAA">
            <w:pPr>
              <w:pStyle w:val="NoSpacing"/>
            </w:pPr>
            <w:r>
              <w:t>Webster</w:t>
            </w:r>
            <w:r w:rsidR="00B628A0">
              <w:t xml:space="preserve"> Waller</w:t>
            </w:r>
          </w:p>
        </w:tc>
        <w:tc>
          <w:tcPr>
            <w:tcW w:w="2721" w:type="dxa"/>
            <w:tcBorders>
              <w:top w:val="single" w:sz="4" w:space="0" w:color="auto"/>
            </w:tcBorders>
          </w:tcPr>
          <w:p w14:paraId="226949E0" w14:textId="48FDDDF9" w:rsidR="007B5D73" w:rsidRDefault="00B628A0" w:rsidP="00AF4CAA">
            <w:pPr>
              <w:pStyle w:val="NoSpacing"/>
            </w:pPr>
            <w:r>
              <w:t>1918-19</w:t>
            </w:r>
            <w:r w:rsidR="005D3706">
              <w:t>33</w:t>
            </w:r>
          </w:p>
        </w:tc>
      </w:tr>
      <w:tr w:rsidR="0032548F" w14:paraId="50E684FC" w14:textId="77777777" w:rsidTr="0032548F">
        <w:tc>
          <w:tcPr>
            <w:tcW w:w="842" w:type="dxa"/>
          </w:tcPr>
          <w:p w14:paraId="3394F59B" w14:textId="4B648507" w:rsidR="0032548F" w:rsidRDefault="0032548F" w:rsidP="00AF4CAA">
            <w:pPr>
              <w:pStyle w:val="NoSpacing"/>
            </w:pPr>
            <w:r>
              <w:t xml:space="preserve">2. </w:t>
            </w:r>
          </w:p>
        </w:tc>
        <w:tc>
          <w:tcPr>
            <w:tcW w:w="5783" w:type="dxa"/>
          </w:tcPr>
          <w:p w14:paraId="749F15BF" w14:textId="34970FB0" w:rsidR="0032548F" w:rsidRDefault="00F84FFC" w:rsidP="00AF4CAA">
            <w:pPr>
              <w:pStyle w:val="NoSpacing"/>
            </w:pPr>
            <w:r>
              <w:t>Lazare</w:t>
            </w:r>
            <w:r w:rsidR="0032548F">
              <w:t xml:space="preserve"> F. </w:t>
            </w:r>
            <w:r>
              <w:t>Walsh</w:t>
            </w:r>
          </w:p>
        </w:tc>
        <w:tc>
          <w:tcPr>
            <w:tcW w:w="2721" w:type="dxa"/>
          </w:tcPr>
          <w:p w14:paraId="16122372" w14:textId="7F5D713F" w:rsidR="0032548F" w:rsidRDefault="0032548F" w:rsidP="00AF4CAA">
            <w:pPr>
              <w:pStyle w:val="NoSpacing"/>
            </w:pPr>
            <w:r>
              <w:t>19</w:t>
            </w:r>
            <w:r w:rsidR="005D3706">
              <w:t>3</w:t>
            </w:r>
            <w:r>
              <w:t>3-19</w:t>
            </w:r>
            <w:r w:rsidR="005D3706">
              <w:t>43</w:t>
            </w:r>
          </w:p>
        </w:tc>
      </w:tr>
    </w:tbl>
    <w:p w14:paraId="67AFF925" w14:textId="77777777" w:rsidR="003619E9" w:rsidRDefault="003619E9" w:rsidP="003619E9">
      <w:pPr>
        <w:spacing w:before="0" w:line="259" w:lineRule="auto"/>
        <w:ind w:firstLine="0"/>
      </w:pPr>
    </w:p>
    <w:p w14:paraId="77404C90" w14:textId="78C63A1A" w:rsidR="003619E9" w:rsidRDefault="003619E9" w:rsidP="003619E9">
      <w:pPr>
        <w:spacing w:before="0" w:line="259" w:lineRule="auto"/>
        <w:ind w:firstLine="0"/>
      </w:pPr>
      <w:r>
        <w:br w:type="page"/>
      </w:r>
    </w:p>
    <w:p w14:paraId="5A12021E" w14:textId="4D6F305B" w:rsidR="008246EF" w:rsidRDefault="007778AC" w:rsidP="007778AC">
      <w:pPr>
        <w:pStyle w:val="Heading1"/>
      </w:pPr>
      <w:bookmarkStart w:id="69" w:name="_Toc202006255"/>
      <w:r>
        <w:lastRenderedPageBreak/>
        <w:t xml:space="preserve">Appendix </w:t>
      </w:r>
      <w:r w:rsidR="004F18E2">
        <w:t>6</w:t>
      </w:r>
      <w:r>
        <w:t xml:space="preserve">. </w:t>
      </w:r>
      <w:r w:rsidR="00AB1AFB">
        <w:t>Leaders</w:t>
      </w:r>
      <w:r>
        <w:t xml:space="preserve"> of the</w:t>
      </w:r>
      <w:r w:rsidR="00843E84">
        <w:t xml:space="preserve"> Railroad Authority of the</w:t>
      </w:r>
      <w:r>
        <w:t xml:space="preserve"> United States</w:t>
      </w:r>
      <w:bookmarkEnd w:id="69"/>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5783"/>
        <w:gridCol w:w="2721"/>
      </w:tblGrid>
      <w:tr w:rsidR="007778AC" w:rsidRPr="002B45C0" w14:paraId="00E1CFCB" w14:textId="77777777" w:rsidTr="00242415">
        <w:tc>
          <w:tcPr>
            <w:tcW w:w="842" w:type="dxa"/>
            <w:tcBorders>
              <w:bottom w:val="single" w:sz="4" w:space="0" w:color="auto"/>
            </w:tcBorders>
          </w:tcPr>
          <w:p w14:paraId="77469112" w14:textId="77777777" w:rsidR="007778AC" w:rsidRPr="002B45C0" w:rsidRDefault="007778AC" w:rsidP="00AF4CAA">
            <w:pPr>
              <w:pStyle w:val="NoSpacing"/>
              <w:rPr>
                <w:b/>
                <w:bCs/>
              </w:rPr>
            </w:pPr>
          </w:p>
        </w:tc>
        <w:tc>
          <w:tcPr>
            <w:tcW w:w="5783" w:type="dxa"/>
            <w:tcBorders>
              <w:bottom w:val="single" w:sz="4" w:space="0" w:color="auto"/>
            </w:tcBorders>
          </w:tcPr>
          <w:p w14:paraId="69385F71" w14:textId="6AC47935" w:rsidR="007778AC" w:rsidRPr="002B45C0" w:rsidRDefault="007778AC" w:rsidP="00AF4CAA">
            <w:pPr>
              <w:pStyle w:val="NoSpacing"/>
              <w:rPr>
                <w:b/>
                <w:bCs/>
              </w:rPr>
            </w:pPr>
            <w:r w:rsidRPr="002B45C0">
              <w:rPr>
                <w:b/>
                <w:bCs/>
              </w:rPr>
              <w:t>Major-General of the United States Railroad Corps</w:t>
            </w:r>
          </w:p>
        </w:tc>
        <w:tc>
          <w:tcPr>
            <w:tcW w:w="2721" w:type="dxa"/>
            <w:tcBorders>
              <w:bottom w:val="single" w:sz="4" w:space="0" w:color="auto"/>
            </w:tcBorders>
          </w:tcPr>
          <w:p w14:paraId="32B26537" w14:textId="77777777" w:rsidR="007778AC" w:rsidRPr="002B45C0" w:rsidRDefault="007778AC" w:rsidP="00AF4CAA">
            <w:pPr>
              <w:pStyle w:val="NoSpacing"/>
              <w:rPr>
                <w:b/>
                <w:bCs/>
              </w:rPr>
            </w:pPr>
            <w:r w:rsidRPr="002B45C0">
              <w:rPr>
                <w:b/>
                <w:bCs/>
              </w:rPr>
              <w:t>Administration</w:t>
            </w:r>
          </w:p>
        </w:tc>
      </w:tr>
      <w:tr w:rsidR="007778AC" w14:paraId="4DDEA98B" w14:textId="77777777" w:rsidTr="00242415">
        <w:tc>
          <w:tcPr>
            <w:tcW w:w="842" w:type="dxa"/>
            <w:tcBorders>
              <w:top w:val="single" w:sz="4" w:space="0" w:color="auto"/>
            </w:tcBorders>
          </w:tcPr>
          <w:p w14:paraId="71ED45EE" w14:textId="77777777" w:rsidR="007778AC" w:rsidRDefault="007778AC" w:rsidP="00AF4CAA">
            <w:pPr>
              <w:pStyle w:val="NoSpacing"/>
            </w:pPr>
            <w:r>
              <w:t xml:space="preserve">1. </w:t>
            </w:r>
          </w:p>
        </w:tc>
        <w:tc>
          <w:tcPr>
            <w:tcW w:w="5783" w:type="dxa"/>
            <w:tcBorders>
              <w:top w:val="single" w:sz="4" w:space="0" w:color="auto"/>
            </w:tcBorders>
          </w:tcPr>
          <w:p w14:paraId="36A0BB97" w14:textId="1541F4F1" w:rsidR="007778AC" w:rsidRDefault="007778AC" w:rsidP="00AF4CAA">
            <w:pPr>
              <w:pStyle w:val="NoSpacing"/>
            </w:pPr>
            <w:r>
              <w:t>Daniel McCallum</w:t>
            </w:r>
          </w:p>
        </w:tc>
        <w:tc>
          <w:tcPr>
            <w:tcW w:w="2721" w:type="dxa"/>
            <w:tcBorders>
              <w:top w:val="single" w:sz="4" w:space="0" w:color="auto"/>
            </w:tcBorders>
          </w:tcPr>
          <w:p w14:paraId="4F496619" w14:textId="1728870B" w:rsidR="007778AC" w:rsidRDefault="007778AC" w:rsidP="00AF4CAA">
            <w:pPr>
              <w:pStyle w:val="NoSpacing"/>
            </w:pPr>
            <w:r>
              <w:t>1868-1878</w:t>
            </w:r>
          </w:p>
        </w:tc>
      </w:tr>
      <w:tr w:rsidR="007778AC" w14:paraId="5603273C" w14:textId="77777777" w:rsidTr="00F73B3F">
        <w:tc>
          <w:tcPr>
            <w:tcW w:w="842" w:type="dxa"/>
          </w:tcPr>
          <w:p w14:paraId="658B64E2" w14:textId="77777777" w:rsidR="007778AC" w:rsidRDefault="007778AC" w:rsidP="00AF4CAA">
            <w:pPr>
              <w:pStyle w:val="NoSpacing"/>
            </w:pPr>
          </w:p>
        </w:tc>
        <w:tc>
          <w:tcPr>
            <w:tcW w:w="5783" w:type="dxa"/>
          </w:tcPr>
          <w:p w14:paraId="2FAA2AE4" w14:textId="77777777" w:rsidR="007778AC" w:rsidRDefault="007778AC" w:rsidP="00AF4CAA">
            <w:pPr>
              <w:pStyle w:val="NoSpacing"/>
            </w:pPr>
          </w:p>
        </w:tc>
        <w:tc>
          <w:tcPr>
            <w:tcW w:w="2721" w:type="dxa"/>
          </w:tcPr>
          <w:p w14:paraId="2E3C2FD1" w14:textId="77777777" w:rsidR="007778AC" w:rsidRDefault="007778AC" w:rsidP="00AF4CAA">
            <w:pPr>
              <w:pStyle w:val="NoSpacing"/>
            </w:pPr>
          </w:p>
        </w:tc>
      </w:tr>
      <w:tr w:rsidR="007778AC" w:rsidRPr="002B45C0" w14:paraId="155DDCF1" w14:textId="77777777" w:rsidTr="00F73B3F">
        <w:tc>
          <w:tcPr>
            <w:tcW w:w="842" w:type="dxa"/>
            <w:tcBorders>
              <w:bottom w:val="single" w:sz="4" w:space="0" w:color="auto"/>
            </w:tcBorders>
          </w:tcPr>
          <w:p w14:paraId="211DC798" w14:textId="77777777" w:rsidR="007778AC" w:rsidRPr="002B45C0" w:rsidRDefault="007778AC" w:rsidP="00AF4CAA">
            <w:pPr>
              <w:pStyle w:val="NoSpacing"/>
              <w:rPr>
                <w:b/>
                <w:bCs/>
              </w:rPr>
            </w:pPr>
          </w:p>
        </w:tc>
        <w:tc>
          <w:tcPr>
            <w:tcW w:w="5783" w:type="dxa"/>
            <w:tcBorders>
              <w:bottom w:val="single" w:sz="4" w:space="0" w:color="auto"/>
            </w:tcBorders>
          </w:tcPr>
          <w:p w14:paraId="0E7EDC1A" w14:textId="16731A42" w:rsidR="007778AC" w:rsidRPr="002B45C0" w:rsidRDefault="00F15D80" w:rsidP="00AF4CAA">
            <w:pPr>
              <w:pStyle w:val="NoSpacing"/>
              <w:rPr>
                <w:b/>
                <w:bCs/>
              </w:rPr>
            </w:pPr>
            <w:r w:rsidRPr="002B45C0">
              <w:rPr>
                <w:b/>
                <w:bCs/>
              </w:rPr>
              <w:t>Commissioners</w:t>
            </w:r>
            <w:r w:rsidR="00F924E5" w:rsidRPr="002B45C0">
              <w:rPr>
                <w:b/>
                <w:bCs/>
              </w:rPr>
              <w:t xml:space="preserve"> of </w:t>
            </w:r>
            <w:r w:rsidR="001D65C3" w:rsidRPr="002B45C0">
              <w:rPr>
                <w:b/>
                <w:bCs/>
              </w:rPr>
              <w:t xml:space="preserve">the </w:t>
            </w:r>
            <w:r w:rsidR="006D42B2" w:rsidRPr="002B45C0">
              <w:rPr>
                <w:b/>
                <w:bCs/>
              </w:rPr>
              <w:t>National Railroad</w:t>
            </w:r>
            <w:r w:rsidR="001D65C3" w:rsidRPr="002B45C0">
              <w:rPr>
                <w:b/>
                <w:bCs/>
              </w:rPr>
              <w:t xml:space="preserve"> Board</w:t>
            </w:r>
          </w:p>
        </w:tc>
        <w:tc>
          <w:tcPr>
            <w:tcW w:w="2721" w:type="dxa"/>
            <w:tcBorders>
              <w:bottom w:val="single" w:sz="4" w:space="0" w:color="auto"/>
            </w:tcBorders>
          </w:tcPr>
          <w:p w14:paraId="33CE88AB" w14:textId="18489267" w:rsidR="007778AC" w:rsidRPr="002B45C0" w:rsidRDefault="00DC525D" w:rsidP="00AF4CAA">
            <w:pPr>
              <w:pStyle w:val="NoSpacing"/>
              <w:rPr>
                <w:b/>
                <w:bCs/>
              </w:rPr>
            </w:pPr>
            <w:r w:rsidRPr="002B45C0">
              <w:rPr>
                <w:b/>
                <w:bCs/>
              </w:rPr>
              <w:t>Administration</w:t>
            </w:r>
          </w:p>
        </w:tc>
      </w:tr>
      <w:tr w:rsidR="007778AC" w14:paraId="23C0FB49" w14:textId="77777777" w:rsidTr="00F73B3F">
        <w:tc>
          <w:tcPr>
            <w:tcW w:w="842" w:type="dxa"/>
            <w:tcBorders>
              <w:top w:val="single" w:sz="4" w:space="0" w:color="auto"/>
            </w:tcBorders>
          </w:tcPr>
          <w:p w14:paraId="721B18E1" w14:textId="22EEF1E5" w:rsidR="007778AC" w:rsidRDefault="007778AC" w:rsidP="00AF4CAA">
            <w:pPr>
              <w:pStyle w:val="NoSpacing"/>
            </w:pPr>
            <w:r>
              <w:t xml:space="preserve">1. </w:t>
            </w:r>
          </w:p>
        </w:tc>
        <w:tc>
          <w:tcPr>
            <w:tcW w:w="5783" w:type="dxa"/>
            <w:tcBorders>
              <w:top w:val="single" w:sz="4" w:space="0" w:color="auto"/>
            </w:tcBorders>
          </w:tcPr>
          <w:p w14:paraId="14965259" w14:textId="07FC7812" w:rsidR="007778AC" w:rsidRDefault="007778AC" w:rsidP="00AF4CAA">
            <w:pPr>
              <w:pStyle w:val="NoSpacing"/>
            </w:pPr>
            <w:r>
              <w:t>John V.L. Pruyn</w:t>
            </w:r>
          </w:p>
        </w:tc>
        <w:tc>
          <w:tcPr>
            <w:tcW w:w="2721" w:type="dxa"/>
            <w:tcBorders>
              <w:top w:val="single" w:sz="4" w:space="0" w:color="auto"/>
            </w:tcBorders>
          </w:tcPr>
          <w:p w14:paraId="65E1D54E" w14:textId="5EC48714" w:rsidR="007778AC" w:rsidRDefault="007778AC" w:rsidP="00AF4CAA">
            <w:pPr>
              <w:pStyle w:val="NoSpacing"/>
            </w:pPr>
            <w:r>
              <w:t>18</w:t>
            </w:r>
            <w:r w:rsidR="00F73B3F">
              <w:t>78</w:t>
            </w:r>
            <w:r>
              <w:t>-18</w:t>
            </w:r>
            <w:r w:rsidR="00F73B3F">
              <w:t>83</w:t>
            </w:r>
          </w:p>
        </w:tc>
      </w:tr>
      <w:tr w:rsidR="007778AC" w14:paraId="34A849C5" w14:textId="77777777" w:rsidTr="00242415">
        <w:tc>
          <w:tcPr>
            <w:tcW w:w="842" w:type="dxa"/>
          </w:tcPr>
          <w:p w14:paraId="3D74F337" w14:textId="2690CD3B" w:rsidR="007778AC" w:rsidRDefault="007778AC" w:rsidP="00AF4CAA">
            <w:pPr>
              <w:pStyle w:val="NoSpacing"/>
            </w:pPr>
            <w:r>
              <w:t xml:space="preserve">2. </w:t>
            </w:r>
          </w:p>
        </w:tc>
        <w:tc>
          <w:tcPr>
            <w:tcW w:w="5783" w:type="dxa"/>
          </w:tcPr>
          <w:p w14:paraId="4AA35AB3" w14:textId="76BF1D80" w:rsidR="007778AC" w:rsidRDefault="00F73B3F" w:rsidP="00AF4CAA">
            <w:pPr>
              <w:pStyle w:val="NoSpacing"/>
            </w:pPr>
            <w:r>
              <w:t>Arthur M. Wellington</w:t>
            </w:r>
          </w:p>
        </w:tc>
        <w:tc>
          <w:tcPr>
            <w:tcW w:w="2721" w:type="dxa"/>
          </w:tcPr>
          <w:p w14:paraId="77DB5712" w14:textId="11C4907A" w:rsidR="007778AC" w:rsidRDefault="007778AC" w:rsidP="00AF4CAA">
            <w:pPr>
              <w:pStyle w:val="NoSpacing"/>
            </w:pPr>
            <w:r>
              <w:t>18</w:t>
            </w:r>
            <w:r w:rsidR="00E70B5F">
              <w:t>83</w:t>
            </w:r>
            <w:r>
              <w:t>-1</w:t>
            </w:r>
            <w:r w:rsidR="00E70B5F">
              <w:t>905</w:t>
            </w:r>
          </w:p>
        </w:tc>
      </w:tr>
      <w:tr w:rsidR="007778AC" w14:paraId="630F42A9" w14:textId="77777777" w:rsidTr="00242415">
        <w:tc>
          <w:tcPr>
            <w:tcW w:w="842" w:type="dxa"/>
          </w:tcPr>
          <w:p w14:paraId="3722EAB3" w14:textId="1C1E075C" w:rsidR="007778AC" w:rsidRDefault="007778AC" w:rsidP="00AF4CAA">
            <w:pPr>
              <w:pStyle w:val="NoSpacing"/>
            </w:pPr>
            <w:r>
              <w:t xml:space="preserve">3. </w:t>
            </w:r>
          </w:p>
        </w:tc>
        <w:tc>
          <w:tcPr>
            <w:tcW w:w="5783" w:type="dxa"/>
          </w:tcPr>
          <w:p w14:paraId="5192B097" w14:textId="60097023" w:rsidR="007778AC" w:rsidRDefault="00F16592" w:rsidP="00AF4CAA">
            <w:pPr>
              <w:pStyle w:val="NoSpacing"/>
            </w:pPr>
            <w:r>
              <w:t>Lawrence Siemens</w:t>
            </w:r>
          </w:p>
        </w:tc>
        <w:tc>
          <w:tcPr>
            <w:tcW w:w="2721" w:type="dxa"/>
          </w:tcPr>
          <w:p w14:paraId="038D695A" w14:textId="3261441D" w:rsidR="007778AC" w:rsidRDefault="00F16592" w:rsidP="00AF4CAA">
            <w:pPr>
              <w:pStyle w:val="NoSpacing"/>
            </w:pPr>
            <w:r>
              <w:t>1905-1918</w:t>
            </w:r>
          </w:p>
        </w:tc>
      </w:tr>
      <w:tr w:rsidR="00552512" w14:paraId="0B21164E" w14:textId="77777777" w:rsidTr="00242415">
        <w:tc>
          <w:tcPr>
            <w:tcW w:w="842" w:type="dxa"/>
          </w:tcPr>
          <w:p w14:paraId="1ADD7330" w14:textId="611CBCD5" w:rsidR="00552512" w:rsidRDefault="00552512" w:rsidP="00AF4CAA">
            <w:pPr>
              <w:pStyle w:val="NoSpacing"/>
            </w:pPr>
            <w:r>
              <w:t xml:space="preserve">4. </w:t>
            </w:r>
          </w:p>
        </w:tc>
        <w:tc>
          <w:tcPr>
            <w:tcW w:w="5783" w:type="dxa"/>
          </w:tcPr>
          <w:p w14:paraId="3C98C996" w14:textId="415ABACC" w:rsidR="00552512" w:rsidRDefault="00552512" w:rsidP="00AF4CAA">
            <w:pPr>
              <w:pStyle w:val="NoSpacing"/>
            </w:pPr>
            <w:r>
              <w:t>Marius Goodman</w:t>
            </w:r>
          </w:p>
        </w:tc>
        <w:tc>
          <w:tcPr>
            <w:tcW w:w="2721" w:type="dxa"/>
          </w:tcPr>
          <w:p w14:paraId="4C7A4E77" w14:textId="542B6ED8" w:rsidR="00552512" w:rsidRDefault="00552512" w:rsidP="00AF4CAA">
            <w:pPr>
              <w:pStyle w:val="NoSpacing"/>
            </w:pPr>
            <w:r>
              <w:t>1916-1918</w:t>
            </w:r>
          </w:p>
        </w:tc>
      </w:tr>
      <w:tr w:rsidR="00552512" w14:paraId="4F4B8245" w14:textId="77777777" w:rsidTr="00552512">
        <w:tc>
          <w:tcPr>
            <w:tcW w:w="842" w:type="dxa"/>
          </w:tcPr>
          <w:p w14:paraId="4F152F43" w14:textId="77777777" w:rsidR="00552512" w:rsidRDefault="00552512" w:rsidP="00AF4CAA">
            <w:pPr>
              <w:pStyle w:val="NoSpacing"/>
            </w:pPr>
          </w:p>
        </w:tc>
        <w:tc>
          <w:tcPr>
            <w:tcW w:w="5783" w:type="dxa"/>
          </w:tcPr>
          <w:p w14:paraId="7AC2FB26" w14:textId="77777777" w:rsidR="00552512" w:rsidRDefault="00552512" w:rsidP="00AF4CAA">
            <w:pPr>
              <w:pStyle w:val="NoSpacing"/>
            </w:pPr>
          </w:p>
        </w:tc>
        <w:tc>
          <w:tcPr>
            <w:tcW w:w="2721" w:type="dxa"/>
          </w:tcPr>
          <w:p w14:paraId="2529CA88" w14:textId="77777777" w:rsidR="00552512" w:rsidRDefault="00552512" w:rsidP="00AF4CAA">
            <w:pPr>
              <w:pStyle w:val="NoSpacing"/>
            </w:pPr>
          </w:p>
        </w:tc>
      </w:tr>
      <w:tr w:rsidR="00552512" w:rsidRPr="002B45C0" w14:paraId="1564F9B6" w14:textId="77777777" w:rsidTr="00552512">
        <w:trPr>
          <w:trHeight w:val="74"/>
        </w:trPr>
        <w:tc>
          <w:tcPr>
            <w:tcW w:w="842" w:type="dxa"/>
            <w:tcBorders>
              <w:bottom w:val="single" w:sz="4" w:space="0" w:color="auto"/>
            </w:tcBorders>
          </w:tcPr>
          <w:p w14:paraId="0860736D" w14:textId="77777777" w:rsidR="00552512" w:rsidRPr="002B45C0" w:rsidRDefault="00552512" w:rsidP="00AF4CAA">
            <w:pPr>
              <w:pStyle w:val="NoSpacing"/>
              <w:rPr>
                <w:b/>
                <w:bCs/>
              </w:rPr>
            </w:pPr>
          </w:p>
        </w:tc>
        <w:tc>
          <w:tcPr>
            <w:tcW w:w="5783" w:type="dxa"/>
            <w:tcBorders>
              <w:bottom w:val="single" w:sz="4" w:space="0" w:color="auto"/>
            </w:tcBorders>
          </w:tcPr>
          <w:p w14:paraId="7738E400" w14:textId="38159875" w:rsidR="00552512" w:rsidRPr="002B45C0" w:rsidRDefault="00552512" w:rsidP="00AF4CAA">
            <w:pPr>
              <w:pStyle w:val="NoSpacing"/>
              <w:rPr>
                <w:b/>
                <w:bCs/>
              </w:rPr>
            </w:pPr>
            <w:r w:rsidRPr="002B45C0">
              <w:rPr>
                <w:b/>
                <w:bCs/>
              </w:rPr>
              <w:t>Administrators of the United States Railroad Office</w:t>
            </w:r>
          </w:p>
        </w:tc>
        <w:tc>
          <w:tcPr>
            <w:tcW w:w="2721" w:type="dxa"/>
            <w:tcBorders>
              <w:bottom w:val="single" w:sz="4" w:space="0" w:color="auto"/>
            </w:tcBorders>
          </w:tcPr>
          <w:p w14:paraId="5C8FD82C" w14:textId="332546F8" w:rsidR="00552512" w:rsidRPr="002B45C0" w:rsidRDefault="00DC525D" w:rsidP="00AF4CAA">
            <w:pPr>
              <w:pStyle w:val="NoSpacing"/>
              <w:rPr>
                <w:b/>
                <w:bCs/>
              </w:rPr>
            </w:pPr>
            <w:r w:rsidRPr="002B45C0">
              <w:rPr>
                <w:b/>
                <w:bCs/>
              </w:rPr>
              <w:t>Administration</w:t>
            </w:r>
          </w:p>
        </w:tc>
      </w:tr>
      <w:tr w:rsidR="00552512" w14:paraId="2671F8AA" w14:textId="77777777" w:rsidTr="00552512">
        <w:tc>
          <w:tcPr>
            <w:tcW w:w="842" w:type="dxa"/>
            <w:tcBorders>
              <w:top w:val="single" w:sz="4" w:space="0" w:color="auto"/>
            </w:tcBorders>
          </w:tcPr>
          <w:p w14:paraId="015410A9" w14:textId="5F986E1B" w:rsidR="00552512" w:rsidRDefault="00552512" w:rsidP="00AF4CAA">
            <w:pPr>
              <w:pStyle w:val="NoSpacing"/>
            </w:pPr>
            <w:r>
              <w:t xml:space="preserve">1. </w:t>
            </w:r>
          </w:p>
        </w:tc>
        <w:tc>
          <w:tcPr>
            <w:tcW w:w="5783" w:type="dxa"/>
            <w:tcBorders>
              <w:top w:val="single" w:sz="4" w:space="0" w:color="auto"/>
            </w:tcBorders>
          </w:tcPr>
          <w:p w14:paraId="110FC7AA" w14:textId="79FEC1C0" w:rsidR="00552512" w:rsidRDefault="00552512" w:rsidP="00AF4CAA">
            <w:pPr>
              <w:pStyle w:val="NoSpacing"/>
            </w:pPr>
            <w:r>
              <w:t>Marius Goodman</w:t>
            </w:r>
          </w:p>
        </w:tc>
        <w:tc>
          <w:tcPr>
            <w:tcW w:w="2721" w:type="dxa"/>
            <w:tcBorders>
              <w:top w:val="single" w:sz="4" w:space="0" w:color="auto"/>
            </w:tcBorders>
          </w:tcPr>
          <w:p w14:paraId="256B74F1" w14:textId="3613B3E5" w:rsidR="00552512" w:rsidRDefault="00552512" w:rsidP="00AF4CAA">
            <w:pPr>
              <w:pStyle w:val="NoSpacing"/>
            </w:pPr>
            <w:r>
              <w:t>1918-193</w:t>
            </w:r>
            <w:r w:rsidR="00455FB6">
              <w:t>8</w:t>
            </w:r>
          </w:p>
        </w:tc>
      </w:tr>
      <w:tr w:rsidR="00552512" w14:paraId="6A60EBFB" w14:textId="77777777" w:rsidTr="00242415">
        <w:tc>
          <w:tcPr>
            <w:tcW w:w="842" w:type="dxa"/>
          </w:tcPr>
          <w:p w14:paraId="5FB546DF" w14:textId="75C4DBB8" w:rsidR="00552512" w:rsidRDefault="00552512" w:rsidP="00AF4CAA">
            <w:pPr>
              <w:pStyle w:val="NoSpacing"/>
            </w:pPr>
            <w:r>
              <w:t xml:space="preserve">2. </w:t>
            </w:r>
          </w:p>
        </w:tc>
        <w:tc>
          <w:tcPr>
            <w:tcW w:w="5783" w:type="dxa"/>
          </w:tcPr>
          <w:p w14:paraId="486CC356" w14:textId="4D15B987" w:rsidR="00552512" w:rsidRDefault="00552512" w:rsidP="00AF4CAA">
            <w:pPr>
              <w:pStyle w:val="NoSpacing"/>
            </w:pPr>
            <w:r>
              <w:t>Jarvis Wise</w:t>
            </w:r>
          </w:p>
        </w:tc>
        <w:tc>
          <w:tcPr>
            <w:tcW w:w="2721" w:type="dxa"/>
          </w:tcPr>
          <w:p w14:paraId="0F8E8A6B" w14:textId="616E53BA" w:rsidR="00552512" w:rsidRDefault="00552512" w:rsidP="00AF4CAA">
            <w:pPr>
              <w:pStyle w:val="NoSpacing"/>
            </w:pPr>
            <w:r>
              <w:t>193</w:t>
            </w:r>
            <w:r w:rsidR="00455FB6">
              <w:t>8</w:t>
            </w:r>
            <w:r>
              <w:t>-195</w:t>
            </w:r>
            <w:r w:rsidR="00455FB6">
              <w:t>3</w:t>
            </w:r>
          </w:p>
        </w:tc>
      </w:tr>
      <w:tr w:rsidR="00552512" w14:paraId="05EAC499" w14:textId="77777777" w:rsidTr="00242415">
        <w:tc>
          <w:tcPr>
            <w:tcW w:w="842" w:type="dxa"/>
          </w:tcPr>
          <w:p w14:paraId="3D719869" w14:textId="1C2E20DA" w:rsidR="00552512" w:rsidRDefault="00552512" w:rsidP="00AF4CAA">
            <w:pPr>
              <w:pStyle w:val="NoSpacing"/>
            </w:pPr>
            <w:r>
              <w:t xml:space="preserve">3. </w:t>
            </w:r>
          </w:p>
        </w:tc>
        <w:tc>
          <w:tcPr>
            <w:tcW w:w="5783" w:type="dxa"/>
          </w:tcPr>
          <w:p w14:paraId="49F0D181" w14:textId="1A91BF9D" w:rsidR="00552512" w:rsidRDefault="00552512" w:rsidP="00AF4CAA">
            <w:pPr>
              <w:pStyle w:val="NoSpacing"/>
            </w:pPr>
            <w:r>
              <w:t>Jonah Spendler</w:t>
            </w:r>
          </w:p>
        </w:tc>
        <w:tc>
          <w:tcPr>
            <w:tcW w:w="2721" w:type="dxa"/>
          </w:tcPr>
          <w:p w14:paraId="36A22824" w14:textId="637D9F3C" w:rsidR="00552512" w:rsidRDefault="00552512" w:rsidP="00AF4CAA">
            <w:pPr>
              <w:pStyle w:val="NoSpacing"/>
            </w:pPr>
            <w:r>
              <w:t>195</w:t>
            </w:r>
            <w:r w:rsidR="00455FB6">
              <w:t>3</w:t>
            </w:r>
            <w:r>
              <w:t>-197</w:t>
            </w:r>
            <w:r w:rsidR="00455FB6">
              <w:t>3</w:t>
            </w:r>
          </w:p>
        </w:tc>
      </w:tr>
      <w:tr w:rsidR="00552512" w14:paraId="7F61E0CE" w14:textId="77777777" w:rsidTr="00242415">
        <w:tc>
          <w:tcPr>
            <w:tcW w:w="842" w:type="dxa"/>
          </w:tcPr>
          <w:p w14:paraId="6A29D6AB" w14:textId="224BE10B" w:rsidR="00552512" w:rsidRDefault="00552512" w:rsidP="00AF4CAA">
            <w:pPr>
              <w:pStyle w:val="NoSpacing"/>
            </w:pPr>
            <w:r>
              <w:t xml:space="preserve">4. </w:t>
            </w:r>
          </w:p>
        </w:tc>
        <w:tc>
          <w:tcPr>
            <w:tcW w:w="5783" w:type="dxa"/>
          </w:tcPr>
          <w:p w14:paraId="621D41B3" w14:textId="0CB4AAFF" w:rsidR="00552512" w:rsidRDefault="00552512" w:rsidP="00AF4CAA">
            <w:pPr>
              <w:pStyle w:val="NoSpacing"/>
            </w:pPr>
            <w:r>
              <w:t>Joseph Bernardo</w:t>
            </w:r>
          </w:p>
        </w:tc>
        <w:tc>
          <w:tcPr>
            <w:tcW w:w="2721" w:type="dxa"/>
          </w:tcPr>
          <w:p w14:paraId="176E593B" w14:textId="27CCD32F" w:rsidR="00552512" w:rsidRDefault="00552512" w:rsidP="00AF4CAA">
            <w:pPr>
              <w:pStyle w:val="NoSpacing"/>
            </w:pPr>
            <w:r>
              <w:t>197</w:t>
            </w:r>
            <w:r w:rsidR="00455FB6">
              <w:t>3</w:t>
            </w:r>
            <w:r>
              <w:t>-198</w:t>
            </w:r>
            <w:r w:rsidR="00455FB6">
              <w:t>8</w:t>
            </w:r>
          </w:p>
        </w:tc>
      </w:tr>
      <w:tr w:rsidR="00552512" w14:paraId="47F17019" w14:textId="77777777" w:rsidTr="00242415">
        <w:tc>
          <w:tcPr>
            <w:tcW w:w="842" w:type="dxa"/>
          </w:tcPr>
          <w:p w14:paraId="1F16F846" w14:textId="645B392F" w:rsidR="00552512" w:rsidRDefault="00552512" w:rsidP="00AF4CAA">
            <w:pPr>
              <w:pStyle w:val="NoSpacing"/>
            </w:pPr>
            <w:r>
              <w:t xml:space="preserve">5. </w:t>
            </w:r>
          </w:p>
        </w:tc>
        <w:tc>
          <w:tcPr>
            <w:tcW w:w="5783" w:type="dxa"/>
          </w:tcPr>
          <w:p w14:paraId="4F3F5066" w14:textId="78CD77F7" w:rsidR="00552512" w:rsidRDefault="00552512" w:rsidP="00AF4CAA">
            <w:pPr>
              <w:pStyle w:val="NoSpacing"/>
            </w:pPr>
            <w:r>
              <w:t>Richard Mueller</w:t>
            </w:r>
          </w:p>
        </w:tc>
        <w:tc>
          <w:tcPr>
            <w:tcW w:w="2721" w:type="dxa"/>
          </w:tcPr>
          <w:p w14:paraId="4AFC3105" w14:textId="453A16F6" w:rsidR="00552512" w:rsidRDefault="00552512" w:rsidP="00AF4CAA">
            <w:pPr>
              <w:pStyle w:val="NoSpacing"/>
            </w:pPr>
            <w:r>
              <w:t>198</w:t>
            </w:r>
            <w:r w:rsidR="00455FB6">
              <w:t>8</w:t>
            </w:r>
            <w:r>
              <w:t>-2003</w:t>
            </w:r>
          </w:p>
        </w:tc>
      </w:tr>
      <w:tr w:rsidR="00552512" w14:paraId="1D417241" w14:textId="77777777" w:rsidTr="00242415">
        <w:tc>
          <w:tcPr>
            <w:tcW w:w="842" w:type="dxa"/>
          </w:tcPr>
          <w:p w14:paraId="4CD0A385" w14:textId="14E76A4A" w:rsidR="00552512" w:rsidRDefault="00552512" w:rsidP="00AF4CAA">
            <w:pPr>
              <w:pStyle w:val="NoSpacing"/>
            </w:pPr>
            <w:r>
              <w:t xml:space="preserve">6. </w:t>
            </w:r>
          </w:p>
        </w:tc>
        <w:tc>
          <w:tcPr>
            <w:tcW w:w="5783" w:type="dxa"/>
          </w:tcPr>
          <w:p w14:paraId="7B1E0299" w14:textId="2043F4FC" w:rsidR="00552512" w:rsidRDefault="00552512" w:rsidP="00AF4CAA">
            <w:pPr>
              <w:pStyle w:val="NoSpacing"/>
            </w:pPr>
            <w:r>
              <w:t>Frank Yoshida</w:t>
            </w:r>
          </w:p>
        </w:tc>
        <w:tc>
          <w:tcPr>
            <w:tcW w:w="2721" w:type="dxa"/>
          </w:tcPr>
          <w:p w14:paraId="4956AD41" w14:textId="0FCB9152" w:rsidR="00552512" w:rsidRDefault="00552512" w:rsidP="00AF4CAA">
            <w:pPr>
              <w:pStyle w:val="NoSpacing"/>
            </w:pPr>
            <w:r>
              <w:t>2003-2018</w:t>
            </w:r>
          </w:p>
        </w:tc>
      </w:tr>
      <w:tr w:rsidR="00552512" w14:paraId="1FFF2DA1" w14:textId="77777777" w:rsidTr="00242415">
        <w:tc>
          <w:tcPr>
            <w:tcW w:w="842" w:type="dxa"/>
          </w:tcPr>
          <w:p w14:paraId="1FAE3ABC" w14:textId="0F8E679D" w:rsidR="00552512" w:rsidRDefault="00451BDB" w:rsidP="00AF4CAA">
            <w:pPr>
              <w:pStyle w:val="NoSpacing"/>
            </w:pPr>
            <w:r>
              <w:t>7</w:t>
            </w:r>
            <w:r w:rsidR="00552512">
              <w:t xml:space="preserve">. </w:t>
            </w:r>
          </w:p>
        </w:tc>
        <w:tc>
          <w:tcPr>
            <w:tcW w:w="5783" w:type="dxa"/>
          </w:tcPr>
          <w:p w14:paraId="7A1013F0" w14:textId="5E84395F" w:rsidR="00552512" w:rsidRDefault="00552512" w:rsidP="00AF4CAA">
            <w:pPr>
              <w:pStyle w:val="NoSpacing"/>
            </w:pPr>
            <w:r>
              <w:t>Alexandra F. Kennedy</w:t>
            </w:r>
          </w:p>
        </w:tc>
        <w:tc>
          <w:tcPr>
            <w:tcW w:w="2721" w:type="dxa"/>
          </w:tcPr>
          <w:p w14:paraId="55D9CFA1" w14:textId="21FCE2E9" w:rsidR="00552512" w:rsidRDefault="00552512" w:rsidP="00AF4CAA">
            <w:pPr>
              <w:pStyle w:val="NoSpacing"/>
            </w:pPr>
            <w:r>
              <w:t>2018-</w:t>
            </w:r>
          </w:p>
        </w:tc>
      </w:tr>
    </w:tbl>
    <w:p w14:paraId="0BE6636A" w14:textId="680CF02F" w:rsidR="00BB7F92" w:rsidRDefault="00BB7F92" w:rsidP="007778AC"/>
    <w:p w14:paraId="536729D1" w14:textId="77777777" w:rsidR="00BB7F92" w:rsidRDefault="00BB7F92">
      <w:pPr>
        <w:spacing w:before="0" w:line="259" w:lineRule="auto"/>
        <w:ind w:firstLine="0"/>
      </w:pPr>
      <w:r>
        <w:br w:type="page"/>
      </w:r>
    </w:p>
    <w:p w14:paraId="3B48846C" w14:textId="3269F24E" w:rsidR="007778AC" w:rsidRDefault="00BB7F92" w:rsidP="00BB7F92">
      <w:pPr>
        <w:pStyle w:val="Heading1"/>
      </w:pPr>
      <w:bookmarkStart w:id="70" w:name="_Toc202006256"/>
      <w:r>
        <w:lastRenderedPageBreak/>
        <w:t>Bibliography</w:t>
      </w:r>
      <w:bookmarkEnd w:id="70"/>
    </w:p>
    <w:sdt>
      <w:sdtPr>
        <w:id w:val="111145805"/>
        <w:bibliography/>
      </w:sdtPr>
      <w:sdtContent>
        <w:p w14:paraId="61CDAE1D" w14:textId="77777777" w:rsidR="00805A9B" w:rsidRDefault="00BB7F92" w:rsidP="00805A9B">
          <w:pPr>
            <w:pStyle w:val="Bibliography"/>
            <w:ind w:left="720" w:hanging="720"/>
            <w:rPr>
              <w:noProof/>
              <w:sz w:val="24"/>
              <w:szCs w:val="24"/>
            </w:rPr>
          </w:pPr>
          <w:r>
            <w:fldChar w:fldCharType="begin"/>
          </w:r>
          <w:r>
            <w:instrText xml:space="preserve"> BIBLIOGRAPHY </w:instrText>
          </w:r>
          <w:r>
            <w:fldChar w:fldCharType="separate"/>
          </w:r>
          <w:r w:rsidR="00805A9B">
            <w:rPr>
              <w:noProof/>
            </w:rPr>
            <w:t xml:space="preserve">Acrement, Anastace. 2012. </w:t>
          </w:r>
          <w:r w:rsidR="00805A9B">
            <w:rPr>
              <w:i/>
              <w:iCs/>
              <w:noProof/>
            </w:rPr>
            <w:t>The Origins of the St. Louis Mechanics’ Uprising.</w:t>
          </w:r>
          <w:r w:rsidR="00805A9B">
            <w:rPr>
              <w:noProof/>
            </w:rPr>
            <w:t xml:space="preserve"> St. Louis: University of St. Louis.</w:t>
          </w:r>
        </w:p>
        <w:p w14:paraId="2A9D7A49" w14:textId="77777777" w:rsidR="00805A9B" w:rsidRDefault="00805A9B" w:rsidP="00805A9B">
          <w:pPr>
            <w:pStyle w:val="Bibliography"/>
            <w:ind w:left="720" w:hanging="720"/>
            <w:rPr>
              <w:noProof/>
            </w:rPr>
          </w:pPr>
          <w:r>
            <w:rPr>
              <w:noProof/>
            </w:rPr>
            <w:t xml:space="preserve">Agu, Isaie. 1989. "Rails, Rivers, and Republicanism: John C. Calhoun’s Memphis Strategy." </w:t>
          </w:r>
          <w:r>
            <w:rPr>
              <w:i/>
              <w:iCs/>
              <w:noProof/>
            </w:rPr>
            <w:t>American Historical Quarterly, Vol. 55, No. 3.</w:t>
          </w:r>
          <w:r>
            <w:rPr>
              <w:noProof/>
            </w:rPr>
            <w:t xml:space="preserve"> </w:t>
          </w:r>
        </w:p>
        <w:p w14:paraId="7668FDA3" w14:textId="77777777" w:rsidR="00805A9B" w:rsidRDefault="00805A9B" w:rsidP="00805A9B">
          <w:pPr>
            <w:pStyle w:val="Bibliography"/>
            <w:ind w:left="720" w:hanging="720"/>
            <w:rPr>
              <w:noProof/>
            </w:rPr>
          </w:pPr>
          <w:r>
            <w:rPr>
              <w:noProof/>
            </w:rPr>
            <w:t xml:space="preserve">Antonov, Dennis. 2011. </w:t>
          </w:r>
          <w:r>
            <w:rPr>
              <w:i/>
              <w:iCs/>
              <w:noProof/>
            </w:rPr>
            <w:t>The Brother Republics: British Emigration to the United States, 1830-1868.</w:t>
          </w:r>
          <w:r>
            <w:rPr>
              <w:noProof/>
            </w:rPr>
            <w:t xml:space="preserve"> Chester: University of Shackamia Press.</w:t>
          </w:r>
        </w:p>
        <w:p w14:paraId="34D73C1E" w14:textId="77777777" w:rsidR="00805A9B" w:rsidRDefault="00805A9B" w:rsidP="00805A9B">
          <w:pPr>
            <w:pStyle w:val="Bibliography"/>
            <w:ind w:left="720" w:hanging="720"/>
            <w:rPr>
              <w:noProof/>
            </w:rPr>
          </w:pPr>
          <w:r>
            <w:rPr>
              <w:noProof/>
            </w:rPr>
            <w:t xml:space="preserve">—. 1999. </w:t>
          </w:r>
          <w:r>
            <w:rPr>
              <w:i/>
              <w:iCs/>
              <w:noProof/>
            </w:rPr>
            <w:t>The Warping of Slavonia: Orthodox Christianity in the United States, 1840 to Present.</w:t>
          </w:r>
          <w:r>
            <w:rPr>
              <w:noProof/>
            </w:rPr>
            <w:t xml:space="preserve"> Chester: University of Shackamia Press.</w:t>
          </w:r>
        </w:p>
        <w:p w14:paraId="402A25F0" w14:textId="77777777" w:rsidR="00805A9B" w:rsidRDefault="00805A9B" w:rsidP="00805A9B">
          <w:pPr>
            <w:pStyle w:val="Bibliography"/>
            <w:ind w:left="720" w:hanging="720"/>
            <w:rPr>
              <w:noProof/>
            </w:rPr>
          </w:pPr>
          <w:r>
            <w:rPr>
              <w:noProof/>
            </w:rPr>
            <w:t xml:space="preserve">Armstrong, Wealthow. 1974. </w:t>
          </w:r>
          <w:r>
            <w:rPr>
              <w:i/>
              <w:iCs/>
              <w:noProof/>
            </w:rPr>
            <w:t>The Rise of the Old West: Urbanization and Investment from Sandusky to Sowashee, 1800–1825.</w:t>
          </w:r>
          <w:r>
            <w:rPr>
              <w:noProof/>
            </w:rPr>
            <w:t xml:space="preserve"> Concord: Quiner University.</w:t>
          </w:r>
        </w:p>
        <w:p w14:paraId="2BFE3644" w14:textId="77777777" w:rsidR="00805A9B" w:rsidRDefault="00805A9B" w:rsidP="00805A9B">
          <w:pPr>
            <w:pStyle w:val="Bibliography"/>
            <w:ind w:left="720" w:hanging="720"/>
            <w:rPr>
              <w:noProof/>
            </w:rPr>
          </w:pPr>
          <w:r>
            <w:rPr>
              <w:noProof/>
            </w:rPr>
            <w:t xml:space="preserve">—. 1968. </w:t>
          </w:r>
          <w:r>
            <w:rPr>
              <w:i/>
              <w:iCs/>
              <w:noProof/>
            </w:rPr>
            <w:t>The Western Boom: Urbanization and Investment from St. Louis to New Orleans, 1829–1842.</w:t>
          </w:r>
          <w:r>
            <w:rPr>
              <w:noProof/>
            </w:rPr>
            <w:t xml:space="preserve"> Concord: Quiner University.</w:t>
          </w:r>
        </w:p>
        <w:p w14:paraId="52748C85" w14:textId="77777777" w:rsidR="00805A9B" w:rsidRDefault="00805A9B" w:rsidP="00805A9B">
          <w:pPr>
            <w:pStyle w:val="Bibliography"/>
            <w:ind w:left="720" w:hanging="720"/>
            <w:rPr>
              <w:noProof/>
            </w:rPr>
          </w:pPr>
          <w:r>
            <w:rPr>
              <w:noProof/>
            </w:rPr>
            <w:t xml:space="preserve">Attwood, Caleb. 1973. </w:t>
          </w:r>
          <w:r>
            <w:rPr>
              <w:i/>
              <w:iCs/>
              <w:noProof/>
            </w:rPr>
            <w:t>Altar or Democracy? Roman Catholicism in the United States, 1789 to Present.</w:t>
          </w:r>
          <w:r>
            <w:rPr>
              <w:noProof/>
            </w:rPr>
            <w:t xml:space="preserve"> Dartmouth: Dartmouth College Press.</w:t>
          </w:r>
        </w:p>
        <w:p w14:paraId="5C3F9E89" w14:textId="77777777" w:rsidR="00805A9B" w:rsidRDefault="00805A9B" w:rsidP="00805A9B">
          <w:pPr>
            <w:pStyle w:val="Bibliography"/>
            <w:ind w:left="720" w:hanging="720"/>
            <w:rPr>
              <w:noProof/>
            </w:rPr>
          </w:pPr>
          <w:r>
            <w:rPr>
              <w:noProof/>
            </w:rPr>
            <w:t xml:space="preserve">Attwood, Caleb. 1980. "The Cross and the Crescent: Anti-Catholicism and the Birth of Mass Politics in the Age of Burr." </w:t>
          </w:r>
          <w:r>
            <w:rPr>
              <w:i/>
              <w:iCs/>
              <w:noProof/>
            </w:rPr>
            <w:t>New Albion Historical Quarterly, vol. 3, no. 2.</w:t>
          </w:r>
          <w:r>
            <w:rPr>
              <w:noProof/>
            </w:rPr>
            <w:t xml:space="preserve"> </w:t>
          </w:r>
        </w:p>
        <w:p w14:paraId="0FB1CDE8" w14:textId="77777777" w:rsidR="00805A9B" w:rsidRDefault="00805A9B" w:rsidP="00805A9B">
          <w:pPr>
            <w:pStyle w:val="Bibliography"/>
            <w:ind w:left="720" w:hanging="720"/>
            <w:rPr>
              <w:noProof/>
            </w:rPr>
          </w:pPr>
          <w:r>
            <w:rPr>
              <w:noProof/>
            </w:rPr>
            <w:t xml:space="preserve">Azèrre, Claudine. 1981. </w:t>
          </w:r>
          <w:r>
            <w:rPr>
              <w:i/>
              <w:iCs/>
              <w:noProof/>
            </w:rPr>
            <w:t>The Ghost of Thermidor: Jefferson, the French Revolution, and the Transatlantic Republic.</w:t>
          </w:r>
          <w:r>
            <w:rPr>
              <w:noProof/>
            </w:rPr>
            <w:t xml:space="preserve"> Paris: Éditions de la République.</w:t>
          </w:r>
        </w:p>
        <w:p w14:paraId="3334F27B" w14:textId="77777777" w:rsidR="00805A9B" w:rsidRDefault="00805A9B" w:rsidP="00805A9B">
          <w:pPr>
            <w:pStyle w:val="Bibliography"/>
            <w:ind w:left="720" w:hanging="720"/>
            <w:rPr>
              <w:noProof/>
            </w:rPr>
          </w:pPr>
          <w:r>
            <w:rPr>
              <w:noProof/>
            </w:rPr>
            <w:t xml:space="preserve">Bauer, Frederick. 1859-1882. </w:t>
          </w:r>
          <w:r>
            <w:rPr>
              <w:i/>
              <w:iCs/>
              <w:noProof/>
            </w:rPr>
            <w:t>On the Planter Ascendancy.</w:t>
          </w:r>
          <w:r>
            <w:rPr>
              <w:noProof/>
            </w:rPr>
            <w:t xml:space="preserve"> Cincinnati: Cincinnati Gazette.</w:t>
          </w:r>
        </w:p>
        <w:p w14:paraId="1147312D" w14:textId="77777777" w:rsidR="00805A9B" w:rsidRDefault="00805A9B" w:rsidP="00805A9B">
          <w:pPr>
            <w:pStyle w:val="Bibliography"/>
            <w:ind w:left="720" w:hanging="720"/>
            <w:rPr>
              <w:noProof/>
            </w:rPr>
          </w:pPr>
          <w:r>
            <w:rPr>
              <w:noProof/>
            </w:rPr>
            <w:t xml:space="preserve">Beavers, James. 1999. </w:t>
          </w:r>
          <w:r>
            <w:rPr>
              <w:i/>
              <w:iCs/>
              <w:noProof/>
            </w:rPr>
            <w:t>The City of the Falls: A History of Louisville, 1778 to Present.</w:t>
          </w:r>
          <w:r>
            <w:rPr>
              <w:noProof/>
            </w:rPr>
            <w:t xml:space="preserve"> Louisville: University of Louisville.</w:t>
          </w:r>
        </w:p>
        <w:p w14:paraId="733652AD" w14:textId="77777777" w:rsidR="00805A9B" w:rsidRDefault="00805A9B" w:rsidP="00805A9B">
          <w:pPr>
            <w:pStyle w:val="Bibliography"/>
            <w:ind w:left="720" w:hanging="720"/>
            <w:rPr>
              <w:noProof/>
            </w:rPr>
          </w:pPr>
          <w:r>
            <w:rPr>
              <w:noProof/>
            </w:rPr>
            <w:t xml:space="preserve">Belknap, George. 2000. </w:t>
          </w:r>
          <w:r>
            <w:rPr>
              <w:i/>
              <w:iCs/>
              <w:noProof/>
            </w:rPr>
            <w:t>The Expanse of the Sword: The Luisiana War, 1825-8.</w:t>
          </w:r>
          <w:r>
            <w:rPr>
              <w:noProof/>
            </w:rPr>
            <w:t xml:space="preserve"> Wilmington: University of Wilmington.</w:t>
          </w:r>
        </w:p>
        <w:p w14:paraId="060EB40F" w14:textId="77777777" w:rsidR="00805A9B" w:rsidRDefault="00805A9B" w:rsidP="00805A9B">
          <w:pPr>
            <w:pStyle w:val="Bibliography"/>
            <w:ind w:left="720" w:hanging="720"/>
            <w:rPr>
              <w:noProof/>
            </w:rPr>
          </w:pPr>
          <w:r>
            <w:rPr>
              <w:noProof/>
            </w:rPr>
            <w:lastRenderedPageBreak/>
            <w:t xml:space="preserve">—. 1993. </w:t>
          </w:r>
          <w:r>
            <w:rPr>
              <w:i/>
              <w:iCs/>
              <w:noProof/>
            </w:rPr>
            <w:t>The Miserable Little Conflict: The Second Quasi-War, 1839-42.</w:t>
          </w:r>
          <w:r>
            <w:rPr>
              <w:noProof/>
            </w:rPr>
            <w:t xml:space="preserve"> Wilmington: University of Wilmington Press.</w:t>
          </w:r>
        </w:p>
        <w:p w14:paraId="7D1E44A4" w14:textId="77777777" w:rsidR="00805A9B" w:rsidRDefault="00805A9B" w:rsidP="00805A9B">
          <w:pPr>
            <w:pStyle w:val="Bibliography"/>
            <w:ind w:left="720" w:hanging="720"/>
            <w:rPr>
              <w:noProof/>
            </w:rPr>
          </w:pPr>
          <w:r>
            <w:rPr>
              <w:noProof/>
            </w:rPr>
            <w:t xml:space="preserve">Bellamy, Simone. 2004. "From Black Dan to the Bank Scandal: Race, Reputation, and Political Collapse." </w:t>
          </w:r>
          <w:r>
            <w:rPr>
              <w:i/>
              <w:iCs/>
              <w:noProof/>
            </w:rPr>
            <w:t>American Historical Quarterly, Vol. 89, No. 2.</w:t>
          </w:r>
          <w:r>
            <w:rPr>
              <w:noProof/>
            </w:rPr>
            <w:t xml:space="preserve"> </w:t>
          </w:r>
        </w:p>
        <w:p w14:paraId="0D3C3354" w14:textId="77777777" w:rsidR="00805A9B" w:rsidRDefault="00805A9B" w:rsidP="00805A9B">
          <w:pPr>
            <w:pStyle w:val="Bibliography"/>
            <w:ind w:left="720" w:hanging="720"/>
            <w:rPr>
              <w:noProof/>
            </w:rPr>
          </w:pPr>
          <w:r>
            <w:rPr>
              <w:noProof/>
            </w:rPr>
            <w:t xml:space="preserve">Blanchet, Bess. 2013. </w:t>
          </w:r>
          <w:r>
            <w:rPr>
              <w:i/>
              <w:iCs/>
              <w:noProof/>
            </w:rPr>
            <w:t>Too Large for an Insane Asylum: Antebellum South Carolina and Her Society.</w:t>
          </w:r>
          <w:r>
            <w:rPr>
              <w:noProof/>
            </w:rPr>
            <w:t xml:space="preserve"> Alexandria: Library of Alexandria Publishing.</w:t>
          </w:r>
        </w:p>
        <w:p w14:paraId="5989D8C8" w14:textId="77777777" w:rsidR="00805A9B" w:rsidRDefault="00805A9B" w:rsidP="00805A9B">
          <w:pPr>
            <w:pStyle w:val="Bibliography"/>
            <w:ind w:left="720" w:hanging="720"/>
            <w:rPr>
              <w:noProof/>
            </w:rPr>
          </w:pPr>
          <w:r>
            <w:rPr>
              <w:noProof/>
            </w:rPr>
            <w:t xml:space="preserve">Blanchet, Émile. 2011-2024. </w:t>
          </w:r>
          <w:r>
            <w:rPr>
              <w:i/>
              <w:iCs/>
              <w:noProof/>
            </w:rPr>
            <w:t>The Unification of Italy, 1796-1854.</w:t>
          </w:r>
          <w:r>
            <w:rPr>
              <w:noProof/>
            </w:rPr>
            <w:t xml:space="preserve"> Paris: Éditions de la République.</w:t>
          </w:r>
        </w:p>
        <w:p w14:paraId="184E6480" w14:textId="77777777" w:rsidR="00805A9B" w:rsidRDefault="00805A9B" w:rsidP="00805A9B">
          <w:pPr>
            <w:pStyle w:val="Bibliography"/>
            <w:ind w:left="720" w:hanging="720"/>
            <w:rPr>
              <w:noProof/>
            </w:rPr>
          </w:pPr>
          <w:r>
            <w:rPr>
              <w:noProof/>
            </w:rPr>
            <w:t xml:space="preserve">Bland, Deckard. 2021. </w:t>
          </w:r>
          <w:r>
            <w:rPr>
              <w:i/>
              <w:iCs/>
              <w:noProof/>
            </w:rPr>
            <w:t>Burr and Liberty: The Rise of American Democracy.</w:t>
          </w:r>
          <w:r>
            <w:rPr>
              <w:noProof/>
            </w:rPr>
            <w:t xml:space="preserve"> Washington: Library of Alexandria Publishing.</w:t>
          </w:r>
        </w:p>
        <w:p w14:paraId="12722EF0" w14:textId="77777777" w:rsidR="00805A9B" w:rsidRDefault="00805A9B" w:rsidP="00805A9B">
          <w:pPr>
            <w:pStyle w:val="Bibliography"/>
            <w:ind w:left="720" w:hanging="720"/>
            <w:rPr>
              <w:noProof/>
            </w:rPr>
          </w:pPr>
          <w:r>
            <w:rPr>
              <w:noProof/>
            </w:rPr>
            <w:t xml:space="preserve">Boskov, Henry. 2011. </w:t>
          </w:r>
          <w:r>
            <w:rPr>
              <w:i/>
              <w:iCs/>
              <w:noProof/>
            </w:rPr>
            <w:t>Abolition, Democracy, and Radicalism: The International Movement against Slavery, 1830-1868.</w:t>
          </w:r>
          <w:r>
            <w:rPr>
              <w:noProof/>
            </w:rPr>
            <w:t xml:space="preserve"> Concord: Quiner University.</w:t>
          </w:r>
        </w:p>
        <w:p w14:paraId="417F55A6" w14:textId="77777777" w:rsidR="00805A9B" w:rsidRDefault="00805A9B" w:rsidP="00805A9B">
          <w:pPr>
            <w:pStyle w:val="Bibliography"/>
            <w:ind w:left="720" w:hanging="720"/>
            <w:rPr>
              <w:noProof/>
            </w:rPr>
          </w:pPr>
          <w:r>
            <w:rPr>
              <w:noProof/>
            </w:rPr>
            <w:t xml:space="preserve">—. 2020. </w:t>
          </w:r>
          <w:r>
            <w:rPr>
              <w:i/>
              <w:iCs/>
              <w:noProof/>
            </w:rPr>
            <w:t>Democracy and the Red Atlantic: Anglo-American Radicalism in the Great Plateau of the Age of Revolutions, 1830-1868.</w:t>
          </w:r>
          <w:r>
            <w:rPr>
              <w:noProof/>
            </w:rPr>
            <w:t xml:space="preserve"> Concord: Quiner University.</w:t>
          </w:r>
        </w:p>
        <w:p w14:paraId="4D059E71" w14:textId="77777777" w:rsidR="00805A9B" w:rsidRDefault="00805A9B" w:rsidP="00805A9B">
          <w:pPr>
            <w:pStyle w:val="Bibliography"/>
            <w:ind w:left="720" w:hanging="720"/>
            <w:rPr>
              <w:noProof/>
            </w:rPr>
          </w:pPr>
          <w:r>
            <w:rPr>
              <w:noProof/>
            </w:rPr>
            <w:t xml:space="preserve">—. 2024. </w:t>
          </w:r>
          <w:r>
            <w:rPr>
              <w:i/>
              <w:iCs/>
              <w:noProof/>
            </w:rPr>
            <w:t>The Rise of Internationalism: Richard Cobden, John Morley and the Road to the International Forum.</w:t>
          </w:r>
          <w:r>
            <w:rPr>
              <w:noProof/>
            </w:rPr>
            <w:t xml:space="preserve"> Concord: Quiner University.</w:t>
          </w:r>
        </w:p>
        <w:p w14:paraId="6B9C266C" w14:textId="77777777" w:rsidR="00805A9B" w:rsidRDefault="00805A9B" w:rsidP="00805A9B">
          <w:pPr>
            <w:pStyle w:val="Bibliography"/>
            <w:ind w:left="720" w:hanging="720"/>
            <w:rPr>
              <w:noProof/>
            </w:rPr>
          </w:pPr>
          <w:r>
            <w:rPr>
              <w:noProof/>
            </w:rPr>
            <w:t xml:space="preserve">—. 2004. </w:t>
          </w:r>
          <w:r>
            <w:rPr>
              <w:i/>
              <w:iCs/>
              <w:noProof/>
            </w:rPr>
            <w:t>Young America, Young Italy, and Transatlantic Revolution.</w:t>
          </w:r>
          <w:r>
            <w:rPr>
              <w:noProof/>
            </w:rPr>
            <w:t xml:space="preserve"> Concord: Quiner University.</w:t>
          </w:r>
        </w:p>
        <w:p w14:paraId="607AE11D" w14:textId="77777777" w:rsidR="00805A9B" w:rsidRDefault="00805A9B" w:rsidP="00805A9B">
          <w:pPr>
            <w:pStyle w:val="Bibliography"/>
            <w:ind w:left="720" w:hanging="720"/>
            <w:rPr>
              <w:noProof/>
            </w:rPr>
          </w:pPr>
          <w:r>
            <w:rPr>
              <w:noProof/>
            </w:rPr>
            <w:t xml:space="preserve">Bourke, Maurice. 2011. </w:t>
          </w:r>
          <w:r>
            <w:rPr>
              <w:i/>
              <w:iCs/>
              <w:noProof/>
            </w:rPr>
            <w:t>The Advocate for Humanity: Daniel O’Connell, the Man, and his Times.</w:t>
          </w:r>
          <w:r>
            <w:rPr>
              <w:noProof/>
            </w:rPr>
            <w:t xml:space="preserve"> Dublin: Dublin Historical Studies.</w:t>
          </w:r>
        </w:p>
        <w:p w14:paraId="651AF451" w14:textId="77777777" w:rsidR="00805A9B" w:rsidRDefault="00805A9B" w:rsidP="00805A9B">
          <w:pPr>
            <w:pStyle w:val="Bibliography"/>
            <w:ind w:left="720" w:hanging="720"/>
            <w:rPr>
              <w:noProof/>
            </w:rPr>
          </w:pPr>
          <w:r>
            <w:rPr>
              <w:noProof/>
            </w:rPr>
            <w:t xml:space="preserve">—. 2002. </w:t>
          </w:r>
          <w:r>
            <w:rPr>
              <w:i/>
              <w:iCs/>
              <w:noProof/>
            </w:rPr>
            <w:t>Towards the Abolition of War: The British Peace Movement, 1793-1940.</w:t>
          </w:r>
          <w:r>
            <w:rPr>
              <w:noProof/>
            </w:rPr>
            <w:t xml:space="preserve"> Dublin: Dublin Historical Studies.</w:t>
          </w:r>
        </w:p>
        <w:p w14:paraId="561BBF03" w14:textId="77777777" w:rsidR="00805A9B" w:rsidRDefault="00805A9B" w:rsidP="00805A9B">
          <w:pPr>
            <w:pStyle w:val="Bibliography"/>
            <w:ind w:left="720" w:hanging="720"/>
            <w:rPr>
              <w:noProof/>
            </w:rPr>
          </w:pPr>
          <w:r>
            <w:rPr>
              <w:noProof/>
            </w:rPr>
            <w:t xml:space="preserve">Brickley, F.M. 2023. </w:t>
          </w:r>
          <w:r>
            <w:rPr>
              <w:i/>
              <w:iCs/>
              <w:noProof/>
            </w:rPr>
            <w:t>Banking, Booms, and Busts: American Finances in the Antebellum Years.</w:t>
          </w:r>
          <w:r>
            <w:rPr>
              <w:noProof/>
            </w:rPr>
            <w:t xml:space="preserve"> Washington: Library of Alexandria Publishing.</w:t>
          </w:r>
        </w:p>
        <w:p w14:paraId="017BAC09" w14:textId="77777777" w:rsidR="00805A9B" w:rsidRDefault="00805A9B" w:rsidP="00805A9B">
          <w:pPr>
            <w:pStyle w:val="Bibliography"/>
            <w:ind w:left="720" w:hanging="720"/>
            <w:rPr>
              <w:noProof/>
            </w:rPr>
          </w:pPr>
          <w:r>
            <w:rPr>
              <w:noProof/>
            </w:rPr>
            <w:t xml:space="preserve">—. 2021. </w:t>
          </w:r>
          <w:r>
            <w:rPr>
              <w:i/>
              <w:iCs/>
              <w:noProof/>
            </w:rPr>
            <w:t>Machine Made: Aaron Burr, Tammany Hall, and the Making of American Democracy.</w:t>
          </w:r>
          <w:r>
            <w:rPr>
              <w:noProof/>
            </w:rPr>
            <w:t xml:space="preserve"> Washington: Library of Alexandria Publishing.</w:t>
          </w:r>
        </w:p>
        <w:p w14:paraId="008395DD" w14:textId="77777777" w:rsidR="00805A9B" w:rsidRDefault="00805A9B" w:rsidP="00805A9B">
          <w:pPr>
            <w:pStyle w:val="Bibliography"/>
            <w:ind w:left="720" w:hanging="720"/>
            <w:rPr>
              <w:noProof/>
            </w:rPr>
          </w:pPr>
          <w:r>
            <w:rPr>
              <w:noProof/>
            </w:rPr>
            <w:lastRenderedPageBreak/>
            <w:t xml:space="preserve">—. 2011. </w:t>
          </w:r>
          <w:r>
            <w:rPr>
              <w:i/>
              <w:iCs/>
              <w:noProof/>
            </w:rPr>
            <w:t>The Cipher Men: The Semaphore and the Age of the Analyzer.</w:t>
          </w:r>
          <w:r>
            <w:rPr>
              <w:noProof/>
            </w:rPr>
            <w:t xml:space="preserve"> Washington: Library of Alexandria Publishing.</w:t>
          </w:r>
        </w:p>
        <w:p w14:paraId="5318E26D" w14:textId="77777777" w:rsidR="00805A9B" w:rsidRDefault="00805A9B" w:rsidP="00805A9B">
          <w:pPr>
            <w:pStyle w:val="Bibliography"/>
            <w:ind w:left="720" w:hanging="720"/>
            <w:rPr>
              <w:noProof/>
            </w:rPr>
          </w:pPr>
          <w:r>
            <w:rPr>
              <w:noProof/>
            </w:rPr>
            <w:t xml:space="preserve">Bryant, Timothy. 2005. </w:t>
          </w:r>
          <w:r>
            <w:rPr>
              <w:i/>
              <w:iCs/>
              <w:noProof/>
            </w:rPr>
            <w:t>Tariffs, Territories, and Treason: The Political Economy of the Webster Era.</w:t>
          </w:r>
          <w:r>
            <w:rPr>
              <w:noProof/>
            </w:rPr>
            <w:t xml:space="preserve"> New Haven: Yale University Press.</w:t>
          </w:r>
        </w:p>
        <w:p w14:paraId="7CB35C33" w14:textId="77777777" w:rsidR="00805A9B" w:rsidRDefault="00805A9B" w:rsidP="00805A9B">
          <w:pPr>
            <w:pStyle w:val="Bibliography"/>
            <w:ind w:left="720" w:hanging="720"/>
            <w:rPr>
              <w:noProof/>
            </w:rPr>
          </w:pPr>
          <w:r>
            <w:rPr>
              <w:noProof/>
            </w:rPr>
            <w:t xml:space="preserve">—. 2012. </w:t>
          </w:r>
          <w:r>
            <w:rPr>
              <w:i/>
              <w:iCs/>
              <w:noProof/>
            </w:rPr>
            <w:t>The Devil Against Daniel Webster: Webster, Calhoun, and the Election of 1848.</w:t>
          </w:r>
          <w:r>
            <w:rPr>
              <w:noProof/>
            </w:rPr>
            <w:t xml:space="preserve"> New Haven: Yale University Press.</w:t>
          </w:r>
        </w:p>
        <w:p w14:paraId="07E51800" w14:textId="77777777" w:rsidR="00805A9B" w:rsidRDefault="00805A9B" w:rsidP="00805A9B">
          <w:pPr>
            <w:pStyle w:val="Bibliography"/>
            <w:ind w:left="720" w:hanging="720"/>
            <w:rPr>
              <w:noProof/>
            </w:rPr>
          </w:pPr>
          <w:r>
            <w:rPr>
              <w:noProof/>
            </w:rPr>
            <w:t xml:space="preserve">Burgh, Clara. 1911. </w:t>
          </w:r>
          <w:r>
            <w:rPr>
              <w:i/>
              <w:iCs/>
              <w:noProof/>
            </w:rPr>
            <w:t>The Wires of Empire: Telegraphy, Territory, and Technology in Antebellum America.</w:t>
          </w:r>
          <w:r>
            <w:rPr>
              <w:noProof/>
            </w:rPr>
            <w:t xml:space="preserve"> Jersey City: Burr University.</w:t>
          </w:r>
        </w:p>
        <w:p w14:paraId="7AD67B0F" w14:textId="77777777" w:rsidR="00805A9B" w:rsidRDefault="00805A9B" w:rsidP="00805A9B">
          <w:pPr>
            <w:pStyle w:val="Bibliography"/>
            <w:ind w:left="720" w:hanging="720"/>
            <w:rPr>
              <w:noProof/>
            </w:rPr>
          </w:pPr>
          <w:r>
            <w:rPr>
              <w:noProof/>
            </w:rPr>
            <w:t xml:space="preserve">Burroughs, Frank &amp; Scrivener, Lawrence. 1994. </w:t>
          </w:r>
          <w:r>
            <w:rPr>
              <w:i/>
              <w:iCs/>
              <w:noProof/>
            </w:rPr>
            <w:t>The Babylon of the West: New York City to 1868.</w:t>
          </w:r>
          <w:r>
            <w:rPr>
              <w:noProof/>
            </w:rPr>
            <w:t xml:space="preserve"> Jersey City: Burr University.</w:t>
          </w:r>
        </w:p>
        <w:p w14:paraId="113BDE18" w14:textId="77777777" w:rsidR="00805A9B" w:rsidRDefault="00805A9B" w:rsidP="00805A9B">
          <w:pPr>
            <w:pStyle w:val="Bibliography"/>
            <w:ind w:left="720" w:hanging="720"/>
            <w:rPr>
              <w:noProof/>
            </w:rPr>
          </w:pPr>
          <w:r>
            <w:rPr>
              <w:noProof/>
            </w:rPr>
            <w:t xml:space="preserve">Cartwright, A. W. 1994. </w:t>
          </w:r>
          <w:r>
            <w:rPr>
              <w:i/>
              <w:iCs/>
              <w:noProof/>
            </w:rPr>
            <w:t>The Collapse of Canal Mania: Financial Panic and Infrastructure Retrenchment, 1839–1844.</w:t>
          </w:r>
          <w:r>
            <w:rPr>
              <w:noProof/>
            </w:rPr>
            <w:t xml:space="preserve"> Cincinnati: Mackintosh University Press.</w:t>
          </w:r>
        </w:p>
        <w:p w14:paraId="40C40B12" w14:textId="77777777" w:rsidR="00805A9B" w:rsidRDefault="00805A9B" w:rsidP="00805A9B">
          <w:pPr>
            <w:pStyle w:val="Bibliography"/>
            <w:ind w:left="720" w:hanging="720"/>
            <w:rPr>
              <w:noProof/>
            </w:rPr>
          </w:pPr>
          <w:r>
            <w:rPr>
              <w:noProof/>
            </w:rPr>
            <w:t xml:space="preserve">Carver, Milton. 2011. "Patronage or Plunder? The Post Office and the Selling of State in the Webster Years." </w:t>
          </w:r>
          <w:r>
            <w:rPr>
              <w:i/>
              <w:iCs/>
              <w:noProof/>
            </w:rPr>
            <w:t>Journal of Early American Institutions, Vol. 42, No. 3.</w:t>
          </w:r>
          <w:r>
            <w:rPr>
              <w:noProof/>
            </w:rPr>
            <w:t xml:space="preserve"> </w:t>
          </w:r>
        </w:p>
        <w:p w14:paraId="3BE98EE6" w14:textId="77777777" w:rsidR="00805A9B" w:rsidRDefault="00805A9B" w:rsidP="00805A9B">
          <w:pPr>
            <w:pStyle w:val="Bibliography"/>
            <w:ind w:left="720" w:hanging="720"/>
            <w:rPr>
              <w:noProof/>
            </w:rPr>
          </w:pPr>
          <w:r>
            <w:rPr>
              <w:noProof/>
            </w:rPr>
            <w:t xml:space="preserve">Chouars, Boris. 2011. </w:t>
          </w:r>
          <w:r>
            <w:rPr>
              <w:i/>
              <w:iCs/>
              <w:noProof/>
            </w:rPr>
            <w:t>Cochrane’s Empire: The People’s Admiral in the New Granadine War of Independence.</w:t>
          </w:r>
          <w:r>
            <w:rPr>
              <w:noProof/>
            </w:rPr>
            <w:t xml:space="preserve"> Geneva: University of Geneva.</w:t>
          </w:r>
        </w:p>
        <w:p w14:paraId="0A1BF3D6" w14:textId="77777777" w:rsidR="00805A9B" w:rsidRDefault="00805A9B" w:rsidP="00805A9B">
          <w:pPr>
            <w:pStyle w:val="Bibliography"/>
            <w:ind w:left="720" w:hanging="720"/>
            <w:rPr>
              <w:noProof/>
            </w:rPr>
          </w:pPr>
          <w:r>
            <w:rPr>
              <w:noProof/>
            </w:rPr>
            <w:t xml:space="preserve">—. 2003. </w:t>
          </w:r>
          <w:r>
            <w:rPr>
              <w:i/>
              <w:iCs/>
              <w:noProof/>
            </w:rPr>
            <w:t>The National Void: The Russian Empire, 1796-1837.</w:t>
          </w:r>
          <w:r>
            <w:rPr>
              <w:noProof/>
            </w:rPr>
            <w:t xml:space="preserve"> Geneva: University of Geneva.</w:t>
          </w:r>
        </w:p>
        <w:p w14:paraId="6D6609E5" w14:textId="77777777" w:rsidR="00805A9B" w:rsidRDefault="00805A9B" w:rsidP="00805A9B">
          <w:pPr>
            <w:pStyle w:val="Bibliography"/>
            <w:ind w:left="720" w:hanging="720"/>
            <w:rPr>
              <w:noProof/>
            </w:rPr>
          </w:pPr>
          <w:r>
            <w:rPr>
              <w:noProof/>
            </w:rPr>
            <w:t xml:space="preserve">Clank, Henry. 1994. </w:t>
          </w:r>
          <w:r>
            <w:rPr>
              <w:i/>
              <w:iCs/>
              <w:noProof/>
            </w:rPr>
            <w:t>A Military History of the Luisiana War.</w:t>
          </w:r>
          <w:r>
            <w:rPr>
              <w:noProof/>
            </w:rPr>
            <w:t xml:space="preserve"> New Orleans: Orleans State University Press.</w:t>
          </w:r>
        </w:p>
        <w:p w14:paraId="7E967605" w14:textId="77777777" w:rsidR="00805A9B" w:rsidRDefault="00805A9B" w:rsidP="00805A9B">
          <w:pPr>
            <w:pStyle w:val="Bibliography"/>
            <w:ind w:left="720" w:hanging="720"/>
            <w:rPr>
              <w:noProof/>
            </w:rPr>
          </w:pPr>
          <w:r>
            <w:rPr>
              <w:noProof/>
            </w:rPr>
            <w:t xml:space="preserve">Clay, Henry. 1849. "Remarks on the Necessity of Compromise”, Senate Speech." In </w:t>
          </w:r>
          <w:r>
            <w:rPr>
              <w:i/>
              <w:iCs/>
              <w:noProof/>
            </w:rPr>
            <w:t>Speeches of Henry Clay: Vol III: 1837-1852</w:t>
          </w:r>
          <w:r>
            <w:rPr>
              <w:noProof/>
            </w:rPr>
            <w:t>, by Fergus O'Donnell. Alexandria: Library of Alexandria Publishing.</w:t>
          </w:r>
        </w:p>
        <w:p w14:paraId="6D3AAA4E" w14:textId="77777777" w:rsidR="00805A9B" w:rsidRDefault="00805A9B" w:rsidP="00805A9B">
          <w:pPr>
            <w:pStyle w:val="Bibliography"/>
            <w:ind w:left="720" w:hanging="720"/>
            <w:rPr>
              <w:noProof/>
            </w:rPr>
          </w:pPr>
          <w:r>
            <w:rPr>
              <w:noProof/>
            </w:rPr>
            <w:t xml:space="preserve">Davis, Juliette. 2016. </w:t>
          </w:r>
          <w:r>
            <w:rPr>
              <w:i/>
              <w:iCs/>
              <w:noProof/>
            </w:rPr>
            <w:t>Decoloniality of the American Mind, 1789-1868.</w:t>
          </w:r>
          <w:r>
            <w:rPr>
              <w:noProof/>
            </w:rPr>
            <w:t xml:space="preserve"> Ballyburr: University of Ballyburr Press.</w:t>
          </w:r>
        </w:p>
        <w:p w14:paraId="7EA4625A" w14:textId="77777777" w:rsidR="00805A9B" w:rsidRDefault="00805A9B" w:rsidP="00805A9B">
          <w:pPr>
            <w:pStyle w:val="Bibliography"/>
            <w:ind w:left="720" w:hanging="720"/>
            <w:rPr>
              <w:noProof/>
            </w:rPr>
          </w:pPr>
          <w:r>
            <w:rPr>
              <w:noProof/>
            </w:rPr>
            <w:lastRenderedPageBreak/>
            <w:t xml:space="preserve">—. 2022. </w:t>
          </w:r>
          <w:r>
            <w:rPr>
              <w:i/>
              <w:iCs/>
              <w:noProof/>
            </w:rPr>
            <w:t>Race, Revolution, and Republics: The U.S., Haiti, and Bahia in the 19th Century Imagination.</w:t>
          </w:r>
          <w:r>
            <w:rPr>
              <w:noProof/>
            </w:rPr>
            <w:t xml:space="preserve"> Ballyburr: University of Ballyburr Press.</w:t>
          </w:r>
        </w:p>
        <w:p w14:paraId="035E05D1" w14:textId="77777777" w:rsidR="00805A9B" w:rsidRDefault="00805A9B" w:rsidP="00805A9B">
          <w:pPr>
            <w:pStyle w:val="Bibliography"/>
            <w:ind w:left="720" w:hanging="720"/>
            <w:rPr>
              <w:noProof/>
            </w:rPr>
          </w:pPr>
          <w:r>
            <w:rPr>
              <w:noProof/>
            </w:rPr>
            <w:t xml:space="preserve">Dawson, Ellen. 1894. </w:t>
          </w:r>
          <w:r>
            <w:rPr>
              <w:i/>
              <w:iCs/>
              <w:noProof/>
            </w:rPr>
            <w:t>Canals to Railroads, Semaphores to Telegraphs: Technology in High Websterism.</w:t>
          </w:r>
          <w:r>
            <w:rPr>
              <w:noProof/>
            </w:rPr>
            <w:t xml:space="preserve"> Boston: North Atlantic Press.</w:t>
          </w:r>
        </w:p>
        <w:p w14:paraId="4911E4CA" w14:textId="77777777" w:rsidR="00805A9B" w:rsidRDefault="00805A9B" w:rsidP="00805A9B">
          <w:pPr>
            <w:pStyle w:val="Bibliography"/>
            <w:ind w:left="720" w:hanging="720"/>
            <w:rPr>
              <w:noProof/>
            </w:rPr>
          </w:pPr>
          <w:r>
            <w:rPr>
              <w:noProof/>
            </w:rPr>
            <w:t xml:space="preserve">de la Torre, Esperanza. 2020. </w:t>
          </w:r>
          <w:r>
            <w:rPr>
              <w:i/>
              <w:iCs/>
              <w:noProof/>
            </w:rPr>
            <w:t>A New Republic of Sisters: Women’s Political Networks and Radical Reform, 1838–1855.</w:t>
          </w:r>
          <w:r>
            <w:rPr>
              <w:noProof/>
            </w:rPr>
            <w:t xml:space="preserve"> Ciudad Broderick: Broderick University Press.</w:t>
          </w:r>
        </w:p>
        <w:p w14:paraId="4E82E642" w14:textId="77777777" w:rsidR="00805A9B" w:rsidRDefault="00805A9B" w:rsidP="00805A9B">
          <w:pPr>
            <w:pStyle w:val="Bibliography"/>
            <w:ind w:left="720" w:hanging="720"/>
            <w:rPr>
              <w:noProof/>
            </w:rPr>
          </w:pPr>
          <w:r>
            <w:rPr>
              <w:noProof/>
            </w:rPr>
            <w:t xml:space="preserve">de los Reyes, Hugo. 1994-2014. </w:t>
          </w:r>
          <w:r>
            <w:rPr>
              <w:i/>
              <w:iCs/>
              <w:noProof/>
            </w:rPr>
            <w:t>The Liberator: The Life of Francisco de Miranda, 1750-1828.</w:t>
          </w:r>
          <w:r>
            <w:rPr>
              <w:noProof/>
            </w:rPr>
            <w:t xml:space="preserve"> Ciudad Miranda: Universidad Autónoma Republicana de Ciudad Miranda.</w:t>
          </w:r>
        </w:p>
        <w:p w14:paraId="0EC859C1" w14:textId="77777777" w:rsidR="00805A9B" w:rsidRDefault="00805A9B" w:rsidP="00805A9B">
          <w:pPr>
            <w:pStyle w:val="Bibliography"/>
            <w:ind w:left="720" w:hanging="720"/>
            <w:rPr>
              <w:noProof/>
            </w:rPr>
          </w:pPr>
          <w:r>
            <w:rPr>
              <w:noProof/>
            </w:rPr>
            <w:t xml:space="preserve">Delacroix, Jean-Pierre. 1967. </w:t>
          </w:r>
          <w:r>
            <w:rPr>
              <w:i/>
              <w:iCs/>
              <w:noProof/>
            </w:rPr>
            <w:t>From Bengal to Arcansa: Cotton, Empire, and Collapse.</w:t>
          </w:r>
          <w:r>
            <w:rPr>
              <w:noProof/>
            </w:rPr>
            <w:t xml:space="preserve"> Paris: Éditions Nouvelle République.</w:t>
          </w:r>
        </w:p>
        <w:p w14:paraId="37280A8B" w14:textId="77777777" w:rsidR="00805A9B" w:rsidRDefault="00805A9B" w:rsidP="00805A9B">
          <w:pPr>
            <w:pStyle w:val="Bibliography"/>
            <w:ind w:left="720" w:hanging="720"/>
            <w:rPr>
              <w:noProof/>
            </w:rPr>
          </w:pPr>
          <w:r>
            <w:rPr>
              <w:noProof/>
            </w:rPr>
            <w:t xml:space="preserve">Derbyshire, Charlotte. 2019. </w:t>
          </w:r>
          <w:r>
            <w:rPr>
              <w:i/>
              <w:iCs/>
              <w:noProof/>
            </w:rPr>
            <w:t>For All the Mail in England: The British General Post Office, 1829 to Present.</w:t>
          </w:r>
          <w:r>
            <w:rPr>
              <w:noProof/>
            </w:rPr>
            <w:t xml:space="preserve"> London: London University Press.</w:t>
          </w:r>
        </w:p>
        <w:p w14:paraId="162950A3" w14:textId="77777777" w:rsidR="00805A9B" w:rsidRDefault="00805A9B" w:rsidP="00805A9B">
          <w:pPr>
            <w:pStyle w:val="Bibliography"/>
            <w:ind w:left="720" w:hanging="720"/>
            <w:rPr>
              <w:noProof/>
            </w:rPr>
          </w:pPr>
          <w:r>
            <w:rPr>
              <w:noProof/>
            </w:rPr>
            <w:t xml:space="preserve">Douglas, Reed. 2001. </w:t>
          </w:r>
          <w:r>
            <w:rPr>
              <w:i/>
              <w:iCs/>
              <w:noProof/>
            </w:rPr>
            <w:t>From Frontier to Furnace: Industrial Development in the Western States, 1825–1868.</w:t>
          </w:r>
          <w:r>
            <w:rPr>
              <w:noProof/>
            </w:rPr>
            <w:t xml:space="preserve"> Ballyburr: University of Ballyburr Press.</w:t>
          </w:r>
        </w:p>
        <w:p w14:paraId="4A074465" w14:textId="77777777" w:rsidR="00805A9B" w:rsidRDefault="00805A9B" w:rsidP="00805A9B">
          <w:pPr>
            <w:pStyle w:val="Bibliography"/>
            <w:ind w:left="720" w:hanging="720"/>
            <w:rPr>
              <w:noProof/>
            </w:rPr>
          </w:pPr>
          <w:r>
            <w:rPr>
              <w:noProof/>
            </w:rPr>
            <w:t xml:space="preserve">Doyle, Maureen. 2021. </w:t>
          </w:r>
          <w:r>
            <w:rPr>
              <w:i/>
              <w:iCs/>
              <w:noProof/>
            </w:rPr>
            <w:t>Codification and Empire: Law and Nation in the Anglo-Atlantic World.</w:t>
          </w:r>
          <w:r>
            <w:rPr>
              <w:noProof/>
            </w:rPr>
            <w:t xml:space="preserve"> Boston: Meridian Legal Studies.</w:t>
          </w:r>
        </w:p>
        <w:p w14:paraId="13D7C5F7" w14:textId="77777777" w:rsidR="00805A9B" w:rsidRDefault="00805A9B" w:rsidP="00805A9B">
          <w:pPr>
            <w:pStyle w:val="Bibliography"/>
            <w:ind w:left="720" w:hanging="720"/>
            <w:rPr>
              <w:noProof/>
            </w:rPr>
          </w:pPr>
          <w:r>
            <w:rPr>
              <w:noProof/>
            </w:rPr>
            <w:t xml:space="preserve">Dubois, René. 1969. </w:t>
          </w:r>
          <w:r>
            <w:rPr>
              <w:i/>
              <w:iCs/>
              <w:noProof/>
            </w:rPr>
            <w:t>The Black Spartacus: Toussaint Louverture and the Hand of Destiny.</w:t>
          </w:r>
          <w:r>
            <w:rPr>
              <w:noProof/>
            </w:rPr>
            <w:t xml:space="preserve"> Port- Républicain: Libre Haïti Press.</w:t>
          </w:r>
        </w:p>
        <w:p w14:paraId="57D23E17" w14:textId="77777777" w:rsidR="00805A9B" w:rsidRDefault="00805A9B" w:rsidP="00805A9B">
          <w:pPr>
            <w:pStyle w:val="Bibliography"/>
            <w:ind w:left="720" w:hanging="720"/>
            <w:rPr>
              <w:noProof/>
            </w:rPr>
          </w:pPr>
          <w:r>
            <w:rPr>
              <w:noProof/>
            </w:rPr>
            <w:t xml:space="preserve">Dubreuil, Antoine. Spring 1912. "Creole Continuity: Identity and Integration in Antebellum Orleans, 1829–1868." </w:t>
          </w:r>
          <w:r>
            <w:rPr>
              <w:i/>
              <w:iCs/>
              <w:noProof/>
            </w:rPr>
            <w:t>Journal of Southern Cultural History, vol. 7, no. 1.</w:t>
          </w:r>
          <w:r>
            <w:rPr>
              <w:noProof/>
            </w:rPr>
            <w:t xml:space="preserve"> </w:t>
          </w:r>
        </w:p>
        <w:p w14:paraId="37A4DC63" w14:textId="77777777" w:rsidR="00805A9B" w:rsidRDefault="00805A9B" w:rsidP="00805A9B">
          <w:pPr>
            <w:pStyle w:val="Bibliography"/>
            <w:ind w:left="720" w:hanging="720"/>
            <w:rPr>
              <w:noProof/>
            </w:rPr>
          </w:pPr>
          <w:r>
            <w:rPr>
              <w:noProof/>
            </w:rPr>
            <w:t xml:space="preserve">Dubreuil, Antoine. 1909. "The Flower and the Stars: The French White Diaspora in the United States, 1789-1868." </w:t>
          </w:r>
          <w:r>
            <w:rPr>
              <w:i/>
              <w:iCs/>
              <w:noProof/>
            </w:rPr>
            <w:t>Journal of Southern Cultural History, vol. 5, no. 1.</w:t>
          </w:r>
          <w:r>
            <w:rPr>
              <w:noProof/>
            </w:rPr>
            <w:t xml:space="preserve"> </w:t>
          </w:r>
        </w:p>
        <w:p w14:paraId="4AA7883F" w14:textId="77777777" w:rsidR="00805A9B" w:rsidRDefault="00805A9B" w:rsidP="00805A9B">
          <w:pPr>
            <w:pStyle w:val="Bibliography"/>
            <w:ind w:left="720" w:hanging="720"/>
            <w:rPr>
              <w:noProof/>
            </w:rPr>
          </w:pPr>
          <w:r>
            <w:rPr>
              <w:noProof/>
            </w:rPr>
            <w:t xml:space="preserve">Eastlake, Henry. 1971. </w:t>
          </w:r>
          <w:r>
            <w:rPr>
              <w:i/>
              <w:iCs/>
              <w:noProof/>
            </w:rPr>
            <w:t>Corruption and the Constitution: The Webster Presidency, 1845–1852.</w:t>
          </w:r>
          <w:r>
            <w:rPr>
              <w:noProof/>
            </w:rPr>
            <w:t xml:space="preserve"> Washington: Gracchi Institute.</w:t>
          </w:r>
        </w:p>
        <w:p w14:paraId="1822C144" w14:textId="77777777" w:rsidR="00805A9B" w:rsidRDefault="00805A9B" w:rsidP="00805A9B">
          <w:pPr>
            <w:pStyle w:val="Bibliography"/>
            <w:ind w:left="720" w:hanging="720"/>
            <w:rPr>
              <w:noProof/>
            </w:rPr>
          </w:pPr>
          <w:r>
            <w:rPr>
              <w:noProof/>
            </w:rPr>
            <w:lastRenderedPageBreak/>
            <w:t xml:space="preserve">Everett, Edward. 1849. </w:t>
          </w:r>
          <w:r>
            <w:rPr>
              <w:i/>
              <w:iCs/>
              <w:noProof/>
            </w:rPr>
            <w:t>Report of the Everett Commission on the Tariff and Public Lands.</w:t>
          </w:r>
          <w:r>
            <w:rPr>
              <w:noProof/>
            </w:rPr>
            <w:t xml:space="preserve"> Washington: Government Printing Office.</w:t>
          </w:r>
        </w:p>
        <w:p w14:paraId="085D0228" w14:textId="77777777" w:rsidR="00805A9B" w:rsidRDefault="00805A9B" w:rsidP="00805A9B">
          <w:pPr>
            <w:pStyle w:val="Bibliography"/>
            <w:ind w:left="720" w:hanging="720"/>
            <w:rPr>
              <w:noProof/>
            </w:rPr>
          </w:pPr>
          <w:r>
            <w:rPr>
              <w:noProof/>
            </w:rPr>
            <w:t xml:space="preserve">Ferguson, D.W. 1974. </w:t>
          </w:r>
          <w:r>
            <w:rPr>
              <w:i/>
              <w:iCs/>
              <w:noProof/>
            </w:rPr>
            <w:t>The Webster Doctrine: America, Mediation, and Empire.</w:t>
          </w:r>
          <w:r>
            <w:rPr>
              <w:noProof/>
            </w:rPr>
            <w:t xml:space="preserve"> Norfolk: Williamsburg University Press.</w:t>
          </w:r>
        </w:p>
        <w:p w14:paraId="732871B3" w14:textId="77777777" w:rsidR="00805A9B" w:rsidRDefault="00805A9B" w:rsidP="00805A9B">
          <w:pPr>
            <w:pStyle w:val="Bibliography"/>
            <w:ind w:left="720" w:hanging="720"/>
            <w:rPr>
              <w:noProof/>
            </w:rPr>
          </w:pPr>
          <w:r>
            <w:rPr>
              <w:noProof/>
            </w:rPr>
            <w:t xml:space="preserve">Fish, Robert. 2019. </w:t>
          </w:r>
          <w:r>
            <w:rPr>
              <w:i/>
              <w:iCs/>
              <w:noProof/>
            </w:rPr>
            <w:t>The Immense Slave Empire: The Planter Ascendancy and American Foreign Policy, 1800-1868.</w:t>
          </w:r>
          <w:r>
            <w:rPr>
              <w:noProof/>
            </w:rPr>
            <w:t xml:space="preserve"> Princeton: University of New Jersey Press.</w:t>
          </w:r>
        </w:p>
        <w:p w14:paraId="719ED091" w14:textId="77777777" w:rsidR="00805A9B" w:rsidRDefault="00805A9B" w:rsidP="00805A9B">
          <w:pPr>
            <w:pStyle w:val="Bibliography"/>
            <w:ind w:left="720" w:hanging="720"/>
            <w:rPr>
              <w:noProof/>
            </w:rPr>
          </w:pPr>
          <w:r>
            <w:rPr>
              <w:noProof/>
            </w:rPr>
            <w:t xml:space="preserve">Flaherty, Bernardo. 2011. </w:t>
          </w:r>
          <w:r>
            <w:rPr>
              <w:i/>
              <w:iCs/>
              <w:noProof/>
            </w:rPr>
            <w:t>For a Free Hemisphere: Relations between Platina and the United States, 1850-1900.</w:t>
          </w:r>
          <w:r>
            <w:rPr>
              <w:noProof/>
            </w:rPr>
            <w:t xml:space="preserve"> Buenos Aires: Universidad Republicana de Buenos Aires.</w:t>
          </w:r>
        </w:p>
        <w:p w14:paraId="74B44448" w14:textId="77777777" w:rsidR="00805A9B" w:rsidRDefault="00805A9B" w:rsidP="00805A9B">
          <w:pPr>
            <w:pStyle w:val="Bibliography"/>
            <w:ind w:left="720" w:hanging="720"/>
            <w:rPr>
              <w:noProof/>
            </w:rPr>
          </w:pPr>
          <w:r>
            <w:rPr>
              <w:noProof/>
            </w:rPr>
            <w:t xml:space="preserve">Fonteneau, Ximena. 2019. </w:t>
          </w:r>
          <w:r>
            <w:rPr>
              <w:i/>
              <w:iCs/>
              <w:noProof/>
            </w:rPr>
            <w:t>The Raccoon Men: The Militia Myth and the Luisiana War, in the Light of American History, 1828 to Present.</w:t>
          </w:r>
          <w:r>
            <w:rPr>
              <w:noProof/>
            </w:rPr>
            <w:t xml:space="preserve"> New Orleans: Republican University of New Orleans.</w:t>
          </w:r>
        </w:p>
        <w:p w14:paraId="42AC76DE" w14:textId="77777777" w:rsidR="00805A9B" w:rsidRDefault="00805A9B" w:rsidP="00805A9B">
          <w:pPr>
            <w:pStyle w:val="Bibliography"/>
            <w:ind w:left="720" w:hanging="720"/>
            <w:rPr>
              <w:noProof/>
            </w:rPr>
          </w:pPr>
          <w:r>
            <w:rPr>
              <w:noProof/>
            </w:rPr>
            <w:t xml:space="preserve">Forfanah, Delilah. 1994. </w:t>
          </w:r>
          <w:r>
            <w:rPr>
              <w:i/>
              <w:iCs/>
              <w:noProof/>
            </w:rPr>
            <w:t>Gendered Liberty: Women’s Rights and the Political Economy of Reform.</w:t>
          </w:r>
          <w:r>
            <w:rPr>
              <w:noProof/>
            </w:rPr>
            <w:t xml:space="preserve"> Cincinnati: Mackintosh University Press.</w:t>
          </w:r>
        </w:p>
        <w:p w14:paraId="6D58EE19" w14:textId="77777777" w:rsidR="00805A9B" w:rsidRDefault="00805A9B" w:rsidP="00805A9B">
          <w:pPr>
            <w:pStyle w:val="Bibliography"/>
            <w:ind w:left="720" w:hanging="720"/>
            <w:rPr>
              <w:noProof/>
            </w:rPr>
          </w:pPr>
          <w:r>
            <w:rPr>
              <w:noProof/>
            </w:rPr>
            <w:t xml:space="preserve">Foster, Abigail. 1890. </w:t>
          </w:r>
          <w:r>
            <w:rPr>
              <w:i/>
              <w:iCs/>
              <w:noProof/>
            </w:rPr>
            <w:t>The Second Nullification Crisis: Webster, Clay, Calhoun, and the Preservation of the Union.</w:t>
          </w:r>
          <w:r>
            <w:rPr>
              <w:noProof/>
            </w:rPr>
            <w:t xml:space="preserve"> Washington: Atlantic &amp; Sons.</w:t>
          </w:r>
        </w:p>
        <w:p w14:paraId="07B331EB" w14:textId="77777777" w:rsidR="00805A9B" w:rsidRDefault="00805A9B" w:rsidP="00805A9B">
          <w:pPr>
            <w:pStyle w:val="Bibliography"/>
            <w:ind w:left="720" w:hanging="720"/>
            <w:rPr>
              <w:noProof/>
            </w:rPr>
          </w:pPr>
          <w:r>
            <w:rPr>
              <w:noProof/>
            </w:rPr>
            <w:t xml:space="preserve">Foster, Elaine. 1984. </w:t>
          </w:r>
          <w:r>
            <w:rPr>
              <w:i/>
              <w:iCs/>
              <w:noProof/>
            </w:rPr>
            <w:t>From Luisiana to Liberty: The Crisis of 1836 and the Making of a Divided Republic.</w:t>
          </w:r>
          <w:r>
            <w:rPr>
              <w:noProof/>
            </w:rPr>
            <w:t xml:space="preserve"> Memphis: University of Memphis.</w:t>
          </w:r>
        </w:p>
        <w:p w14:paraId="008EA92A" w14:textId="77777777" w:rsidR="00805A9B" w:rsidRDefault="00805A9B" w:rsidP="00805A9B">
          <w:pPr>
            <w:pStyle w:val="Bibliography"/>
            <w:ind w:left="720" w:hanging="720"/>
            <w:rPr>
              <w:noProof/>
            </w:rPr>
          </w:pPr>
          <w:r>
            <w:rPr>
              <w:noProof/>
            </w:rPr>
            <w:t xml:space="preserve">Foster, Leonard. 1967. "The Fiscal Bank of Washington: A Study in Regional Banking." </w:t>
          </w:r>
          <w:r>
            <w:rPr>
              <w:i/>
              <w:iCs/>
              <w:noProof/>
            </w:rPr>
            <w:t>American Economic History Review, no. 4.</w:t>
          </w:r>
          <w:r>
            <w:rPr>
              <w:noProof/>
            </w:rPr>
            <w:t xml:space="preserve"> </w:t>
          </w:r>
        </w:p>
        <w:p w14:paraId="7BFC6AD9" w14:textId="77777777" w:rsidR="00805A9B" w:rsidRDefault="00805A9B" w:rsidP="00805A9B">
          <w:pPr>
            <w:pStyle w:val="Bibliography"/>
            <w:ind w:left="720" w:hanging="720"/>
            <w:rPr>
              <w:noProof/>
            </w:rPr>
          </w:pPr>
          <w:r>
            <w:rPr>
              <w:noProof/>
            </w:rPr>
            <w:t xml:space="preserve">Freeman, Olivia. 2020. </w:t>
          </w:r>
          <w:r>
            <w:rPr>
              <w:i/>
              <w:iCs/>
              <w:noProof/>
            </w:rPr>
            <w:t>The Broken States: A Comparative Study of the Illinois and Missouri Crises.</w:t>
          </w:r>
          <w:r>
            <w:rPr>
              <w:noProof/>
            </w:rPr>
            <w:t xml:space="preserve"> New Haven: Yale University Press.</w:t>
          </w:r>
        </w:p>
        <w:p w14:paraId="1D9C08B0" w14:textId="77777777" w:rsidR="00805A9B" w:rsidRDefault="00805A9B" w:rsidP="00805A9B">
          <w:pPr>
            <w:pStyle w:val="Bibliography"/>
            <w:ind w:left="720" w:hanging="720"/>
            <w:rPr>
              <w:noProof/>
            </w:rPr>
          </w:pPr>
          <w:r>
            <w:rPr>
              <w:noProof/>
            </w:rPr>
            <w:t xml:space="preserve">Golding, Tim. 2017. </w:t>
          </w:r>
          <w:r>
            <w:rPr>
              <w:i/>
              <w:iCs/>
              <w:noProof/>
            </w:rPr>
            <w:t>The Grey Man: The Life and Times of William Walker.</w:t>
          </w:r>
          <w:r>
            <w:rPr>
              <w:noProof/>
            </w:rPr>
            <w:t xml:space="preserve"> Kingston: University of Jamaica.</w:t>
          </w:r>
        </w:p>
        <w:p w14:paraId="0605FEB7" w14:textId="77777777" w:rsidR="00805A9B" w:rsidRDefault="00805A9B" w:rsidP="00805A9B">
          <w:pPr>
            <w:pStyle w:val="Bibliography"/>
            <w:ind w:left="720" w:hanging="720"/>
            <w:rPr>
              <w:noProof/>
            </w:rPr>
          </w:pPr>
          <w:r>
            <w:rPr>
              <w:noProof/>
            </w:rPr>
            <w:t xml:space="preserve">—. 2003. </w:t>
          </w:r>
          <w:r>
            <w:rPr>
              <w:i/>
              <w:iCs/>
              <w:noProof/>
            </w:rPr>
            <w:t>The Residue of the Plantocracy: Jamaica and the Long Tyranny, 1827-1885.</w:t>
          </w:r>
          <w:r>
            <w:rPr>
              <w:noProof/>
            </w:rPr>
            <w:t xml:space="preserve"> Kingston: University of Jamaica.</w:t>
          </w:r>
        </w:p>
        <w:p w14:paraId="2F095D7E" w14:textId="77777777" w:rsidR="00805A9B" w:rsidRDefault="00805A9B" w:rsidP="00805A9B">
          <w:pPr>
            <w:pStyle w:val="Bibliography"/>
            <w:ind w:left="720" w:hanging="720"/>
            <w:rPr>
              <w:noProof/>
            </w:rPr>
          </w:pPr>
          <w:r>
            <w:rPr>
              <w:noProof/>
            </w:rPr>
            <w:lastRenderedPageBreak/>
            <w:t xml:space="preserve">Guiney, Patrick. 1987. </w:t>
          </w:r>
          <w:r>
            <w:rPr>
              <w:i/>
              <w:iCs/>
              <w:noProof/>
            </w:rPr>
            <w:t>Citizen, Lord and Martyr: The Life, Times, and Trials of Edward Fitzgerald, 1763-1800.</w:t>
          </w:r>
          <w:r>
            <w:rPr>
              <w:noProof/>
            </w:rPr>
            <w:t xml:space="preserve"> Dublin: Dublin Historical Studies.</w:t>
          </w:r>
        </w:p>
        <w:p w14:paraId="1554684B" w14:textId="77777777" w:rsidR="00805A9B" w:rsidRDefault="00805A9B" w:rsidP="00805A9B">
          <w:pPr>
            <w:pStyle w:val="Bibliography"/>
            <w:ind w:left="720" w:hanging="720"/>
            <w:rPr>
              <w:noProof/>
            </w:rPr>
          </w:pPr>
          <w:r>
            <w:rPr>
              <w:noProof/>
            </w:rPr>
            <w:t xml:space="preserve">Gurley, Annette. 1989. "The Equal Rights Man: William Leggett and the Radical Roots of the Free Democratic Party." </w:t>
          </w:r>
          <w:r>
            <w:rPr>
              <w:i/>
              <w:iCs/>
              <w:noProof/>
            </w:rPr>
            <w:t>Harvard University Press.</w:t>
          </w:r>
          <w:r>
            <w:rPr>
              <w:noProof/>
            </w:rPr>
            <w:t xml:space="preserve"> </w:t>
          </w:r>
        </w:p>
        <w:p w14:paraId="6231BD97" w14:textId="77777777" w:rsidR="00805A9B" w:rsidRDefault="00805A9B" w:rsidP="00805A9B">
          <w:pPr>
            <w:pStyle w:val="Bibliography"/>
            <w:ind w:left="720" w:hanging="720"/>
            <w:rPr>
              <w:noProof/>
            </w:rPr>
          </w:pPr>
          <w:r>
            <w:rPr>
              <w:noProof/>
            </w:rPr>
            <w:t>Hamilton, Alexander. 1791. "Report on the Subject of Manufactures ." Philadelphia.</w:t>
          </w:r>
        </w:p>
        <w:p w14:paraId="29433A79" w14:textId="77777777" w:rsidR="00805A9B" w:rsidRDefault="00805A9B" w:rsidP="00805A9B">
          <w:pPr>
            <w:pStyle w:val="Bibliography"/>
            <w:ind w:left="720" w:hanging="720"/>
            <w:rPr>
              <w:noProof/>
            </w:rPr>
          </w:pPr>
          <w:r>
            <w:rPr>
              <w:noProof/>
            </w:rPr>
            <w:t xml:space="preserve">Harmon, Elijah. 1840. </w:t>
          </w:r>
          <w:r>
            <w:rPr>
              <w:i/>
              <w:iCs/>
              <w:noProof/>
            </w:rPr>
            <w:t>The Death of Benjamin Lundy, Holy Martyr for Emancipation.</w:t>
          </w:r>
          <w:r>
            <w:rPr>
              <w:noProof/>
            </w:rPr>
            <w:t xml:space="preserve"> Boston: firsthand account, serialized in The Liberator.</w:t>
          </w:r>
        </w:p>
        <w:p w14:paraId="13270E06" w14:textId="77777777" w:rsidR="00805A9B" w:rsidRDefault="00805A9B" w:rsidP="00805A9B">
          <w:pPr>
            <w:pStyle w:val="Bibliography"/>
            <w:ind w:left="720" w:hanging="720"/>
            <w:rPr>
              <w:noProof/>
            </w:rPr>
          </w:pPr>
          <w:r>
            <w:rPr>
              <w:noProof/>
            </w:rPr>
            <w:t xml:space="preserve">Harrington, Melissa. 1981. </w:t>
          </w:r>
          <w:r>
            <w:rPr>
              <w:i/>
              <w:iCs/>
              <w:noProof/>
            </w:rPr>
            <w:t>Empire of Trade: How the Union Canal Shaped Early Washington.</w:t>
          </w:r>
          <w:r>
            <w:rPr>
              <w:noProof/>
            </w:rPr>
            <w:t xml:space="preserve"> New York City: Tammany Books.</w:t>
          </w:r>
        </w:p>
        <w:p w14:paraId="5C51BC64" w14:textId="77777777" w:rsidR="00805A9B" w:rsidRDefault="00805A9B" w:rsidP="00805A9B">
          <w:pPr>
            <w:pStyle w:val="Bibliography"/>
            <w:ind w:left="720" w:hanging="720"/>
            <w:rPr>
              <w:noProof/>
            </w:rPr>
          </w:pPr>
          <w:r>
            <w:rPr>
              <w:noProof/>
            </w:rPr>
            <w:t xml:space="preserve">Hayes, Carolyn. 2005. "Clark v. Illinois and the Centralization of American Credit." </w:t>
          </w:r>
          <w:r>
            <w:rPr>
              <w:i/>
              <w:iCs/>
              <w:noProof/>
            </w:rPr>
            <w:t>Economic Review, no. 1.</w:t>
          </w:r>
          <w:r>
            <w:rPr>
              <w:noProof/>
            </w:rPr>
            <w:t xml:space="preserve"> </w:t>
          </w:r>
        </w:p>
        <w:p w14:paraId="46B53BB8" w14:textId="77777777" w:rsidR="00805A9B" w:rsidRDefault="00805A9B" w:rsidP="00805A9B">
          <w:pPr>
            <w:pStyle w:val="Bibliography"/>
            <w:ind w:left="720" w:hanging="720"/>
            <w:rPr>
              <w:noProof/>
            </w:rPr>
          </w:pPr>
          <w:r>
            <w:rPr>
              <w:noProof/>
            </w:rPr>
            <w:t xml:space="preserve">Hedly, Bonifacius. 2012. </w:t>
          </w:r>
          <w:r>
            <w:rPr>
              <w:i/>
              <w:iCs/>
              <w:noProof/>
            </w:rPr>
            <w:t>Two Centuries in Action: The Federal Bulletin, 1812-2012.</w:t>
          </w:r>
          <w:r>
            <w:rPr>
              <w:noProof/>
            </w:rPr>
            <w:t xml:space="preserve"> Alexandria: Smithsonian History Press.</w:t>
          </w:r>
        </w:p>
        <w:p w14:paraId="31C0D132" w14:textId="77777777" w:rsidR="00805A9B" w:rsidRDefault="00805A9B" w:rsidP="00805A9B">
          <w:pPr>
            <w:pStyle w:val="Bibliography"/>
            <w:ind w:left="720" w:hanging="720"/>
            <w:rPr>
              <w:noProof/>
            </w:rPr>
          </w:pPr>
          <w:r>
            <w:rPr>
              <w:noProof/>
            </w:rPr>
            <w:t xml:space="preserve">Holcomb, Calvin. 1987. </w:t>
          </w:r>
          <w:r>
            <w:rPr>
              <w:i/>
              <w:iCs/>
              <w:noProof/>
            </w:rPr>
            <w:t>Slavery, Bonds, and Panic: American Finance and the Collapse of the Caribbean Trade.</w:t>
          </w:r>
          <w:r>
            <w:rPr>
              <w:noProof/>
            </w:rPr>
            <w:t xml:space="preserve"> Millewackie: University of Millewackie Press.</w:t>
          </w:r>
        </w:p>
        <w:p w14:paraId="4D262C5A" w14:textId="77777777" w:rsidR="00805A9B" w:rsidRDefault="00805A9B" w:rsidP="00805A9B">
          <w:pPr>
            <w:pStyle w:val="Bibliography"/>
            <w:ind w:left="720" w:hanging="720"/>
            <w:rPr>
              <w:noProof/>
            </w:rPr>
          </w:pPr>
          <w:r>
            <w:rPr>
              <w:noProof/>
            </w:rPr>
            <w:t xml:space="preserve">Hollis, Gerald. 1933. </w:t>
          </w:r>
          <w:r>
            <w:rPr>
              <w:i/>
              <w:iCs/>
              <w:noProof/>
            </w:rPr>
            <w:t>A Hemisphere Divided: American Sectionalism and the New Granadine War.</w:t>
          </w:r>
          <w:r>
            <w:rPr>
              <w:noProof/>
            </w:rPr>
            <w:t xml:space="preserve"> Cincinnati: Middle Western Historical Review.</w:t>
          </w:r>
        </w:p>
        <w:p w14:paraId="4C805395" w14:textId="77777777" w:rsidR="00805A9B" w:rsidRDefault="00805A9B" w:rsidP="00805A9B">
          <w:pPr>
            <w:pStyle w:val="Bibliography"/>
            <w:ind w:left="720" w:hanging="720"/>
            <w:rPr>
              <w:noProof/>
            </w:rPr>
          </w:pPr>
          <w:r>
            <w:rPr>
              <w:noProof/>
            </w:rPr>
            <w:t xml:space="preserve">Holloway, Thomas. 1978. </w:t>
          </w:r>
          <w:r>
            <w:rPr>
              <w:i/>
              <w:iCs/>
              <w:noProof/>
            </w:rPr>
            <w:t>Master of Compromise: Henry Clay and the Politics of Delay.</w:t>
          </w:r>
          <w:r>
            <w:rPr>
              <w:noProof/>
            </w:rPr>
            <w:t xml:space="preserve"> Princeton: University of New Jersey Press.</w:t>
          </w:r>
        </w:p>
        <w:p w14:paraId="721361A1" w14:textId="77777777" w:rsidR="00805A9B" w:rsidRDefault="00805A9B" w:rsidP="00805A9B">
          <w:pPr>
            <w:pStyle w:val="Bibliography"/>
            <w:ind w:left="720" w:hanging="720"/>
            <w:rPr>
              <w:noProof/>
            </w:rPr>
          </w:pPr>
          <w:r>
            <w:rPr>
              <w:noProof/>
            </w:rPr>
            <w:t xml:space="preserve">—. 1985. </w:t>
          </w:r>
          <w:r>
            <w:rPr>
              <w:i/>
              <w:iCs/>
              <w:noProof/>
            </w:rPr>
            <w:t>Saint Tippecanoe: The Life and Times of William Henry Harrison.</w:t>
          </w:r>
          <w:r>
            <w:rPr>
              <w:noProof/>
            </w:rPr>
            <w:t xml:space="preserve"> Princeton: University of New Jersey.</w:t>
          </w:r>
        </w:p>
        <w:p w14:paraId="6C9549E8" w14:textId="77777777" w:rsidR="00805A9B" w:rsidRDefault="00805A9B" w:rsidP="00805A9B">
          <w:pPr>
            <w:pStyle w:val="Bibliography"/>
            <w:ind w:left="720" w:hanging="720"/>
            <w:rPr>
              <w:noProof/>
            </w:rPr>
          </w:pPr>
          <w:r>
            <w:rPr>
              <w:noProof/>
            </w:rPr>
            <w:t xml:space="preserve">Humbert, Jacques. 2003. </w:t>
          </w:r>
          <w:r>
            <w:rPr>
              <w:i/>
              <w:iCs/>
              <w:noProof/>
            </w:rPr>
            <w:t>Thomas Jefferson: The National Hypocrite.</w:t>
          </w:r>
          <w:r>
            <w:rPr>
              <w:noProof/>
            </w:rPr>
            <w:t xml:space="preserve"> Montreal: University of Laurentia Press.</w:t>
          </w:r>
        </w:p>
        <w:p w14:paraId="36414331" w14:textId="77777777" w:rsidR="00805A9B" w:rsidRDefault="00805A9B" w:rsidP="00805A9B">
          <w:pPr>
            <w:pStyle w:val="Bibliography"/>
            <w:ind w:left="720" w:hanging="720"/>
            <w:rPr>
              <w:noProof/>
            </w:rPr>
          </w:pPr>
          <w:r>
            <w:rPr>
              <w:noProof/>
            </w:rPr>
            <w:t xml:space="preserve">—. 2018. </w:t>
          </w:r>
          <w:r>
            <w:rPr>
              <w:i/>
              <w:iCs/>
              <w:noProof/>
            </w:rPr>
            <w:t>Thomas Paine and the Rights of Man.</w:t>
          </w:r>
          <w:r>
            <w:rPr>
              <w:noProof/>
            </w:rPr>
            <w:t xml:space="preserve"> Montreal: University of Laurentia Press.</w:t>
          </w:r>
        </w:p>
        <w:p w14:paraId="00BB76A9" w14:textId="77777777" w:rsidR="00805A9B" w:rsidRDefault="00805A9B" w:rsidP="00805A9B">
          <w:pPr>
            <w:pStyle w:val="Bibliography"/>
            <w:ind w:left="720" w:hanging="720"/>
            <w:rPr>
              <w:noProof/>
            </w:rPr>
          </w:pPr>
          <w:r>
            <w:rPr>
              <w:noProof/>
            </w:rPr>
            <w:lastRenderedPageBreak/>
            <w:t xml:space="preserve">Ichicahua, Heliodoro. 2007. </w:t>
          </w:r>
          <w:r>
            <w:rPr>
              <w:i/>
              <w:iCs/>
              <w:noProof/>
            </w:rPr>
            <w:t>Chains Within Chains: Gender, Race, and the Abolitionist Conscience.</w:t>
          </w:r>
          <w:r>
            <w:rPr>
              <w:noProof/>
            </w:rPr>
            <w:t xml:space="preserve"> San Francisco: Republican University of San Francisco.</w:t>
          </w:r>
        </w:p>
        <w:p w14:paraId="32C3EC4A" w14:textId="77777777" w:rsidR="00805A9B" w:rsidRDefault="00805A9B" w:rsidP="00805A9B">
          <w:pPr>
            <w:pStyle w:val="Bibliography"/>
            <w:ind w:left="720" w:hanging="720"/>
            <w:rPr>
              <w:noProof/>
            </w:rPr>
          </w:pPr>
          <w:r>
            <w:rPr>
              <w:noProof/>
            </w:rPr>
            <w:t xml:space="preserve">Imamolu, Ismail. 1994. </w:t>
          </w:r>
          <w:r>
            <w:rPr>
              <w:i/>
              <w:iCs/>
              <w:noProof/>
            </w:rPr>
            <w:t>For Prosperity: The Slow March of Industry in the Newest World.</w:t>
          </w:r>
          <w:r>
            <w:rPr>
              <w:noProof/>
            </w:rPr>
            <w:t xml:space="preserve"> Constantinople: Darfultun Press.</w:t>
          </w:r>
        </w:p>
        <w:p w14:paraId="214CA3E2" w14:textId="77777777" w:rsidR="00805A9B" w:rsidRDefault="00805A9B" w:rsidP="00805A9B">
          <w:pPr>
            <w:pStyle w:val="Bibliography"/>
            <w:ind w:left="720" w:hanging="720"/>
            <w:rPr>
              <w:noProof/>
            </w:rPr>
          </w:pPr>
          <w:r>
            <w:rPr>
              <w:noProof/>
            </w:rPr>
            <w:t xml:space="preserve">1842-1844. "Internal Records Division." </w:t>
          </w:r>
          <w:r>
            <w:rPr>
              <w:i/>
              <w:iCs/>
              <w:noProof/>
            </w:rPr>
            <w:t>Journal of the Proceedings of the Board of Directors, Second Bank of the United States, Vol. 8.</w:t>
          </w:r>
          <w:r>
            <w:rPr>
              <w:noProof/>
            </w:rPr>
            <w:t xml:space="preserve"> </w:t>
          </w:r>
        </w:p>
        <w:p w14:paraId="1437E1A5" w14:textId="77777777" w:rsidR="00805A9B" w:rsidRDefault="00805A9B" w:rsidP="00805A9B">
          <w:pPr>
            <w:pStyle w:val="Bibliography"/>
            <w:ind w:left="720" w:hanging="720"/>
            <w:rPr>
              <w:noProof/>
            </w:rPr>
          </w:pPr>
          <w:r>
            <w:rPr>
              <w:noProof/>
            </w:rPr>
            <w:t xml:space="preserve">J.M., Callaghan. 2004. </w:t>
          </w:r>
          <w:r>
            <w:rPr>
              <w:i/>
              <w:iCs/>
              <w:noProof/>
            </w:rPr>
            <w:t>The Founder: How a Scottish Dilettante Created Assiniboia.</w:t>
          </w:r>
          <w:r>
            <w:rPr>
              <w:noProof/>
            </w:rPr>
            <w:t xml:space="preserve"> Dunedin: University of Dunedin Press.</w:t>
          </w:r>
        </w:p>
        <w:p w14:paraId="3ED82C2E" w14:textId="77777777" w:rsidR="00805A9B" w:rsidRDefault="00805A9B" w:rsidP="00805A9B">
          <w:pPr>
            <w:pStyle w:val="Bibliography"/>
            <w:ind w:left="720" w:hanging="720"/>
            <w:rPr>
              <w:noProof/>
            </w:rPr>
          </w:pPr>
          <w:r>
            <w:rPr>
              <w:noProof/>
            </w:rPr>
            <w:t xml:space="preserve">Jackson, Everett. 1957. </w:t>
          </w:r>
          <w:r>
            <w:rPr>
              <w:i/>
              <w:iCs/>
              <w:noProof/>
            </w:rPr>
            <w:t>The Birth of a Capital: Washington City, 1789–1868 .</w:t>
          </w:r>
          <w:r>
            <w:rPr>
              <w:noProof/>
            </w:rPr>
            <w:t xml:space="preserve"> New Haven: Yale University Press.</w:t>
          </w:r>
        </w:p>
        <w:p w14:paraId="0623A982" w14:textId="77777777" w:rsidR="00805A9B" w:rsidRDefault="00805A9B" w:rsidP="00805A9B">
          <w:pPr>
            <w:pStyle w:val="Bibliography"/>
            <w:ind w:left="720" w:hanging="720"/>
            <w:rPr>
              <w:noProof/>
            </w:rPr>
          </w:pPr>
          <w:r>
            <w:rPr>
              <w:noProof/>
            </w:rPr>
            <w:t xml:space="preserve">Jacobs, Thomas. 1979. </w:t>
          </w:r>
          <w:r>
            <w:rPr>
              <w:i/>
              <w:iCs/>
              <w:noProof/>
            </w:rPr>
            <w:t>Broken Nation: Internal Improvements and the Unmaking of Pike’s America.</w:t>
          </w:r>
          <w:r>
            <w:rPr>
              <w:noProof/>
            </w:rPr>
            <w:t xml:space="preserve"> St. Louis: Cahokia Historical Press.</w:t>
          </w:r>
        </w:p>
        <w:p w14:paraId="212A9248" w14:textId="77777777" w:rsidR="00805A9B" w:rsidRDefault="00805A9B" w:rsidP="00805A9B">
          <w:pPr>
            <w:pStyle w:val="Bibliography"/>
            <w:ind w:left="720" w:hanging="720"/>
            <w:rPr>
              <w:noProof/>
            </w:rPr>
          </w:pPr>
          <w:r>
            <w:rPr>
              <w:noProof/>
            </w:rPr>
            <w:t xml:space="preserve">Jameson, Ronald. 1889. "Liberty Across the Atlantic: American Aftershocks of the Popular Revolution, 1827-1868." </w:t>
          </w:r>
          <w:r>
            <w:rPr>
              <w:i/>
              <w:iCs/>
              <w:noProof/>
            </w:rPr>
            <w:t>Columbia Historical Review.</w:t>
          </w:r>
          <w:r>
            <w:rPr>
              <w:noProof/>
            </w:rPr>
            <w:t xml:space="preserve"> </w:t>
          </w:r>
        </w:p>
        <w:p w14:paraId="793A9484" w14:textId="77777777" w:rsidR="00805A9B" w:rsidRDefault="00805A9B" w:rsidP="00805A9B">
          <w:pPr>
            <w:pStyle w:val="Bibliography"/>
            <w:ind w:left="720" w:hanging="720"/>
            <w:rPr>
              <w:noProof/>
            </w:rPr>
          </w:pPr>
          <w:r>
            <w:rPr>
              <w:noProof/>
            </w:rPr>
            <w:t xml:space="preserve">Jefferson, Thomas. 1816. </w:t>
          </w:r>
          <w:r>
            <w:rPr>
              <w:i/>
              <w:iCs/>
              <w:noProof/>
            </w:rPr>
            <w:t>Notes on the State of the American Confederacy.</w:t>
          </w:r>
          <w:r>
            <w:rPr>
              <w:noProof/>
            </w:rPr>
            <w:t xml:space="preserve"> Washington: Archives of the Library of Alexandria.</w:t>
          </w:r>
        </w:p>
        <w:p w14:paraId="57608D47" w14:textId="77777777" w:rsidR="00805A9B" w:rsidRDefault="00805A9B" w:rsidP="00805A9B">
          <w:pPr>
            <w:pStyle w:val="Bibliography"/>
            <w:ind w:left="720" w:hanging="720"/>
            <w:rPr>
              <w:noProof/>
            </w:rPr>
          </w:pPr>
          <w:r>
            <w:rPr>
              <w:noProof/>
            </w:rPr>
            <w:t xml:space="preserve">Johansdottir, Kirsten. 2003. </w:t>
          </w:r>
          <w:r>
            <w:rPr>
              <w:i/>
              <w:iCs/>
              <w:noProof/>
            </w:rPr>
            <w:t>Submarine Cables in the Light of History, 1853-1937.</w:t>
          </w:r>
          <w:r>
            <w:rPr>
              <w:noProof/>
            </w:rPr>
            <w:t xml:space="preserve"> Montreal: University of Laurentia Press.</w:t>
          </w:r>
        </w:p>
        <w:p w14:paraId="2E18CA6A" w14:textId="77777777" w:rsidR="00805A9B" w:rsidRDefault="00805A9B" w:rsidP="00805A9B">
          <w:pPr>
            <w:pStyle w:val="Bibliography"/>
            <w:ind w:left="720" w:hanging="720"/>
            <w:rPr>
              <w:noProof/>
            </w:rPr>
          </w:pPr>
          <w:r>
            <w:rPr>
              <w:noProof/>
            </w:rPr>
            <w:t xml:space="preserve">Johnson, Zimri. 2013. </w:t>
          </w:r>
          <w:r>
            <w:rPr>
              <w:i/>
              <w:iCs/>
              <w:noProof/>
            </w:rPr>
            <w:t>What’s in a name? African, Colored, and Other Terms in the American Republic, 1776-1840.</w:t>
          </w:r>
          <w:r>
            <w:rPr>
              <w:noProof/>
            </w:rPr>
            <w:t xml:space="preserve"> Cambridge: Harvard Historical Studies.</w:t>
          </w:r>
        </w:p>
        <w:p w14:paraId="081A1463" w14:textId="77777777" w:rsidR="00805A9B" w:rsidRDefault="00805A9B" w:rsidP="00805A9B">
          <w:pPr>
            <w:pStyle w:val="Bibliography"/>
            <w:ind w:left="720" w:hanging="720"/>
            <w:rPr>
              <w:noProof/>
            </w:rPr>
          </w:pPr>
          <w:r>
            <w:rPr>
              <w:noProof/>
            </w:rPr>
            <w:t xml:space="preserve">Kenzler, Sidney. 2001. </w:t>
          </w:r>
          <w:r>
            <w:rPr>
              <w:i/>
              <w:iCs/>
              <w:noProof/>
            </w:rPr>
            <w:t>The Meeting that Changed the World: Henry Clay and George Tierney, the Flames of Liberty, and Toronto, 1830.</w:t>
          </w:r>
          <w:r>
            <w:rPr>
              <w:noProof/>
            </w:rPr>
            <w:t xml:space="preserve"> Toronto: Toronto University Press.</w:t>
          </w:r>
        </w:p>
        <w:p w14:paraId="6B8CBF34" w14:textId="77777777" w:rsidR="00805A9B" w:rsidRDefault="00805A9B" w:rsidP="00805A9B">
          <w:pPr>
            <w:pStyle w:val="Bibliography"/>
            <w:ind w:left="720" w:hanging="720"/>
            <w:rPr>
              <w:noProof/>
            </w:rPr>
          </w:pPr>
          <w:r>
            <w:rPr>
              <w:noProof/>
            </w:rPr>
            <w:t xml:space="preserve">Kirk, Racine. 1941. </w:t>
          </w:r>
          <w:r>
            <w:rPr>
              <w:i/>
              <w:iCs/>
              <w:noProof/>
            </w:rPr>
            <w:t>The Anglo-American Tradition of Liberty.</w:t>
          </w:r>
          <w:r>
            <w:rPr>
              <w:noProof/>
            </w:rPr>
            <w:t xml:space="preserve"> Montreal: University of Laurentia Press.</w:t>
          </w:r>
        </w:p>
        <w:p w14:paraId="1190124C" w14:textId="77777777" w:rsidR="00805A9B" w:rsidRDefault="00805A9B" w:rsidP="00805A9B">
          <w:pPr>
            <w:pStyle w:val="Bibliography"/>
            <w:ind w:left="720" w:hanging="720"/>
            <w:rPr>
              <w:noProof/>
            </w:rPr>
          </w:pPr>
          <w:r>
            <w:rPr>
              <w:noProof/>
            </w:rPr>
            <w:t xml:space="preserve">—. 1949. </w:t>
          </w:r>
          <w:r>
            <w:rPr>
              <w:i/>
              <w:iCs/>
              <w:noProof/>
            </w:rPr>
            <w:t>The Moderate Mind: From Burke to Webster.</w:t>
          </w:r>
          <w:r>
            <w:rPr>
              <w:noProof/>
            </w:rPr>
            <w:t xml:space="preserve"> Montreal: University of Laurentia Press.</w:t>
          </w:r>
        </w:p>
        <w:p w14:paraId="5F1AB05E" w14:textId="77777777" w:rsidR="00805A9B" w:rsidRDefault="00805A9B" w:rsidP="00805A9B">
          <w:pPr>
            <w:pStyle w:val="Bibliography"/>
            <w:ind w:left="720" w:hanging="720"/>
            <w:rPr>
              <w:noProof/>
            </w:rPr>
          </w:pPr>
          <w:r>
            <w:rPr>
              <w:noProof/>
            </w:rPr>
            <w:lastRenderedPageBreak/>
            <w:t xml:space="preserve">Klein, Friedrich. 1859. </w:t>
          </w:r>
          <w:r>
            <w:rPr>
              <w:i/>
              <w:iCs/>
              <w:noProof/>
            </w:rPr>
            <w:t>The Crisis of the Thrones: Correspondence from Europe, 1847–1853.</w:t>
          </w:r>
          <w:r>
            <w:rPr>
              <w:noProof/>
            </w:rPr>
            <w:t xml:space="preserve"> Zurich: Schwäbische Zeitung.</w:t>
          </w:r>
        </w:p>
        <w:p w14:paraId="1DED0049" w14:textId="77777777" w:rsidR="00805A9B" w:rsidRDefault="00805A9B" w:rsidP="00805A9B">
          <w:pPr>
            <w:pStyle w:val="Bibliography"/>
            <w:ind w:left="720" w:hanging="720"/>
            <w:rPr>
              <w:noProof/>
            </w:rPr>
          </w:pPr>
          <w:r>
            <w:rPr>
              <w:noProof/>
            </w:rPr>
            <w:t xml:space="preserve">Korchakov, Alexey. 1992. </w:t>
          </w:r>
          <w:r>
            <w:rPr>
              <w:i/>
              <w:iCs/>
              <w:noProof/>
            </w:rPr>
            <w:t>The Teuton Seed: German, Saxon, and Hibernic Lifeways in America, 1600 to the Present.</w:t>
          </w:r>
          <w:r>
            <w:rPr>
              <w:noProof/>
            </w:rPr>
            <w:t xml:space="preserve"> Princeton: University of New Jersey Press.</w:t>
          </w:r>
        </w:p>
        <w:p w14:paraId="2830A6D8" w14:textId="77777777" w:rsidR="00805A9B" w:rsidRDefault="00805A9B" w:rsidP="00805A9B">
          <w:pPr>
            <w:pStyle w:val="Bibliography"/>
            <w:ind w:left="720" w:hanging="720"/>
            <w:rPr>
              <w:noProof/>
            </w:rPr>
          </w:pPr>
          <w:r>
            <w:rPr>
              <w:noProof/>
            </w:rPr>
            <w:t xml:space="preserve">Kuskov, Alexandria. 2004. </w:t>
          </w:r>
          <w:r>
            <w:rPr>
              <w:i/>
              <w:iCs/>
              <w:noProof/>
            </w:rPr>
            <w:t>For Autonomy and Freedom: The Birth and Rise of the Radical Party, 1894-1916.</w:t>
          </w:r>
          <w:r>
            <w:rPr>
              <w:noProof/>
            </w:rPr>
            <w:t xml:space="preserve"> New Haven: Yale University Publishing.</w:t>
          </w:r>
        </w:p>
        <w:p w14:paraId="6D7D7A64" w14:textId="77777777" w:rsidR="00805A9B" w:rsidRDefault="00805A9B" w:rsidP="00805A9B">
          <w:pPr>
            <w:pStyle w:val="Bibliography"/>
            <w:ind w:left="720" w:hanging="720"/>
            <w:rPr>
              <w:noProof/>
            </w:rPr>
          </w:pPr>
          <w:r>
            <w:rPr>
              <w:noProof/>
            </w:rPr>
            <w:t xml:space="preserve">Lafitte, Jonathan. 2003. </w:t>
          </w:r>
          <w:r>
            <w:rPr>
              <w:i/>
              <w:iCs/>
              <w:noProof/>
            </w:rPr>
            <w:t>To Transcend the Self: The Life of Ralph Waldo Emerson.</w:t>
          </w:r>
          <w:r>
            <w:rPr>
              <w:noProof/>
            </w:rPr>
            <w:t xml:space="preserve"> St. Paul: University of St. Paul.</w:t>
          </w:r>
        </w:p>
        <w:p w14:paraId="01CD4AF0" w14:textId="77777777" w:rsidR="00805A9B" w:rsidRDefault="00805A9B" w:rsidP="00805A9B">
          <w:pPr>
            <w:pStyle w:val="Bibliography"/>
            <w:ind w:left="720" w:hanging="720"/>
            <w:rPr>
              <w:noProof/>
            </w:rPr>
          </w:pPr>
          <w:r>
            <w:rPr>
              <w:noProof/>
            </w:rPr>
            <w:t xml:space="preserve">—. 1995. </w:t>
          </w:r>
          <w:r>
            <w:rPr>
              <w:i/>
              <w:iCs/>
              <w:noProof/>
            </w:rPr>
            <w:t>Towards Literary Independence: The Rise of the American Novel, 1800-1900.</w:t>
          </w:r>
          <w:r>
            <w:rPr>
              <w:noProof/>
            </w:rPr>
            <w:t xml:space="preserve"> St. Paul: University of St. Paul.</w:t>
          </w:r>
        </w:p>
        <w:p w14:paraId="3BC08F5C" w14:textId="77777777" w:rsidR="00805A9B" w:rsidRDefault="00805A9B" w:rsidP="00805A9B">
          <w:pPr>
            <w:pStyle w:val="Bibliography"/>
            <w:ind w:left="720" w:hanging="720"/>
            <w:rPr>
              <w:noProof/>
            </w:rPr>
          </w:pPr>
          <w:r>
            <w:rPr>
              <w:noProof/>
            </w:rPr>
            <w:t xml:space="preserve">Langford, Edwin. 2005. "“Unbending the Arc”: Reform Radicalism and the Political Mainstream, 1829–1868." </w:t>
          </w:r>
          <w:r>
            <w:rPr>
              <w:i/>
              <w:iCs/>
              <w:noProof/>
            </w:rPr>
            <w:t>Journal of American Political Development 18, no. 2.</w:t>
          </w:r>
          <w:r>
            <w:rPr>
              <w:noProof/>
            </w:rPr>
            <w:t xml:space="preserve"> </w:t>
          </w:r>
        </w:p>
        <w:p w14:paraId="6548A2C6" w14:textId="77777777" w:rsidR="00805A9B" w:rsidRDefault="00805A9B" w:rsidP="00805A9B">
          <w:pPr>
            <w:pStyle w:val="Bibliography"/>
            <w:ind w:left="720" w:hanging="720"/>
            <w:rPr>
              <w:noProof/>
            </w:rPr>
          </w:pPr>
          <w:r>
            <w:rPr>
              <w:noProof/>
            </w:rPr>
            <w:t xml:space="preserve">Langford, Edwin. 2007. "Puritan Moralism, Websterism, and the Abolitionist Movement." </w:t>
          </w:r>
          <w:r>
            <w:rPr>
              <w:i/>
              <w:iCs/>
              <w:noProof/>
            </w:rPr>
            <w:t>Journal of American Political Development 20, no. 2</w:t>
          </w:r>
          <w:r>
            <w:rPr>
              <w:noProof/>
            </w:rPr>
            <w:t xml:space="preserve"> 342–364.</w:t>
          </w:r>
        </w:p>
        <w:p w14:paraId="2E997B6B" w14:textId="77777777" w:rsidR="00805A9B" w:rsidRDefault="00805A9B" w:rsidP="00805A9B">
          <w:pPr>
            <w:pStyle w:val="Bibliography"/>
            <w:ind w:left="720" w:hanging="720"/>
            <w:rPr>
              <w:noProof/>
            </w:rPr>
          </w:pPr>
          <w:r>
            <w:rPr>
              <w:noProof/>
            </w:rPr>
            <w:t xml:space="preserve">Lawrence, Milton. 2004. </w:t>
          </w:r>
          <w:r>
            <w:rPr>
              <w:i/>
              <w:iCs/>
              <w:noProof/>
            </w:rPr>
            <w:t>The Birth and Rise of the Smithsonian Institution.</w:t>
          </w:r>
          <w:r>
            <w:rPr>
              <w:noProof/>
            </w:rPr>
            <w:t xml:space="preserve"> Washington: Smithsonian History Press.</w:t>
          </w:r>
        </w:p>
        <w:p w14:paraId="51208A84" w14:textId="77777777" w:rsidR="00805A9B" w:rsidRDefault="00805A9B" w:rsidP="00805A9B">
          <w:pPr>
            <w:pStyle w:val="Bibliography"/>
            <w:ind w:left="720" w:hanging="720"/>
            <w:rPr>
              <w:noProof/>
            </w:rPr>
          </w:pPr>
          <w:r>
            <w:rPr>
              <w:noProof/>
            </w:rPr>
            <w:t xml:space="preserve">Lawson, Esther. 1998. </w:t>
          </w:r>
          <w:r>
            <w:rPr>
              <w:i/>
              <w:iCs/>
              <w:noProof/>
            </w:rPr>
            <w:t>The Most Perilous Run: The Iceclipper Express and its Place in World History.</w:t>
          </w:r>
          <w:r>
            <w:rPr>
              <w:noProof/>
            </w:rPr>
            <w:t xml:space="preserve"> New Jerusalem: Press of the National Academy of New Canaan.</w:t>
          </w:r>
        </w:p>
        <w:p w14:paraId="686ED134" w14:textId="77777777" w:rsidR="00805A9B" w:rsidRDefault="00805A9B" w:rsidP="00805A9B">
          <w:pPr>
            <w:pStyle w:val="Bibliography"/>
            <w:ind w:left="720" w:hanging="720"/>
            <w:rPr>
              <w:noProof/>
            </w:rPr>
          </w:pPr>
          <w:r>
            <w:rPr>
              <w:noProof/>
            </w:rPr>
            <w:t xml:space="preserve">Lawson, Hugh. 2013. </w:t>
          </w:r>
          <w:r>
            <w:rPr>
              <w:i/>
              <w:iCs/>
              <w:noProof/>
            </w:rPr>
            <w:t>The Adolescent Nation: Canada, 1828-1890.</w:t>
          </w:r>
          <w:r>
            <w:rPr>
              <w:noProof/>
            </w:rPr>
            <w:t xml:space="preserve"> Toronto: Toronto University Press.</w:t>
          </w:r>
        </w:p>
        <w:p w14:paraId="7E5C9D44" w14:textId="77777777" w:rsidR="00805A9B" w:rsidRDefault="00805A9B" w:rsidP="00805A9B">
          <w:pPr>
            <w:pStyle w:val="Bibliography"/>
            <w:ind w:left="720" w:hanging="720"/>
            <w:rPr>
              <w:noProof/>
            </w:rPr>
          </w:pPr>
          <w:r>
            <w:rPr>
              <w:noProof/>
            </w:rPr>
            <w:t xml:space="preserve">Leggett, William. 1840. </w:t>
          </w:r>
          <w:r>
            <w:rPr>
              <w:i/>
              <w:iCs/>
              <w:noProof/>
            </w:rPr>
            <w:t>Address to the Voters of the North.</w:t>
          </w:r>
          <w:r>
            <w:rPr>
              <w:noProof/>
            </w:rPr>
            <w:t xml:space="preserve"> New York City: The Plaindealer.</w:t>
          </w:r>
        </w:p>
        <w:p w14:paraId="420A30B0" w14:textId="77777777" w:rsidR="00805A9B" w:rsidRDefault="00805A9B" w:rsidP="00805A9B">
          <w:pPr>
            <w:pStyle w:val="Bibliography"/>
            <w:ind w:left="720" w:hanging="720"/>
            <w:rPr>
              <w:noProof/>
            </w:rPr>
          </w:pPr>
          <w:r>
            <w:rPr>
              <w:noProof/>
            </w:rPr>
            <w:t xml:space="preserve">Li, Guiyang. 2023. </w:t>
          </w:r>
          <w:r>
            <w:rPr>
              <w:i/>
              <w:iCs/>
              <w:noProof/>
            </w:rPr>
            <w:t>The Problem of Modernity: Bai China between Revolution and Reunification, 1854-1898.</w:t>
          </w:r>
          <w:r>
            <w:rPr>
              <w:noProof/>
            </w:rPr>
            <w:t xml:space="preserve"> Nanjing: Guozijan Press.</w:t>
          </w:r>
        </w:p>
        <w:p w14:paraId="1BFABADD" w14:textId="77777777" w:rsidR="00805A9B" w:rsidRDefault="00805A9B" w:rsidP="00805A9B">
          <w:pPr>
            <w:pStyle w:val="Bibliography"/>
            <w:ind w:left="720" w:hanging="720"/>
            <w:rPr>
              <w:noProof/>
            </w:rPr>
          </w:pPr>
          <w:r>
            <w:rPr>
              <w:noProof/>
            </w:rPr>
            <w:t xml:space="preserve">Library of Alexandria. 2011. </w:t>
          </w:r>
          <w:r>
            <w:rPr>
              <w:i/>
              <w:iCs/>
              <w:noProof/>
            </w:rPr>
            <w:t>Alexandria Atlas of Elections, 10ed.</w:t>
          </w:r>
          <w:r>
            <w:rPr>
              <w:noProof/>
            </w:rPr>
            <w:t xml:space="preserve"> Alexandria: Library of Alexandria.</w:t>
          </w:r>
        </w:p>
        <w:p w14:paraId="7CDF6B7A" w14:textId="77777777" w:rsidR="00805A9B" w:rsidRDefault="00805A9B" w:rsidP="00805A9B">
          <w:pPr>
            <w:pStyle w:val="Bibliography"/>
            <w:ind w:left="720" w:hanging="720"/>
            <w:rPr>
              <w:noProof/>
            </w:rPr>
          </w:pPr>
          <w:r>
            <w:rPr>
              <w:noProof/>
            </w:rPr>
            <w:lastRenderedPageBreak/>
            <w:t xml:space="preserve">Library of Alexandria. 2020 ed. "James Madison." </w:t>
          </w:r>
          <w:r>
            <w:rPr>
              <w:i/>
              <w:iCs/>
              <w:noProof/>
            </w:rPr>
            <w:t>Alexandria Encyclopedia of Early American History.</w:t>
          </w:r>
          <w:r>
            <w:rPr>
              <w:noProof/>
            </w:rPr>
            <w:t xml:space="preserve"> </w:t>
          </w:r>
        </w:p>
        <w:p w14:paraId="222B1431" w14:textId="77777777" w:rsidR="00805A9B" w:rsidRDefault="00805A9B" w:rsidP="00805A9B">
          <w:pPr>
            <w:pStyle w:val="Bibliography"/>
            <w:ind w:left="720" w:hanging="720"/>
            <w:rPr>
              <w:noProof/>
            </w:rPr>
          </w:pPr>
          <w:r>
            <w:rPr>
              <w:noProof/>
            </w:rPr>
            <w:t xml:space="preserve">Library of Alexandria. 2020 ed. "Political conventions." </w:t>
          </w:r>
          <w:r>
            <w:rPr>
              <w:i/>
              <w:iCs/>
              <w:noProof/>
            </w:rPr>
            <w:t>Alexandria Encyclopedia of Early American History.</w:t>
          </w:r>
          <w:r>
            <w:rPr>
              <w:noProof/>
            </w:rPr>
            <w:t xml:space="preserve"> </w:t>
          </w:r>
        </w:p>
        <w:p w14:paraId="69B272CA" w14:textId="77777777" w:rsidR="00805A9B" w:rsidRDefault="00805A9B" w:rsidP="00805A9B">
          <w:pPr>
            <w:pStyle w:val="Bibliography"/>
            <w:ind w:left="720" w:hanging="720"/>
            <w:rPr>
              <w:noProof/>
            </w:rPr>
          </w:pPr>
          <w:r>
            <w:rPr>
              <w:noProof/>
            </w:rPr>
            <w:t xml:space="preserve">Library of Alexandria. 2020 ed. "Presidential Elections." </w:t>
          </w:r>
          <w:r>
            <w:rPr>
              <w:i/>
              <w:iCs/>
              <w:noProof/>
            </w:rPr>
            <w:t>Alexandria Encyclopedia of Early American History.</w:t>
          </w:r>
          <w:r>
            <w:rPr>
              <w:noProof/>
            </w:rPr>
            <w:t xml:space="preserve"> </w:t>
          </w:r>
        </w:p>
        <w:p w14:paraId="7DEAAB29" w14:textId="77777777" w:rsidR="00805A9B" w:rsidRDefault="00805A9B" w:rsidP="00805A9B">
          <w:pPr>
            <w:pStyle w:val="Bibliography"/>
            <w:ind w:left="720" w:hanging="720"/>
            <w:rPr>
              <w:noProof/>
            </w:rPr>
          </w:pPr>
          <w:r>
            <w:rPr>
              <w:noProof/>
            </w:rPr>
            <w:t xml:space="preserve">Lieven, Anthony. 2004. </w:t>
          </w:r>
          <w:r>
            <w:rPr>
              <w:i/>
              <w:iCs/>
              <w:noProof/>
            </w:rPr>
            <w:t>The Revolution of the Disc: The Striaphone, 1846-1900.</w:t>
          </w:r>
          <w:r>
            <w:rPr>
              <w:noProof/>
            </w:rPr>
            <w:t xml:space="preserve"> Chester: University of Shackamia Press.</w:t>
          </w:r>
        </w:p>
        <w:p w14:paraId="2EB546CC" w14:textId="77777777" w:rsidR="00805A9B" w:rsidRDefault="00805A9B" w:rsidP="00805A9B">
          <w:pPr>
            <w:pStyle w:val="Bibliography"/>
            <w:ind w:left="720" w:hanging="720"/>
            <w:rPr>
              <w:noProof/>
            </w:rPr>
          </w:pPr>
          <w:r>
            <w:rPr>
              <w:noProof/>
            </w:rPr>
            <w:t xml:space="preserve">Lufton, Abram. 1993. </w:t>
          </w:r>
          <w:r>
            <w:rPr>
              <w:i/>
              <w:iCs/>
              <w:noProof/>
            </w:rPr>
            <w:t>The Island and the World: The United States and Foreign Trade, 1845-1911.</w:t>
          </w:r>
          <w:r>
            <w:rPr>
              <w:noProof/>
            </w:rPr>
            <w:t xml:space="preserve"> Lexington: Transylvania University Press.</w:t>
          </w:r>
        </w:p>
        <w:p w14:paraId="7B69C02B" w14:textId="77777777" w:rsidR="00805A9B" w:rsidRDefault="00805A9B" w:rsidP="00805A9B">
          <w:pPr>
            <w:pStyle w:val="Bibliography"/>
            <w:ind w:left="720" w:hanging="720"/>
            <w:rPr>
              <w:noProof/>
            </w:rPr>
          </w:pPr>
          <w:r>
            <w:rPr>
              <w:noProof/>
            </w:rPr>
            <w:t xml:space="preserve">MacDonough, Bob. 2001. </w:t>
          </w:r>
          <w:r>
            <w:rPr>
              <w:i/>
              <w:iCs/>
              <w:noProof/>
            </w:rPr>
            <w:t>Hero of Two Worlds: The Life and Times of Citizen Lafayette.</w:t>
          </w:r>
          <w:r>
            <w:rPr>
              <w:noProof/>
            </w:rPr>
            <w:t xml:space="preserve"> Washington: Atlantic &amp; Sons.</w:t>
          </w:r>
        </w:p>
        <w:p w14:paraId="22FE3D70" w14:textId="77777777" w:rsidR="00805A9B" w:rsidRDefault="00805A9B" w:rsidP="00805A9B">
          <w:pPr>
            <w:pStyle w:val="Bibliography"/>
            <w:ind w:left="720" w:hanging="720"/>
            <w:rPr>
              <w:noProof/>
            </w:rPr>
          </w:pPr>
          <w:r>
            <w:rPr>
              <w:noProof/>
            </w:rPr>
            <w:t xml:space="preserve">Manigault, Azucena. 1981. </w:t>
          </w:r>
          <w:r>
            <w:rPr>
              <w:i/>
              <w:iCs/>
              <w:noProof/>
            </w:rPr>
            <w:t>The Leonardo of the Ascendancy: The Life and Times of Samuel F.B. Morse, 1791-1871.</w:t>
          </w:r>
          <w:r>
            <w:rPr>
              <w:noProof/>
            </w:rPr>
            <w:t xml:space="preserve"> Monterrey: Republican University of Monterrey Press.</w:t>
          </w:r>
        </w:p>
        <w:p w14:paraId="0E87C96F" w14:textId="77777777" w:rsidR="00805A9B" w:rsidRDefault="00805A9B" w:rsidP="00805A9B">
          <w:pPr>
            <w:pStyle w:val="Bibliography"/>
            <w:ind w:left="720" w:hanging="720"/>
            <w:rPr>
              <w:noProof/>
            </w:rPr>
          </w:pPr>
          <w:r>
            <w:rPr>
              <w:noProof/>
            </w:rPr>
            <w:t xml:space="preserve">Manning, Julius. 1913. </w:t>
          </w:r>
          <w:r>
            <w:rPr>
              <w:i/>
              <w:iCs/>
              <w:noProof/>
            </w:rPr>
            <w:t>Pragmatism and Prejudice: The Politics of Colonization in the Webster Presidency.</w:t>
          </w:r>
          <w:r>
            <w:rPr>
              <w:noProof/>
            </w:rPr>
            <w:t xml:space="preserve"> Worcester: Massachusetts Historical Review 68, no. 1.</w:t>
          </w:r>
        </w:p>
        <w:p w14:paraId="0A474F57" w14:textId="77777777" w:rsidR="00805A9B" w:rsidRDefault="00805A9B" w:rsidP="00805A9B">
          <w:pPr>
            <w:pStyle w:val="Bibliography"/>
            <w:ind w:left="720" w:hanging="720"/>
            <w:rPr>
              <w:noProof/>
            </w:rPr>
          </w:pPr>
          <w:r>
            <w:rPr>
              <w:noProof/>
            </w:rPr>
            <w:t xml:space="preserve">Mansoure, Louis. 2011. </w:t>
          </w:r>
          <w:r>
            <w:rPr>
              <w:i/>
              <w:iCs/>
              <w:noProof/>
            </w:rPr>
            <w:t>The Locomotive: The Rise of the Railroad and the Dawn of Modernity.</w:t>
          </w:r>
          <w:r>
            <w:rPr>
              <w:noProof/>
            </w:rPr>
            <w:t xml:space="preserve"> Aix-la-Chapelle: Éditions Wosniac.</w:t>
          </w:r>
        </w:p>
        <w:p w14:paraId="6CBB6FEE" w14:textId="77777777" w:rsidR="00805A9B" w:rsidRDefault="00805A9B" w:rsidP="00805A9B">
          <w:pPr>
            <w:pStyle w:val="Bibliography"/>
            <w:ind w:left="720" w:hanging="720"/>
            <w:rPr>
              <w:noProof/>
            </w:rPr>
          </w:pPr>
          <w:r>
            <w:rPr>
              <w:noProof/>
            </w:rPr>
            <w:t xml:space="preserve">Martinez, Rafael. 1996. </w:t>
          </w:r>
          <w:r>
            <w:rPr>
              <w:i/>
              <w:iCs/>
              <w:noProof/>
            </w:rPr>
            <w:t>Slavery’s Frontier: Expansion, Illegality, and Subversion in Missouri Territory, 1830–1836.</w:t>
          </w:r>
          <w:r>
            <w:rPr>
              <w:noProof/>
            </w:rPr>
            <w:t xml:space="preserve"> Matamoros: Republican University of Matamoros.</w:t>
          </w:r>
        </w:p>
        <w:p w14:paraId="6DC1E78F" w14:textId="77777777" w:rsidR="00805A9B" w:rsidRDefault="00805A9B" w:rsidP="00805A9B">
          <w:pPr>
            <w:pStyle w:val="Bibliography"/>
            <w:ind w:left="720" w:hanging="720"/>
            <w:rPr>
              <w:noProof/>
            </w:rPr>
          </w:pPr>
          <w:r>
            <w:rPr>
              <w:noProof/>
            </w:rPr>
            <w:t xml:space="preserve">Matthews, Henry. 1912. </w:t>
          </w:r>
          <w:r>
            <w:rPr>
              <w:i/>
              <w:iCs/>
              <w:noProof/>
            </w:rPr>
            <w:t>Collateral Dreams: The Butlerian Crusade and the Founding of Modern Fredonia.</w:t>
          </w:r>
          <w:r>
            <w:rPr>
              <w:noProof/>
            </w:rPr>
            <w:t xml:space="preserve"> Libertopolis: University of Libertopolis Press.</w:t>
          </w:r>
        </w:p>
        <w:p w14:paraId="42DD3A95" w14:textId="77777777" w:rsidR="00805A9B" w:rsidRDefault="00805A9B" w:rsidP="00805A9B">
          <w:pPr>
            <w:pStyle w:val="Bibliography"/>
            <w:ind w:left="720" w:hanging="720"/>
            <w:rPr>
              <w:noProof/>
            </w:rPr>
          </w:pPr>
          <w:r>
            <w:rPr>
              <w:noProof/>
            </w:rPr>
            <w:t xml:space="preserve">McNeil, Webster. 1936. </w:t>
          </w:r>
          <w:r>
            <w:rPr>
              <w:i/>
              <w:iCs/>
              <w:noProof/>
            </w:rPr>
            <w:t>Corruption on the Rails: Banking, Bribery, and the Bidding War for the West.</w:t>
          </w:r>
          <w:r>
            <w:rPr>
              <w:noProof/>
            </w:rPr>
            <w:t xml:space="preserve"> Cincinnati: Middle Western Studies in Transport.</w:t>
          </w:r>
        </w:p>
        <w:p w14:paraId="3C1D33AE" w14:textId="77777777" w:rsidR="00805A9B" w:rsidRDefault="00805A9B" w:rsidP="00805A9B">
          <w:pPr>
            <w:pStyle w:val="Bibliography"/>
            <w:ind w:left="720" w:hanging="720"/>
            <w:rPr>
              <w:noProof/>
            </w:rPr>
          </w:pPr>
          <w:r>
            <w:rPr>
              <w:noProof/>
            </w:rPr>
            <w:lastRenderedPageBreak/>
            <w:t xml:space="preserve">McPherson, Harold. 1975. "The Secession Oak and the Bluffton Movement: Planting the Seeds of Richmondism." </w:t>
          </w:r>
          <w:r>
            <w:rPr>
              <w:i/>
              <w:iCs/>
              <w:noProof/>
            </w:rPr>
            <w:t>Southern Historical Quarterly 42, no. 3.</w:t>
          </w:r>
          <w:r>
            <w:rPr>
              <w:noProof/>
            </w:rPr>
            <w:t xml:space="preserve"> </w:t>
          </w:r>
        </w:p>
        <w:p w14:paraId="475473FA" w14:textId="77777777" w:rsidR="00805A9B" w:rsidRDefault="00805A9B" w:rsidP="00805A9B">
          <w:pPr>
            <w:pStyle w:val="Bibliography"/>
            <w:ind w:left="720" w:hanging="720"/>
            <w:rPr>
              <w:noProof/>
            </w:rPr>
          </w:pPr>
          <w:r>
            <w:rPr>
              <w:noProof/>
            </w:rPr>
            <w:t xml:space="preserve">Mercer, Elijah. 1893. </w:t>
          </w:r>
          <w:r>
            <w:rPr>
              <w:i/>
              <w:iCs/>
              <w:noProof/>
            </w:rPr>
            <w:t>Echoes of Dissent: Republicanism and Resistance in the Liberty and Union War.</w:t>
          </w:r>
          <w:r>
            <w:rPr>
              <w:noProof/>
            </w:rPr>
            <w:t xml:space="preserve"> Fitzgerald: Tara Hill Press.</w:t>
          </w:r>
        </w:p>
        <w:p w14:paraId="0DF20887" w14:textId="77777777" w:rsidR="00805A9B" w:rsidRDefault="00805A9B" w:rsidP="00805A9B">
          <w:pPr>
            <w:pStyle w:val="Bibliography"/>
            <w:ind w:left="720" w:hanging="720"/>
            <w:rPr>
              <w:noProof/>
            </w:rPr>
          </w:pPr>
          <w:r>
            <w:rPr>
              <w:noProof/>
            </w:rPr>
            <w:t xml:space="preserve">Miller, Diana. 1989. "Urban Expansion and Institutional Development in Antebellum Washington." </w:t>
          </w:r>
          <w:r>
            <w:rPr>
              <w:i/>
              <w:iCs/>
              <w:noProof/>
            </w:rPr>
            <w:t>Smithsonian Institution Journal of History No. 24.</w:t>
          </w:r>
          <w:r>
            <w:rPr>
              <w:noProof/>
            </w:rPr>
            <w:t xml:space="preserve"> </w:t>
          </w:r>
        </w:p>
        <w:p w14:paraId="193DDA31" w14:textId="77777777" w:rsidR="00805A9B" w:rsidRDefault="00805A9B" w:rsidP="00805A9B">
          <w:pPr>
            <w:pStyle w:val="Bibliography"/>
            <w:ind w:left="720" w:hanging="720"/>
            <w:rPr>
              <w:noProof/>
            </w:rPr>
          </w:pPr>
          <w:r>
            <w:rPr>
              <w:noProof/>
            </w:rPr>
            <w:t xml:space="preserve">Miller, Edwin. 1994. </w:t>
          </w:r>
          <w:r>
            <w:rPr>
              <w:i/>
              <w:iCs/>
              <w:noProof/>
            </w:rPr>
            <w:t>The Lewis and Clark Expedition: Disappearance and Memory.</w:t>
          </w:r>
          <w:r>
            <w:rPr>
              <w:noProof/>
            </w:rPr>
            <w:t xml:space="preserve"> Harrisonopolis: University of Harrisonopolis.</w:t>
          </w:r>
        </w:p>
        <w:p w14:paraId="74E857A6" w14:textId="77777777" w:rsidR="00805A9B" w:rsidRDefault="00805A9B" w:rsidP="00805A9B">
          <w:pPr>
            <w:pStyle w:val="Bibliography"/>
            <w:ind w:left="720" w:hanging="720"/>
            <w:rPr>
              <w:noProof/>
            </w:rPr>
          </w:pPr>
          <w:r>
            <w:rPr>
              <w:noProof/>
            </w:rPr>
            <w:t xml:space="preserve">Miller, Zenobia. 1998. </w:t>
          </w:r>
          <w:r>
            <w:rPr>
              <w:i/>
              <w:iCs/>
              <w:noProof/>
            </w:rPr>
            <w:t>America’s Satan: The Life and Times of John C. Calhoun.</w:t>
          </w:r>
          <w:r>
            <w:rPr>
              <w:noProof/>
            </w:rPr>
            <w:t xml:space="preserve"> Alexandria: Library of Alexandria Publishing.</w:t>
          </w:r>
        </w:p>
        <w:p w14:paraId="107770F2" w14:textId="77777777" w:rsidR="00805A9B" w:rsidRDefault="00805A9B" w:rsidP="00805A9B">
          <w:pPr>
            <w:pStyle w:val="Bibliography"/>
            <w:ind w:left="720" w:hanging="720"/>
            <w:rPr>
              <w:noProof/>
            </w:rPr>
          </w:pPr>
          <w:r>
            <w:rPr>
              <w:noProof/>
            </w:rPr>
            <w:t xml:space="preserve">Mingue, Racine. 1984. </w:t>
          </w:r>
          <w:r>
            <w:rPr>
              <w:i/>
              <w:iCs/>
              <w:noProof/>
            </w:rPr>
            <w:t>The Nadir of the Dragon: China, 1800-1901.</w:t>
          </w:r>
          <w:r>
            <w:rPr>
              <w:noProof/>
            </w:rPr>
            <w:t xml:space="preserve"> Lorient: Université républicaine de Nouvelle-Hollande.</w:t>
          </w:r>
        </w:p>
        <w:p w14:paraId="5134AE48" w14:textId="77777777" w:rsidR="00805A9B" w:rsidRDefault="00805A9B" w:rsidP="00805A9B">
          <w:pPr>
            <w:pStyle w:val="Bibliography"/>
            <w:ind w:left="720" w:hanging="720"/>
            <w:rPr>
              <w:noProof/>
            </w:rPr>
          </w:pPr>
          <w:r>
            <w:rPr>
              <w:noProof/>
            </w:rPr>
            <w:t xml:space="preserve">Morgan, Elias. 1962. </w:t>
          </w:r>
          <w:r>
            <w:rPr>
              <w:i/>
              <w:iCs/>
              <w:noProof/>
            </w:rPr>
            <w:t>The Chain Reforged: The Planter Ascendancy in the Pike Administration.</w:t>
          </w:r>
          <w:r>
            <w:rPr>
              <w:noProof/>
            </w:rPr>
            <w:t xml:space="preserve"> Harrisonopolis: University of Harrisonopolis Press.</w:t>
          </w:r>
        </w:p>
        <w:p w14:paraId="6D0EED19" w14:textId="77777777" w:rsidR="00805A9B" w:rsidRDefault="00805A9B" w:rsidP="00805A9B">
          <w:pPr>
            <w:pStyle w:val="Bibliography"/>
            <w:ind w:left="720" w:hanging="720"/>
            <w:rPr>
              <w:noProof/>
            </w:rPr>
          </w:pPr>
          <w:r>
            <w:rPr>
              <w:noProof/>
            </w:rPr>
            <w:t xml:space="preserve">Morris, Alexander. 2020. </w:t>
          </w:r>
          <w:r>
            <w:rPr>
              <w:i/>
              <w:iCs/>
              <w:noProof/>
            </w:rPr>
            <w:t>The Second Age of Revolutions in Global History: 1827-1880.</w:t>
          </w:r>
          <w:r>
            <w:rPr>
              <w:noProof/>
            </w:rPr>
            <w:t xml:space="preserve"> London: London University Press.</w:t>
          </w:r>
        </w:p>
        <w:p w14:paraId="70AADC54" w14:textId="77777777" w:rsidR="00805A9B" w:rsidRDefault="00805A9B" w:rsidP="00805A9B">
          <w:pPr>
            <w:pStyle w:val="Bibliography"/>
            <w:ind w:left="720" w:hanging="720"/>
            <w:rPr>
              <w:noProof/>
            </w:rPr>
          </w:pPr>
          <w:r>
            <w:rPr>
              <w:noProof/>
            </w:rPr>
            <w:t xml:space="preserve">Murphy, William. 2001. </w:t>
          </w:r>
          <w:r>
            <w:rPr>
              <w:i/>
              <w:iCs/>
              <w:noProof/>
            </w:rPr>
            <w:t>Empire at the Crossroads: Spanish America and the United States in the Early 19th Century.</w:t>
          </w:r>
          <w:r>
            <w:rPr>
              <w:noProof/>
            </w:rPr>
            <w:t xml:space="preserve"> Garibaldi: University of Garibaldi Press.</w:t>
          </w:r>
        </w:p>
        <w:p w14:paraId="65D37348" w14:textId="77777777" w:rsidR="00805A9B" w:rsidRDefault="00805A9B" w:rsidP="00805A9B">
          <w:pPr>
            <w:pStyle w:val="Bibliography"/>
            <w:ind w:left="720" w:hanging="720"/>
            <w:rPr>
              <w:noProof/>
            </w:rPr>
          </w:pPr>
          <w:r>
            <w:rPr>
              <w:noProof/>
            </w:rPr>
            <w:t xml:space="preserve">Nackamoorah, Miriam. 1986. </w:t>
          </w:r>
          <w:r>
            <w:rPr>
              <w:i/>
              <w:iCs/>
              <w:noProof/>
            </w:rPr>
            <w:t>From Confederation to Constitution: The Forging of the American Republic, 1781–1801.</w:t>
          </w:r>
          <w:r>
            <w:rPr>
              <w:noProof/>
            </w:rPr>
            <w:t xml:space="preserve"> Dartmouth: Dartmouth College Press.</w:t>
          </w:r>
        </w:p>
        <w:p w14:paraId="7BFA793A" w14:textId="77777777" w:rsidR="00805A9B" w:rsidRDefault="00805A9B" w:rsidP="00805A9B">
          <w:pPr>
            <w:pStyle w:val="Bibliography"/>
            <w:ind w:left="720" w:hanging="720"/>
            <w:rPr>
              <w:noProof/>
            </w:rPr>
          </w:pPr>
          <w:r>
            <w:rPr>
              <w:noProof/>
            </w:rPr>
            <w:t xml:space="preserve">National Intelligencer. 1850. </w:t>
          </w:r>
          <w:r>
            <w:rPr>
              <w:i/>
              <w:iCs/>
              <w:noProof/>
            </w:rPr>
            <w:t>The Collapse of Nullification: Webster Triumphs.</w:t>
          </w:r>
          <w:r>
            <w:rPr>
              <w:noProof/>
            </w:rPr>
            <w:t xml:space="preserve"> Washington, Anacostia: The National Intelligencer, September 2.</w:t>
          </w:r>
        </w:p>
        <w:p w14:paraId="5309B1BC" w14:textId="77777777" w:rsidR="00805A9B" w:rsidRDefault="00805A9B" w:rsidP="00805A9B">
          <w:pPr>
            <w:pStyle w:val="Bibliography"/>
            <w:ind w:left="720" w:hanging="720"/>
            <w:rPr>
              <w:noProof/>
            </w:rPr>
          </w:pPr>
          <w:r>
            <w:rPr>
              <w:noProof/>
            </w:rPr>
            <w:t xml:space="preserve">Newton, Charles. 2008. "The Domestic Department: Its Founding and Early History." </w:t>
          </w:r>
          <w:r>
            <w:rPr>
              <w:i/>
              <w:iCs/>
              <w:noProof/>
            </w:rPr>
            <w:t>Smithsonian Institution Journal of History No. 34.</w:t>
          </w:r>
          <w:r>
            <w:rPr>
              <w:noProof/>
            </w:rPr>
            <w:t xml:space="preserve"> </w:t>
          </w:r>
        </w:p>
        <w:p w14:paraId="35F46951" w14:textId="77777777" w:rsidR="00805A9B" w:rsidRDefault="00805A9B" w:rsidP="00805A9B">
          <w:pPr>
            <w:pStyle w:val="Bibliography"/>
            <w:ind w:left="720" w:hanging="720"/>
            <w:rPr>
              <w:noProof/>
            </w:rPr>
          </w:pPr>
          <w:r>
            <w:rPr>
              <w:noProof/>
            </w:rPr>
            <w:lastRenderedPageBreak/>
            <w:t xml:space="preserve">O’Callaghan, Judith. 2006. </w:t>
          </w:r>
          <w:r>
            <w:rPr>
              <w:i/>
              <w:iCs/>
              <w:noProof/>
            </w:rPr>
            <w:t>The Grand Canals: The Infrastructure Mania of the Burr Years.</w:t>
          </w:r>
          <w:r>
            <w:rPr>
              <w:noProof/>
            </w:rPr>
            <w:t xml:space="preserve"> Sandusky: Great Lakes Historical Society.</w:t>
          </w:r>
        </w:p>
        <w:p w14:paraId="7C79111A" w14:textId="77777777" w:rsidR="00805A9B" w:rsidRDefault="00805A9B" w:rsidP="00805A9B">
          <w:pPr>
            <w:pStyle w:val="Bibliography"/>
            <w:ind w:left="720" w:hanging="720"/>
            <w:rPr>
              <w:noProof/>
            </w:rPr>
          </w:pPr>
          <w:r>
            <w:rPr>
              <w:noProof/>
            </w:rPr>
            <w:t xml:space="preserve">—. 2015. </w:t>
          </w:r>
          <w:r>
            <w:rPr>
              <w:i/>
              <w:iCs/>
              <w:noProof/>
            </w:rPr>
            <w:t>The West and the Canal Revolution: Trade, Transport, and Regional Hubs in the Webster Era.</w:t>
          </w:r>
          <w:r>
            <w:rPr>
              <w:noProof/>
            </w:rPr>
            <w:t xml:space="preserve"> Sandusky: Great Lakes Historical Society.</w:t>
          </w:r>
        </w:p>
        <w:p w14:paraId="4B9219FD" w14:textId="77777777" w:rsidR="00805A9B" w:rsidRDefault="00805A9B" w:rsidP="00805A9B">
          <w:pPr>
            <w:pStyle w:val="Bibliography"/>
            <w:ind w:left="720" w:hanging="720"/>
            <w:rPr>
              <w:noProof/>
            </w:rPr>
          </w:pPr>
          <w:r>
            <w:rPr>
              <w:noProof/>
            </w:rPr>
            <w:t xml:space="preserve">O’Donnell, Federico. 1908. </w:t>
          </w:r>
          <w:r>
            <w:rPr>
              <w:i/>
              <w:iCs/>
              <w:noProof/>
            </w:rPr>
            <w:t>On the Importance of the Frontiers in Buenaventuran History.</w:t>
          </w:r>
          <w:r>
            <w:rPr>
              <w:noProof/>
            </w:rPr>
            <w:t xml:space="preserve"> San Francisco: Republican University of San Francisco.</w:t>
          </w:r>
        </w:p>
        <w:p w14:paraId="3EFBEF61" w14:textId="77777777" w:rsidR="00805A9B" w:rsidRDefault="00805A9B" w:rsidP="00805A9B">
          <w:pPr>
            <w:pStyle w:val="Bibliography"/>
            <w:ind w:left="720" w:hanging="720"/>
            <w:rPr>
              <w:noProof/>
            </w:rPr>
          </w:pPr>
          <w:r>
            <w:rPr>
              <w:noProof/>
            </w:rPr>
            <w:t xml:space="preserve">Oldfield, Geoffrey. 2003. </w:t>
          </w:r>
          <w:r>
            <w:rPr>
              <w:i/>
              <w:iCs/>
              <w:noProof/>
            </w:rPr>
            <w:t>The Atlantic Schism: Relations between the British Isles and the United States, 1830-1868.</w:t>
          </w:r>
          <w:r>
            <w:rPr>
              <w:noProof/>
            </w:rPr>
            <w:t xml:space="preserve"> London: London University Press.</w:t>
          </w:r>
        </w:p>
        <w:p w14:paraId="621B285D" w14:textId="77777777" w:rsidR="00805A9B" w:rsidRDefault="00805A9B" w:rsidP="00805A9B">
          <w:pPr>
            <w:pStyle w:val="Bibliography"/>
            <w:ind w:left="720" w:hanging="720"/>
            <w:rPr>
              <w:noProof/>
            </w:rPr>
          </w:pPr>
          <w:r>
            <w:rPr>
              <w:noProof/>
            </w:rPr>
            <w:t xml:space="preserve">Osterberg, David. 1982. "Early Striaphone Recordings in the Library of Alexandria Collection, 1846-1900." </w:t>
          </w:r>
          <w:r>
            <w:rPr>
              <w:i/>
              <w:iCs/>
              <w:noProof/>
            </w:rPr>
            <w:t>Journal for the Library of Alexandria, Music, vol 19, no. 10.</w:t>
          </w:r>
          <w:r>
            <w:rPr>
              <w:noProof/>
            </w:rPr>
            <w:t xml:space="preserve"> </w:t>
          </w:r>
        </w:p>
        <w:p w14:paraId="46E8669B" w14:textId="77777777" w:rsidR="00805A9B" w:rsidRDefault="00805A9B" w:rsidP="00805A9B">
          <w:pPr>
            <w:pStyle w:val="Bibliography"/>
            <w:ind w:left="720" w:hanging="720"/>
            <w:rPr>
              <w:noProof/>
            </w:rPr>
          </w:pPr>
          <w:r>
            <w:rPr>
              <w:noProof/>
            </w:rPr>
            <w:t xml:space="preserve">Ozimov, Isaac. 1948. "Second Bank of the United States." </w:t>
          </w:r>
          <w:r>
            <w:rPr>
              <w:i/>
              <w:iCs/>
              <w:noProof/>
            </w:rPr>
            <w:t>Sociocratic Encyclopedia, 5ed.</w:t>
          </w:r>
          <w:r>
            <w:rPr>
              <w:noProof/>
            </w:rPr>
            <w:t xml:space="preserve"> </w:t>
          </w:r>
        </w:p>
        <w:p w14:paraId="5CB51496" w14:textId="77777777" w:rsidR="00805A9B" w:rsidRDefault="00805A9B" w:rsidP="00805A9B">
          <w:pPr>
            <w:pStyle w:val="Bibliography"/>
            <w:ind w:left="720" w:hanging="720"/>
            <w:rPr>
              <w:noProof/>
            </w:rPr>
          </w:pPr>
          <w:r>
            <w:rPr>
              <w:noProof/>
            </w:rPr>
            <w:t xml:space="preserve">Pacque, Tatiana. 2011. </w:t>
          </w:r>
          <w:r>
            <w:rPr>
              <w:i/>
              <w:iCs/>
              <w:noProof/>
            </w:rPr>
            <w:t>The Grand Old Woman: Theodosia Burr Alston and America, 1783-1864.</w:t>
          </w:r>
          <w:r>
            <w:rPr>
              <w:noProof/>
            </w:rPr>
            <w:t xml:space="preserve"> Jersey City: Burr University.</w:t>
          </w:r>
        </w:p>
        <w:p w14:paraId="29E394E3" w14:textId="77777777" w:rsidR="00805A9B" w:rsidRDefault="00805A9B" w:rsidP="00805A9B">
          <w:pPr>
            <w:pStyle w:val="Bibliography"/>
            <w:ind w:left="720" w:hanging="720"/>
            <w:rPr>
              <w:noProof/>
            </w:rPr>
          </w:pPr>
          <w:r>
            <w:rPr>
              <w:noProof/>
            </w:rPr>
            <w:t xml:space="preserve">Palley, Lazare. 2001. </w:t>
          </w:r>
          <w:r>
            <w:rPr>
              <w:i/>
              <w:iCs/>
              <w:noProof/>
            </w:rPr>
            <w:t>The Long, Hard Struggle: Antislavery in the Antebellum Era, 1829-1868.</w:t>
          </w:r>
          <w:r>
            <w:rPr>
              <w:noProof/>
            </w:rPr>
            <w:t xml:space="preserve"> Websteropolis: Websteropolis University Press.</w:t>
          </w:r>
        </w:p>
        <w:p w14:paraId="1AD38C81" w14:textId="77777777" w:rsidR="00805A9B" w:rsidRDefault="00805A9B" w:rsidP="00805A9B">
          <w:pPr>
            <w:pStyle w:val="Bibliography"/>
            <w:ind w:left="720" w:hanging="720"/>
            <w:rPr>
              <w:noProof/>
            </w:rPr>
          </w:pPr>
          <w:r>
            <w:rPr>
              <w:noProof/>
            </w:rPr>
            <w:t xml:space="preserve">Pantakrov, Jenny. 2003. </w:t>
          </w:r>
          <w:r>
            <w:rPr>
              <w:i/>
              <w:iCs/>
              <w:noProof/>
            </w:rPr>
            <w:t>Forgotten Founder: The Life and Times of John Adams.</w:t>
          </w:r>
          <w:r>
            <w:rPr>
              <w:noProof/>
            </w:rPr>
            <w:t xml:space="preserve"> Websteropolis: Websteropolis Historical Society.</w:t>
          </w:r>
        </w:p>
        <w:p w14:paraId="40C1E1A4" w14:textId="77777777" w:rsidR="00805A9B" w:rsidRDefault="00805A9B" w:rsidP="00805A9B">
          <w:pPr>
            <w:pStyle w:val="Bibliography"/>
            <w:ind w:left="720" w:hanging="720"/>
            <w:rPr>
              <w:noProof/>
            </w:rPr>
          </w:pPr>
          <w:r>
            <w:rPr>
              <w:noProof/>
            </w:rPr>
            <w:t xml:space="preserve">Pantakrov, Sidney. 1968. </w:t>
          </w:r>
          <w:r>
            <w:rPr>
              <w:i/>
              <w:iCs/>
              <w:noProof/>
            </w:rPr>
            <w:t>The Mudsills of the North: The Mechanics of the North and the Peculiar Institution, 1789-1868.</w:t>
          </w:r>
          <w:r>
            <w:rPr>
              <w:noProof/>
            </w:rPr>
            <w:t xml:space="preserve"> Websteropolis: Websteropolis University Press.</w:t>
          </w:r>
        </w:p>
        <w:p w14:paraId="68FA33EE" w14:textId="77777777" w:rsidR="00805A9B" w:rsidRDefault="00805A9B" w:rsidP="00805A9B">
          <w:pPr>
            <w:pStyle w:val="Bibliography"/>
            <w:ind w:left="720" w:hanging="720"/>
            <w:rPr>
              <w:noProof/>
            </w:rPr>
          </w:pPr>
          <w:r>
            <w:rPr>
              <w:noProof/>
            </w:rPr>
            <w:t xml:space="preserve">Pennington, Robert. 1988. </w:t>
          </w:r>
          <w:r>
            <w:rPr>
              <w:i/>
              <w:iCs/>
              <w:noProof/>
            </w:rPr>
            <w:t>Alexander Hamilton: Anatomy of a Traitor.</w:t>
          </w:r>
          <w:r>
            <w:rPr>
              <w:noProof/>
            </w:rPr>
            <w:t xml:space="preserve"> Washington: Smithsonian History Press.</w:t>
          </w:r>
        </w:p>
        <w:p w14:paraId="61A72C1E" w14:textId="77777777" w:rsidR="00805A9B" w:rsidRDefault="00805A9B" w:rsidP="00805A9B">
          <w:pPr>
            <w:pStyle w:val="Bibliography"/>
            <w:ind w:left="720" w:hanging="720"/>
            <w:rPr>
              <w:noProof/>
            </w:rPr>
          </w:pPr>
          <w:r>
            <w:rPr>
              <w:noProof/>
            </w:rPr>
            <w:t xml:space="preserve">—. 1991. </w:t>
          </w:r>
          <w:r>
            <w:rPr>
              <w:i/>
              <w:iCs/>
              <w:noProof/>
            </w:rPr>
            <w:t>Thomas Jefferson: The Master of Monticello.</w:t>
          </w:r>
          <w:r>
            <w:rPr>
              <w:noProof/>
            </w:rPr>
            <w:t xml:space="preserve"> Washington: Smithsonian History Press.</w:t>
          </w:r>
        </w:p>
        <w:p w14:paraId="655461FF" w14:textId="77777777" w:rsidR="00805A9B" w:rsidRDefault="00805A9B" w:rsidP="00805A9B">
          <w:pPr>
            <w:pStyle w:val="Bibliography"/>
            <w:ind w:left="720" w:hanging="720"/>
            <w:rPr>
              <w:noProof/>
            </w:rPr>
          </w:pPr>
          <w:r>
            <w:rPr>
              <w:noProof/>
            </w:rPr>
            <w:t xml:space="preserve">Pinchot, Geoffrey. 2014. </w:t>
          </w:r>
          <w:r>
            <w:rPr>
              <w:i/>
              <w:iCs/>
              <w:noProof/>
            </w:rPr>
            <w:t>The First Spark of the Information Age: The Semaphore in France and the Sister Republics, 1793 to 1855.</w:t>
          </w:r>
          <w:r>
            <w:rPr>
              <w:noProof/>
            </w:rPr>
            <w:t xml:space="preserve"> Paris: University of Paris.</w:t>
          </w:r>
        </w:p>
        <w:p w14:paraId="71407170" w14:textId="77777777" w:rsidR="00805A9B" w:rsidRDefault="00805A9B" w:rsidP="00805A9B">
          <w:pPr>
            <w:pStyle w:val="Bibliography"/>
            <w:ind w:left="720" w:hanging="720"/>
            <w:rPr>
              <w:noProof/>
            </w:rPr>
          </w:pPr>
          <w:r>
            <w:rPr>
              <w:noProof/>
            </w:rPr>
            <w:lastRenderedPageBreak/>
            <w:t xml:space="preserve">Poole, Tomás. 2004. </w:t>
          </w:r>
          <w:r>
            <w:rPr>
              <w:i/>
              <w:iCs/>
              <w:noProof/>
            </w:rPr>
            <w:t>The Rise of Sequoyah: The Five Tribes in Exile, 1837-1916.</w:t>
          </w:r>
          <w:r>
            <w:rPr>
              <w:noProof/>
            </w:rPr>
            <w:t xml:space="preserve"> Monterrey: Republican University of Monterrey Press.</w:t>
          </w:r>
        </w:p>
        <w:p w14:paraId="504CD4EA" w14:textId="77777777" w:rsidR="00805A9B" w:rsidRDefault="00805A9B" w:rsidP="00805A9B">
          <w:pPr>
            <w:pStyle w:val="Bibliography"/>
            <w:ind w:left="720" w:hanging="720"/>
            <w:rPr>
              <w:noProof/>
            </w:rPr>
          </w:pPr>
          <w:r>
            <w:rPr>
              <w:noProof/>
            </w:rPr>
            <w:t xml:space="preserve">Poots, Bess. 1978. </w:t>
          </w:r>
          <w:r>
            <w:rPr>
              <w:i/>
              <w:iCs/>
              <w:noProof/>
            </w:rPr>
            <w:t>The First Quasi War: Naval Conflict and Presidential Power, 1798–1801.</w:t>
          </w:r>
          <w:r>
            <w:rPr>
              <w:noProof/>
            </w:rPr>
            <w:t xml:space="preserve"> Websterville: Naval Historical Review.</w:t>
          </w:r>
        </w:p>
        <w:p w14:paraId="2E90FF55" w14:textId="77777777" w:rsidR="00805A9B" w:rsidRDefault="00805A9B" w:rsidP="00805A9B">
          <w:pPr>
            <w:pStyle w:val="Bibliography"/>
            <w:ind w:left="720" w:hanging="720"/>
            <w:rPr>
              <w:noProof/>
            </w:rPr>
          </w:pPr>
          <w:r>
            <w:rPr>
              <w:noProof/>
            </w:rPr>
            <w:t xml:space="preserve">Porterfield, Isaac. 2020. </w:t>
          </w:r>
          <w:r>
            <w:rPr>
              <w:i/>
              <w:iCs/>
              <w:noProof/>
            </w:rPr>
            <w:t>Semaphore Republic: America’s First Communications Revolution.</w:t>
          </w:r>
          <w:r>
            <w:rPr>
              <w:noProof/>
            </w:rPr>
            <w:t xml:space="preserve"> Alexandria: Library of Alexandria Publishing.</w:t>
          </w:r>
        </w:p>
        <w:p w14:paraId="0BA0300E" w14:textId="77777777" w:rsidR="00805A9B" w:rsidRDefault="00805A9B" w:rsidP="00805A9B">
          <w:pPr>
            <w:pStyle w:val="Bibliography"/>
            <w:ind w:left="720" w:hanging="720"/>
            <w:rPr>
              <w:noProof/>
            </w:rPr>
          </w:pPr>
          <w:r>
            <w:rPr>
              <w:noProof/>
            </w:rPr>
            <w:t xml:space="preserve">—. 2014. </w:t>
          </w:r>
          <w:r>
            <w:rPr>
              <w:i/>
              <w:iCs/>
              <w:noProof/>
            </w:rPr>
            <w:t>The Typegraphed Municipality: Private Telegraphy in the Antebellum Era.</w:t>
          </w:r>
          <w:r>
            <w:rPr>
              <w:noProof/>
            </w:rPr>
            <w:t xml:space="preserve"> Alexandria: Library of Alexandria Publishing.</w:t>
          </w:r>
        </w:p>
        <w:p w14:paraId="1B604A34" w14:textId="77777777" w:rsidR="00805A9B" w:rsidRDefault="00805A9B" w:rsidP="00805A9B">
          <w:pPr>
            <w:pStyle w:val="Bibliography"/>
            <w:ind w:left="720" w:hanging="720"/>
            <w:rPr>
              <w:noProof/>
            </w:rPr>
          </w:pPr>
          <w:r>
            <w:rPr>
              <w:noProof/>
            </w:rPr>
            <w:t xml:space="preserve">Pruitt, Nathaniel. 2006. </w:t>
          </w:r>
          <w:r>
            <w:rPr>
              <w:i/>
              <w:iCs/>
              <w:noProof/>
            </w:rPr>
            <w:t>The National Bank and the Arc of Iron: State Commercialism and the Railroad Revolution, 1830–1868.</w:t>
          </w:r>
          <w:r>
            <w:rPr>
              <w:noProof/>
            </w:rPr>
            <w:t xml:space="preserve"> Fitzgerald: Curran Emmet University.</w:t>
          </w:r>
        </w:p>
        <w:p w14:paraId="580B5A72" w14:textId="77777777" w:rsidR="00805A9B" w:rsidRDefault="00805A9B" w:rsidP="00805A9B">
          <w:pPr>
            <w:pStyle w:val="Bibliography"/>
            <w:ind w:left="720" w:hanging="720"/>
            <w:rPr>
              <w:noProof/>
            </w:rPr>
          </w:pPr>
          <w:r>
            <w:rPr>
              <w:noProof/>
            </w:rPr>
            <w:t xml:space="preserve">Randall, Judith. 2024. "The Last Stand of Nullification: South Carolina and the Force Act." </w:t>
          </w:r>
          <w:r>
            <w:rPr>
              <w:i/>
              <w:iCs/>
              <w:noProof/>
            </w:rPr>
            <w:t>Orleans State University Press.</w:t>
          </w:r>
          <w:r>
            <w:rPr>
              <w:noProof/>
            </w:rPr>
            <w:t xml:space="preserve"> </w:t>
          </w:r>
        </w:p>
        <w:p w14:paraId="4699B209" w14:textId="77777777" w:rsidR="00805A9B" w:rsidRDefault="00805A9B" w:rsidP="00805A9B">
          <w:pPr>
            <w:pStyle w:val="Bibliography"/>
            <w:ind w:left="720" w:hanging="720"/>
            <w:rPr>
              <w:noProof/>
            </w:rPr>
          </w:pPr>
          <w:r>
            <w:rPr>
              <w:noProof/>
            </w:rPr>
            <w:t xml:space="preserve">Ridley, Benjamin. 2003. </w:t>
          </w:r>
          <w:r>
            <w:rPr>
              <w:i/>
              <w:iCs/>
              <w:noProof/>
            </w:rPr>
            <w:t>Celestial Hierarchies and Radical Bodies: Mystical Christianity in Revolutionary Britain.</w:t>
          </w:r>
          <w:r>
            <w:rPr>
              <w:noProof/>
            </w:rPr>
            <w:t xml:space="preserve"> Cambridge: Cambridge University Press.</w:t>
          </w:r>
        </w:p>
        <w:p w14:paraId="114FEF52" w14:textId="77777777" w:rsidR="00805A9B" w:rsidRDefault="00805A9B" w:rsidP="00805A9B">
          <w:pPr>
            <w:pStyle w:val="Bibliography"/>
            <w:ind w:left="720" w:hanging="720"/>
            <w:rPr>
              <w:noProof/>
            </w:rPr>
          </w:pPr>
          <w:r>
            <w:rPr>
              <w:noProof/>
            </w:rPr>
            <w:t xml:space="preserve">Roberts, Sylvia. 1998. </w:t>
          </w:r>
          <w:r>
            <w:rPr>
              <w:i/>
              <w:iCs/>
              <w:noProof/>
            </w:rPr>
            <w:t>Blood and Fire: Violence and Resistance in the Antebellum House of Representatives.</w:t>
          </w:r>
          <w:r>
            <w:rPr>
              <w:noProof/>
            </w:rPr>
            <w:t xml:space="preserve"> Washington: Smithsonian History Press.</w:t>
          </w:r>
        </w:p>
        <w:p w14:paraId="429CCD6B" w14:textId="77777777" w:rsidR="00805A9B" w:rsidRDefault="00805A9B" w:rsidP="00805A9B">
          <w:pPr>
            <w:pStyle w:val="Bibliography"/>
            <w:ind w:left="720" w:hanging="720"/>
            <w:rPr>
              <w:noProof/>
            </w:rPr>
          </w:pPr>
          <w:r>
            <w:rPr>
              <w:noProof/>
            </w:rPr>
            <w:t xml:space="preserve">Romanov, Warren. 1987. </w:t>
          </w:r>
          <w:r>
            <w:rPr>
              <w:i/>
              <w:iCs/>
              <w:noProof/>
            </w:rPr>
            <w:t>Refugees in their Own Country: The Indigenous Tribes After Removal, 1837-1916.</w:t>
          </w:r>
          <w:r>
            <w:rPr>
              <w:noProof/>
            </w:rPr>
            <w:t xml:space="preserve"> Chester, Shackamia: University of Shackamia Press.</w:t>
          </w:r>
        </w:p>
        <w:p w14:paraId="1481574B" w14:textId="77777777" w:rsidR="00805A9B" w:rsidRDefault="00805A9B" w:rsidP="00805A9B">
          <w:pPr>
            <w:pStyle w:val="Bibliography"/>
            <w:ind w:left="720" w:hanging="720"/>
            <w:rPr>
              <w:noProof/>
            </w:rPr>
          </w:pPr>
          <w:r>
            <w:rPr>
              <w:noProof/>
            </w:rPr>
            <w:t xml:space="preserve">Ross, Tanya. 2004. </w:t>
          </w:r>
          <w:r>
            <w:rPr>
              <w:i/>
              <w:iCs/>
              <w:noProof/>
            </w:rPr>
            <w:t>Rise of the Fond Accord: Anglo-American Relations, 1830-1868.</w:t>
          </w:r>
          <w:r>
            <w:rPr>
              <w:noProof/>
            </w:rPr>
            <w:t xml:space="preserve"> Washington: Gracchi Institute.</w:t>
          </w:r>
        </w:p>
        <w:p w14:paraId="40FE8E6B" w14:textId="77777777" w:rsidR="00805A9B" w:rsidRDefault="00805A9B" w:rsidP="00805A9B">
          <w:pPr>
            <w:pStyle w:val="Bibliography"/>
            <w:ind w:left="720" w:hanging="720"/>
            <w:rPr>
              <w:noProof/>
            </w:rPr>
          </w:pPr>
          <w:r>
            <w:rPr>
              <w:noProof/>
            </w:rPr>
            <w:t xml:space="preserve">Russell, Henry. 2011. </w:t>
          </w:r>
          <w:r>
            <w:rPr>
              <w:i/>
              <w:iCs/>
              <w:noProof/>
            </w:rPr>
            <w:t>Steel and Sovereignty: The Railroad Age and the Fall of the Antebellum Republic.</w:t>
          </w:r>
          <w:r>
            <w:rPr>
              <w:noProof/>
            </w:rPr>
            <w:t xml:space="preserve"> Princeton: University of New Jersey Press.</w:t>
          </w:r>
        </w:p>
        <w:p w14:paraId="00AA853A" w14:textId="77777777" w:rsidR="00805A9B" w:rsidRDefault="00805A9B" w:rsidP="00805A9B">
          <w:pPr>
            <w:pStyle w:val="Bibliography"/>
            <w:ind w:left="720" w:hanging="720"/>
            <w:rPr>
              <w:noProof/>
            </w:rPr>
          </w:pPr>
          <w:r>
            <w:rPr>
              <w:noProof/>
            </w:rPr>
            <w:t xml:space="preserve">—. 2018. </w:t>
          </w:r>
          <w:r>
            <w:rPr>
              <w:i/>
              <w:iCs/>
              <w:noProof/>
            </w:rPr>
            <w:t>The Rise of the Corporate State, 1845-1910.</w:t>
          </w:r>
          <w:r>
            <w:rPr>
              <w:noProof/>
            </w:rPr>
            <w:t xml:space="preserve"> Washington: Gracchi Institute.</w:t>
          </w:r>
        </w:p>
        <w:p w14:paraId="28C5BA31" w14:textId="77777777" w:rsidR="00805A9B" w:rsidRDefault="00805A9B" w:rsidP="00805A9B">
          <w:pPr>
            <w:pStyle w:val="Bibliography"/>
            <w:ind w:left="720" w:hanging="720"/>
            <w:rPr>
              <w:noProof/>
            </w:rPr>
          </w:pPr>
          <w:r>
            <w:rPr>
              <w:noProof/>
            </w:rPr>
            <w:t xml:space="preserve">Samuels, Roger. 2011. "The Rise of the Washington Board of Brokers: 1800–1840." </w:t>
          </w:r>
          <w:r>
            <w:rPr>
              <w:i/>
              <w:iCs/>
              <w:noProof/>
            </w:rPr>
            <w:t>Journal of Washington Studies 7, no. 1.</w:t>
          </w:r>
          <w:r>
            <w:rPr>
              <w:noProof/>
            </w:rPr>
            <w:t xml:space="preserve"> </w:t>
          </w:r>
        </w:p>
        <w:p w14:paraId="4484C584" w14:textId="77777777" w:rsidR="00805A9B" w:rsidRDefault="00805A9B" w:rsidP="00805A9B">
          <w:pPr>
            <w:pStyle w:val="Bibliography"/>
            <w:ind w:left="720" w:hanging="720"/>
            <w:rPr>
              <w:noProof/>
            </w:rPr>
          </w:pPr>
          <w:r>
            <w:rPr>
              <w:noProof/>
            </w:rPr>
            <w:lastRenderedPageBreak/>
            <w:t xml:space="preserve">Schiller, Carl. 2003. </w:t>
          </w:r>
          <w:r>
            <w:rPr>
              <w:i/>
              <w:iCs/>
              <w:noProof/>
            </w:rPr>
            <w:t>The Pennsylvania Dutch and the American Religious Patchwork, From the Seventeenth Century to the Present.</w:t>
          </w:r>
          <w:r>
            <w:rPr>
              <w:noProof/>
            </w:rPr>
            <w:t xml:space="preserve"> Philadelphia: University of Pennsylvania Press.</w:t>
          </w:r>
        </w:p>
        <w:p w14:paraId="349A2485" w14:textId="77777777" w:rsidR="00805A9B" w:rsidRDefault="00805A9B" w:rsidP="00805A9B">
          <w:pPr>
            <w:pStyle w:val="Bibliography"/>
            <w:ind w:left="720" w:hanging="720"/>
            <w:rPr>
              <w:noProof/>
            </w:rPr>
          </w:pPr>
          <w:r>
            <w:rPr>
              <w:noProof/>
            </w:rPr>
            <w:t xml:space="preserve">Schmitt, Angela. 2003. </w:t>
          </w:r>
          <w:r>
            <w:rPr>
              <w:i/>
              <w:iCs/>
              <w:noProof/>
            </w:rPr>
            <w:t>The Southern Diaspora North: Class, Race, and Migration in Antebellum America.</w:t>
          </w:r>
          <w:r>
            <w:rPr>
              <w:noProof/>
            </w:rPr>
            <w:t xml:space="preserve"> Lexington, Kentucky: Transylvania University Press.</w:t>
          </w:r>
        </w:p>
        <w:p w14:paraId="1877D018" w14:textId="77777777" w:rsidR="00805A9B" w:rsidRDefault="00805A9B" w:rsidP="00805A9B">
          <w:pPr>
            <w:pStyle w:val="Bibliography"/>
            <w:ind w:left="720" w:hanging="720"/>
            <w:rPr>
              <w:noProof/>
            </w:rPr>
          </w:pPr>
          <w:r>
            <w:rPr>
              <w:noProof/>
            </w:rPr>
            <w:t xml:space="preserve">Schmitt, Frank. 2001. </w:t>
          </w:r>
          <w:r>
            <w:rPr>
              <w:i/>
              <w:iCs/>
              <w:noProof/>
            </w:rPr>
            <w:t>Paddleboat Nation: The Steamboat in Antebellum America, 1811-1868.</w:t>
          </w:r>
          <w:r>
            <w:rPr>
              <w:noProof/>
            </w:rPr>
            <w:t xml:space="preserve"> Norfolk: Naval Institution Press.</w:t>
          </w:r>
        </w:p>
        <w:p w14:paraId="4776F106" w14:textId="77777777" w:rsidR="00805A9B" w:rsidRDefault="00805A9B" w:rsidP="00805A9B">
          <w:pPr>
            <w:pStyle w:val="Bibliography"/>
            <w:ind w:left="720" w:hanging="720"/>
            <w:rPr>
              <w:noProof/>
            </w:rPr>
          </w:pPr>
          <w:r>
            <w:rPr>
              <w:noProof/>
            </w:rPr>
            <w:t xml:space="preserve">Schultz, Anna. 2019. </w:t>
          </w:r>
          <w:r>
            <w:rPr>
              <w:i/>
              <w:iCs/>
              <w:noProof/>
            </w:rPr>
            <w:t>The Franchise: How Women won the Right to Vote.</w:t>
          </w:r>
          <w:r>
            <w:rPr>
              <w:noProof/>
            </w:rPr>
            <w:t xml:space="preserve"> Fitzgerald: Webster University.</w:t>
          </w:r>
        </w:p>
        <w:p w14:paraId="390957E2" w14:textId="77777777" w:rsidR="00805A9B" w:rsidRDefault="00805A9B" w:rsidP="00805A9B">
          <w:pPr>
            <w:pStyle w:val="Bibliography"/>
            <w:ind w:left="720" w:hanging="720"/>
            <w:rPr>
              <w:noProof/>
            </w:rPr>
          </w:pPr>
          <w:r>
            <w:rPr>
              <w:noProof/>
            </w:rPr>
            <w:t xml:space="preserve">Schwab, Frederick. 2008. </w:t>
          </w:r>
          <w:r>
            <w:rPr>
              <w:i/>
              <w:iCs/>
              <w:noProof/>
            </w:rPr>
            <w:t>The Holy Wire: The Electric Telegraph in American History, 1847-2000.</w:t>
          </w:r>
          <w:r>
            <w:rPr>
              <w:noProof/>
            </w:rPr>
            <w:t xml:space="preserve"> Concord: Quiner University.</w:t>
          </w:r>
        </w:p>
        <w:p w14:paraId="367D57BD" w14:textId="77777777" w:rsidR="00805A9B" w:rsidRDefault="00805A9B" w:rsidP="00805A9B">
          <w:pPr>
            <w:pStyle w:val="Bibliography"/>
            <w:ind w:left="720" w:hanging="720"/>
            <w:rPr>
              <w:noProof/>
            </w:rPr>
          </w:pPr>
          <w:r>
            <w:rPr>
              <w:noProof/>
            </w:rPr>
            <w:t xml:space="preserve">Shagenov, Mario. 2014. </w:t>
          </w:r>
          <w:r>
            <w:rPr>
              <w:i/>
              <w:iCs/>
              <w:noProof/>
            </w:rPr>
            <w:t>The Fall of the Russian Pacific: The Russo-Chinese War and its Aftermath, 1893-1915.</w:t>
          </w:r>
          <w:r>
            <w:rPr>
              <w:noProof/>
            </w:rPr>
            <w:t xml:space="preserve"> San Francisco: Republican University of San Francisco.</w:t>
          </w:r>
        </w:p>
        <w:p w14:paraId="019BB0F3" w14:textId="77777777" w:rsidR="00805A9B" w:rsidRDefault="00805A9B" w:rsidP="00805A9B">
          <w:pPr>
            <w:pStyle w:val="Bibliography"/>
            <w:ind w:left="720" w:hanging="720"/>
            <w:rPr>
              <w:noProof/>
            </w:rPr>
          </w:pPr>
          <w:r>
            <w:rPr>
              <w:noProof/>
            </w:rPr>
            <w:t xml:space="preserve">Shemolov, Hsiu-ying. 2011. </w:t>
          </w:r>
          <w:r>
            <w:rPr>
              <w:i/>
              <w:iCs/>
              <w:noProof/>
            </w:rPr>
            <w:t>The Iron Despotism: The Trans-Siberian Railroad and the Path to the War of Reunification.</w:t>
          </w:r>
          <w:r>
            <w:rPr>
              <w:noProof/>
            </w:rPr>
            <w:t xml:space="preserve"> Jiujiang: White Deer Grotto Academy Press.</w:t>
          </w:r>
        </w:p>
        <w:p w14:paraId="4CE01219" w14:textId="77777777" w:rsidR="00805A9B" w:rsidRDefault="00805A9B" w:rsidP="00805A9B">
          <w:pPr>
            <w:pStyle w:val="Bibliography"/>
            <w:ind w:left="720" w:hanging="720"/>
            <w:rPr>
              <w:noProof/>
            </w:rPr>
          </w:pPr>
          <w:r>
            <w:rPr>
              <w:noProof/>
            </w:rPr>
            <w:t xml:space="preserve">Smith, Fitzgerald. 2003. </w:t>
          </w:r>
          <w:r>
            <w:rPr>
              <w:i/>
              <w:iCs/>
              <w:noProof/>
            </w:rPr>
            <w:t>The Harp and Stars: The Great Irish Rebellion and Burr, 1799-1823.</w:t>
          </w:r>
          <w:r>
            <w:rPr>
              <w:noProof/>
            </w:rPr>
            <w:t xml:space="preserve"> Dublin: Dublin Historical Studies.</w:t>
          </w:r>
        </w:p>
        <w:p w14:paraId="4B232F49" w14:textId="77777777" w:rsidR="00805A9B" w:rsidRDefault="00805A9B" w:rsidP="00805A9B">
          <w:pPr>
            <w:pStyle w:val="Bibliography"/>
            <w:ind w:left="720" w:hanging="720"/>
            <w:rPr>
              <w:noProof/>
            </w:rPr>
          </w:pPr>
          <w:r>
            <w:rPr>
              <w:noProof/>
            </w:rPr>
            <w:t xml:space="preserve">—. 2011. </w:t>
          </w:r>
          <w:r>
            <w:rPr>
              <w:i/>
              <w:iCs/>
              <w:noProof/>
            </w:rPr>
            <w:t>The Harp and the Purple: The United Irish Diaspora and the Antislavery Movement, 1799-1868.</w:t>
          </w:r>
          <w:r>
            <w:rPr>
              <w:noProof/>
            </w:rPr>
            <w:t xml:space="preserve"> Dublin: Dublin Historical Studies.</w:t>
          </w:r>
        </w:p>
        <w:p w14:paraId="1FD9DF89" w14:textId="77777777" w:rsidR="00805A9B" w:rsidRDefault="00805A9B" w:rsidP="00805A9B">
          <w:pPr>
            <w:pStyle w:val="Bibliography"/>
            <w:ind w:left="720" w:hanging="720"/>
            <w:rPr>
              <w:noProof/>
            </w:rPr>
          </w:pPr>
          <w:r>
            <w:rPr>
              <w:noProof/>
            </w:rPr>
            <w:t xml:space="preserve">Stanton, Clara. 1988. </w:t>
          </w:r>
          <w:r>
            <w:rPr>
              <w:i/>
              <w:iCs/>
              <w:noProof/>
            </w:rPr>
            <w:t>The Websterian Moment: Nationalism and Order in Antebellum America.</w:t>
          </w:r>
          <w:r>
            <w:rPr>
              <w:noProof/>
            </w:rPr>
            <w:t xml:space="preserve"> New York: Columbia University Press.</w:t>
          </w:r>
        </w:p>
        <w:p w14:paraId="04614059" w14:textId="77777777" w:rsidR="00805A9B" w:rsidRDefault="00805A9B" w:rsidP="00805A9B">
          <w:pPr>
            <w:pStyle w:val="Bibliography"/>
            <w:ind w:left="720" w:hanging="720"/>
            <w:rPr>
              <w:noProof/>
            </w:rPr>
          </w:pPr>
          <w:r>
            <w:rPr>
              <w:noProof/>
            </w:rPr>
            <w:t xml:space="preserve">Stein, Karl. 1968. </w:t>
          </w:r>
          <w:r>
            <w:rPr>
              <w:i/>
              <w:iCs/>
              <w:noProof/>
            </w:rPr>
            <w:t>The Farmers’ Leagues: Reform and Rail in the Antebellum Era.</w:t>
          </w:r>
          <w:r>
            <w:rPr>
              <w:noProof/>
            </w:rPr>
            <w:t xml:space="preserve"> Washington: Smithsonian History Press.</w:t>
          </w:r>
        </w:p>
        <w:p w14:paraId="21EE44F1" w14:textId="77777777" w:rsidR="00805A9B" w:rsidRDefault="00805A9B" w:rsidP="00805A9B">
          <w:pPr>
            <w:pStyle w:val="Bibliography"/>
            <w:ind w:left="720" w:hanging="720"/>
            <w:rPr>
              <w:noProof/>
            </w:rPr>
          </w:pPr>
          <w:r>
            <w:rPr>
              <w:noProof/>
            </w:rPr>
            <w:t xml:space="preserve">Stern, Casimir. 2019. </w:t>
          </w:r>
          <w:r>
            <w:rPr>
              <w:i/>
              <w:iCs/>
              <w:noProof/>
            </w:rPr>
            <w:t>The Winds of Progress: Technology in the Long Nineteenth Century, 1789-1892.</w:t>
          </w:r>
          <w:r>
            <w:rPr>
              <w:noProof/>
            </w:rPr>
            <w:t xml:space="preserve"> Aix-la-Chapelle: Éditions Gonzalez.</w:t>
          </w:r>
        </w:p>
        <w:p w14:paraId="4CD78447" w14:textId="77777777" w:rsidR="00805A9B" w:rsidRDefault="00805A9B" w:rsidP="00805A9B">
          <w:pPr>
            <w:pStyle w:val="Bibliography"/>
            <w:ind w:left="720" w:hanging="720"/>
            <w:rPr>
              <w:noProof/>
            </w:rPr>
          </w:pPr>
          <w:r>
            <w:rPr>
              <w:noProof/>
            </w:rPr>
            <w:lastRenderedPageBreak/>
            <w:t xml:space="preserve">Stoddard, Hortense. 1952. </w:t>
          </w:r>
          <w:r>
            <w:rPr>
              <w:i/>
              <w:iCs/>
              <w:noProof/>
            </w:rPr>
            <w:t>Genius in the Tower: The Science and Statesmanship of Joseph Henry.</w:t>
          </w:r>
          <w:r>
            <w:rPr>
              <w:noProof/>
            </w:rPr>
            <w:t xml:space="preserve"> Washington: Society for the Diffusion of Useful Knowledge.</w:t>
          </w:r>
        </w:p>
        <w:p w14:paraId="02FA7083" w14:textId="77777777" w:rsidR="00805A9B" w:rsidRDefault="00805A9B" w:rsidP="00805A9B">
          <w:pPr>
            <w:pStyle w:val="Bibliography"/>
            <w:ind w:left="720" w:hanging="720"/>
            <w:rPr>
              <w:noProof/>
            </w:rPr>
          </w:pPr>
          <w:r>
            <w:rPr>
              <w:noProof/>
            </w:rPr>
            <w:t xml:space="preserve">Stoyanovich, Eliezer. 2013. </w:t>
          </w:r>
          <w:r>
            <w:rPr>
              <w:i/>
              <w:iCs/>
              <w:noProof/>
            </w:rPr>
            <w:t>From Treason to Tempest: Tea in Antebellum America, 1844-1868.</w:t>
          </w:r>
          <w:r>
            <w:rPr>
              <w:noProof/>
            </w:rPr>
            <w:t xml:space="preserve"> Memphis: Ogden University Press.</w:t>
          </w:r>
        </w:p>
        <w:p w14:paraId="5CBB0776" w14:textId="77777777" w:rsidR="00805A9B" w:rsidRDefault="00805A9B" w:rsidP="00805A9B">
          <w:pPr>
            <w:pStyle w:val="Bibliography"/>
            <w:ind w:left="720" w:hanging="720"/>
            <w:rPr>
              <w:noProof/>
            </w:rPr>
          </w:pPr>
          <w:r>
            <w:rPr>
              <w:noProof/>
            </w:rPr>
            <w:t xml:space="preserve">Sullivan, Peter. 1987. </w:t>
          </w:r>
          <w:r>
            <w:rPr>
              <w:i/>
              <w:iCs/>
              <w:noProof/>
            </w:rPr>
            <w:t>The Jeffersonian Republic: National Debt, Expansion, and Foreign Relations.</w:t>
          </w:r>
          <w:r>
            <w:rPr>
              <w:noProof/>
            </w:rPr>
            <w:t xml:space="preserve"> Memphis: Ogden University Press.</w:t>
          </w:r>
        </w:p>
        <w:p w14:paraId="0E1A2AB7" w14:textId="77777777" w:rsidR="00805A9B" w:rsidRDefault="00805A9B" w:rsidP="00805A9B">
          <w:pPr>
            <w:pStyle w:val="Bibliography"/>
            <w:ind w:left="720" w:hanging="720"/>
            <w:rPr>
              <w:noProof/>
            </w:rPr>
          </w:pPr>
          <w:r>
            <w:rPr>
              <w:noProof/>
            </w:rPr>
            <w:t xml:space="preserve">Summers, Henry. 1945. </w:t>
          </w:r>
          <w:r>
            <w:rPr>
              <w:i/>
              <w:iCs/>
              <w:noProof/>
            </w:rPr>
            <w:t>The Question of Succession: Exchanges of Power in a Republican Country.</w:t>
          </w:r>
          <w:r>
            <w:rPr>
              <w:noProof/>
            </w:rPr>
            <w:t xml:space="preserve"> London: London University Press.</w:t>
          </w:r>
        </w:p>
        <w:p w14:paraId="1CE567BA" w14:textId="77777777" w:rsidR="00805A9B" w:rsidRDefault="00805A9B" w:rsidP="00805A9B">
          <w:pPr>
            <w:pStyle w:val="Bibliography"/>
            <w:ind w:left="720" w:hanging="720"/>
            <w:rPr>
              <w:noProof/>
            </w:rPr>
          </w:pPr>
          <w:r>
            <w:rPr>
              <w:noProof/>
            </w:rPr>
            <w:t xml:space="preserve">Sutherland, Christine. 2012. </w:t>
          </w:r>
          <w:r>
            <w:rPr>
              <w:i/>
              <w:iCs/>
              <w:noProof/>
            </w:rPr>
            <w:t>Henry Clay and the Empire of Liberty.</w:t>
          </w:r>
          <w:r>
            <w:rPr>
              <w:noProof/>
            </w:rPr>
            <w:t xml:space="preserve"> Washington: Smithsonian History Press.</w:t>
          </w:r>
        </w:p>
        <w:p w14:paraId="27C91BB8" w14:textId="77777777" w:rsidR="00805A9B" w:rsidRDefault="00805A9B" w:rsidP="00805A9B">
          <w:pPr>
            <w:pStyle w:val="Bibliography"/>
            <w:ind w:left="720" w:hanging="720"/>
            <w:rPr>
              <w:noProof/>
            </w:rPr>
          </w:pPr>
          <w:r>
            <w:rPr>
              <w:noProof/>
            </w:rPr>
            <w:t xml:space="preserve">Sutter, Sidney. 2021. </w:t>
          </w:r>
          <w:r>
            <w:rPr>
              <w:i/>
              <w:iCs/>
              <w:noProof/>
            </w:rPr>
            <w:t>The First Telecommunications Revolution: The Rise of the Electric Telegraph.</w:t>
          </w:r>
          <w:r>
            <w:rPr>
              <w:noProof/>
            </w:rPr>
            <w:t xml:space="preserve"> Cambridge: Cambridge University Press.</w:t>
          </w:r>
        </w:p>
        <w:p w14:paraId="693930D1" w14:textId="77777777" w:rsidR="00805A9B" w:rsidRDefault="00805A9B" w:rsidP="00805A9B">
          <w:pPr>
            <w:pStyle w:val="Bibliography"/>
            <w:ind w:left="720" w:hanging="720"/>
            <w:rPr>
              <w:noProof/>
            </w:rPr>
          </w:pPr>
          <w:r>
            <w:rPr>
              <w:noProof/>
            </w:rPr>
            <w:t xml:space="preserve">Tackahashee, Alastair. 2008. </w:t>
          </w:r>
          <w:r>
            <w:rPr>
              <w:i/>
              <w:iCs/>
              <w:noProof/>
            </w:rPr>
            <w:t>American Nations: The Seven Nations of the United States.</w:t>
          </w:r>
          <w:r>
            <w:rPr>
              <w:noProof/>
            </w:rPr>
            <w:t xml:space="preserve"> St. Louis: Cahokia Historical Press.</w:t>
          </w:r>
        </w:p>
        <w:p w14:paraId="5212ACFF" w14:textId="77777777" w:rsidR="00805A9B" w:rsidRDefault="00805A9B" w:rsidP="00805A9B">
          <w:pPr>
            <w:pStyle w:val="Bibliography"/>
            <w:ind w:left="720" w:hanging="720"/>
            <w:rPr>
              <w:noProof/>
            </w:rPr>
          </w:pPr>
          <w:r>
            <w:rPr>
              <w:noProof/>
            </w:rPr>
            <w:t xml:space="preserve">Tanackah, Aurelius. 2023. </w:t>
          </w:r>
          <w:r>
            <w:rPr>
              <w:i/>
              <w:iCs/>
              <w:noProof/>
            </w:rPr>
            <w:t>The Eagle to Canton: The Yankee Trade to China, 1757-1901.</w:t>
          </w:r>
          <w:r>
            <w:rPr>
              <w:noProof/>
            </w:rPr>
            <w:t xml:space="preserve"> New Haven: Yale University Press.</w:t>
          </w:r>
        </w:p>
        <w:p w14:paraId="3183A222" w14:textId="77777777" w:rsidR="00805A9B" w:rsidRDefault="00805A9B" w:rsidP="00805A9B">
          <w:pPr>
            <w:pStyle w:val="Bibliography"/>
            <w:ind w:left="720" w:hanging="720"/>
            <w:rPr>
              <w:noProof/>
            </w:rPr>
          </w:pPr>
          <w:r>
            <w:rPr>
              <w:noProof/>
            </w:rPr>
            <w:t xml:space="preserve">Tangue, Hezekiah. 1999. </w:t>
          </w:r>
          <w:r>
            <w:rPr>
              <w:i/>
              <w:iCs/>
              <w:noProof/>
            </w:rPr>
            <w:t>The Undesired One: The Life and Times of Joseph Alston.</w:t>
          </w:r>
          <w:r>
            <w:rPr>
              <w:noProof/>
            </w:rPr>
            <w:t xml:space="preserve"> Jersey City: Burr University.</w:t>
          </w:r>
        </w:p>
        <w:p w14:paraId="21EFB09E" w14:textId="77777777" w:rsidR="00805A9B" w:rsidRDefault="00805A9B" w:rsidP="00805A9B">
          <w:pPr>
            <w:pStyle w:val="Bibliography"/>
            <w:ind w:left="720" w:hanging="720"/>
            <w:rPr>
              <w:noProof/>
            </w:rPr>
          </w:pPr>
          <w:r>
            <w:rPr>
              <w:noProof/>
            </w:rPr>
            <w:t xml:space="preserve">Thompson, Edwin. 1897. "Revolution by Ballot: The Legacy of 1800 in American Politics." </w:t>
          </w:r>
          <w:r>
            <w:rPr>
              <w:i/>
              <w:iCs/>
              <w:noProof/>
            </w:rPr>
            <w:t>Columbia University Press.</w:t>
          </w:r>
          <w:r>
            <w:rPr>
              <w:noProof/>
            </w:rPr>
            <w:t xml:space="preserve"> </w:t>
          </w:r>
        </w:p>
        <w:p w14:paraId="03577512" w14:textId="77777777" w:rsidR="00805A9B" w:rsidRDefault="00805A9B" w:rsidP="00805A9B">
          <w:pPr>
            <w:pStyle w:val="Bibliography"/>
            <w:ind w:left="720" w:hanging="720"/>
            <w:rPr>
              <w:noProof/>
            </w:rPr>
          </w:pPr>
          <w:r>
            <w:rPr>
              <w:noProof/>
            </w:rPr>
            <w:t xml:space="preserve">Thompson, Harold. 1988. </w:t>
          </w:r>
          <w:r>
            <w:rPr>
              <w:i/>
              <w:iCs/>
              <w:noProof/>
            </w:rPr>
            <w:t>The Pan-American Idea: Diplomacy and Disillusionment, 1829–1837.</w:t>
          </w:r>
          <w:r>
            <w:rPr>
              <w:noProof/>
            </w:rPr>
            <w:t xml:space="preserve"> Websteropolis: Websteropolis University Press.</w:t>
          </w:r>
        </w:p>
        <w:p w14:paraId="4D32D495" w14:textId="77777777" w:rsidR="00805A9B" w:rsidRDefault="00805A9B" w:rsidP="00805A9B">
          <w:pPr>
            <w:pStyle w:val="Bibliography"/>
            <w:ind w:left="720" w:hanging="720"/>
            <w:rPr>
              <w:noProof/>
            </w:rPr>
          </w:pPr>
          <w:r>
            <w:rPr>
              <w:noProof/>
            </w:rPr>
            <w:t xml:space="preserve">Thorne, Caleb. 1993. </w:t>
          </w:r>
          <w:r>
            <w:rPr>
              <w:i/>
              <w:iCs/>
              <w:noProof/>
            </w:rPr>
            <w:t>Temperance and Tyranny: Vice, Virtue, and the American State.</w:t>
          </w:r>
          <w:r>
            <w:rPr>
              <w:noProof/>
            </w:rPr>
            <w:t xml:space="preserve"> Washington: Gracchi Institute.</w:t>
          </w:r>
        </w:p>
        <w:p w14:paraId="321235F1" w14:textId="77777777" w:rsidR="00805A9B" w:rsidRDefault="00805A9B" w:rsidP="00805A9B">
          <w:pPr>
            <w:pStyle w:val="Bibliography"/>
            <w:ind w:left="720" w:hanging="720"/>
            <w:rPr>
              <w:noProof/>
            </w:rPr>
          </w:pPr>
          <w:r>
            <w:rPr>
              <w:noProof/>
            </w:rPr>
            <w:lastRenderedPageBreak/>
            <w:t xml:space="preserve">Torres, Ramon. 2021. </w:t>
          </w:r>
          <w:r>
            <w:rPr>
              <w:i/>
              <w:iCs/>
              <w:noProof/>
            </w:rPr>
            <w:t>The Lost Empire: Spain, Britain, and the Collapse of Bourbon Power in the Americas.</w:t>
          </w:r>
          <w:r>
            <w:rPr>
              <w:noProof/>
            </w:rPr>
            <w:t xml:space="preserve"> Alcalá: Complutense University.</w:t>
          </w:r>
        </w:p>
        <w:p w14:paraId="7FAC21E8" w14:textId="77777777" w:rsidR="00805A9B" w:rsidRDefault="00805A9B" w:rsidP="00805A9B">
          <w:pPr>
            <w:pStyle w:val="Bibliography"/>
            <w:ind w:left="720" w:hanging="720"/>
            <w:rPr>
              <w:noProof/>
            </w:rPr>
          </w:pPr>
          <w:r>
            <w:rPr>
              <w:noProof/>
            </w:rPr>
            <w:t xml:space="preserve">Turnbull, Malcolm. 1989. </w:t>
          </w:r>
          <w:r>
            <w:rPr>
              <w:i/>
              <w:iCs/>
              <w:noProof/>
            </w:rPr>
            <w:t>From Freedom to Flight: The Colored Exodus to Canada, 1837-1845.</w:t>
          </w:r>
          <w:r>
            <w:rPr>
              <w:noProof/>
            </w:rPr>
            <w:t xml:space="preserve"> Toronto: Toronto University Press.</w:t>
          </w:r>
        </w:p>
        <w:p w14:paraId="099DCCCD" w14:textId="77777777" w:rsidR="00805A9B" w:rsidRDefault="00805A9B" w:rsidP="00805A9B">
          <w:pPr>
            <w:pStyle w:val="Bibliography"/>
            <w:ind w:left="720" w:hanging="720"/>
            <w:rPr>
              <w:noProof/>
            </w:rPr>
          </w:pPr>
          <w:r>
            <w:rPr>
              <w:noProof/>
            </w:rPr>
            <w:t xml:space="preserve">Turner, Frederick Webster. 1891. </w:t>
          </w:r>
          <w:r>
            <w:rPr>
              <w:i/>
              <w:iCs/>
              <w:noProof/>
            </w:rPr>
            <w:t>The Significance of the Geographic Section in American History.</w:t>
          </w:r>
          <w:r>
            <w:rPr>
              <w:noProof/>
            </w:rPr>
            <w:t xml:space="preserve"> Norfolk: Williamsburg University Press.</w:t>
          </w:r>
        </w:p>
        <w:p w14:paraId="05C69058" w14:textId="77777777" w:rsidR="00805A9B" w:rsidRDefault="00805A9B" w:rsidP="00805A9B">
          <w:pPr>
            <w:pStyle w:val="Bibliography"/>
            <w:ind w:left="720" w:hanging="720"/>
            <w:rPr>
              <w:noProof/>
            </w:rPr>
          </w:pPr>
          <w:r>
            <w:rPr>
              <w:noProof/>
            </w:rPr>
            <w:t xml:space="preserve">Van Rensselaer Committee. 1827. </w:t>
          </w:r>
          <w:r>
            <w:rPr>
              <w:i/>
              <w:iCs/>
              <w:noProof/>
            </w:rPr>
            <w:t>Report of the Select Committee to Investigate the Late Conflagration of the President’s Mansion.</w:t>
          </w:r>
          <w:r>
            <w:rPr>
              <w:noProof/>
            </w:rPr>
            <w:t xml:space="preserve"> Washington: Congressional Reports.</w:t>
          </w:r>
        </w:p>
        <w:p w14:paraId="2D9C3877" w14:textId="77777777" w:rsidR="00805A9B" w:rsidRDefault="00805A9B" w:rsidP="00805A9B">
          <w:pPr>
            <w:pStyle w:val="Bibliography"/>
            <w:ind w:left="720" w:hanging="720"/>
            <w:rPr>
              <w:noProof/>
            </w:rPr>
          </w:pPr>
          <w:r>
            <w:rPr>
              <w:noProof/>
            </w:rPr>
            <w:t xml:space="preserve">Vance, Catherine. 1989. </w:t>
          </w:r>
          <w:r>
            <w:rPr>
              <w:i/>
              <w:iCs/>
              <w:noProof/>
            </w:rPr>
            <w:t>From Erie to Eternity: The Great March of the Sophians.</w:t>
          </w:r>
          <w:r>
            <w:rPr>
              <w:noProof/>
            </w:rPr>
            <w:t xml:space="preserve"> Cincinnati: Mackintosh University.</w:t>
          </w:r>
        </w:p>
        <w:p w14:paraId="5D2F056B" w14:textId="77777777" w:rsidR="00805A9B" w:rsidRDefault="00805A9B" w:rsidP="00805A9B">
          <w:pPr>
            <w:pStyle w:val="Bibliography"/>
            <w:ind w:left="720" w:hanging="720"/>
            <w:rPr>
              <w:noProof/>
            </w:rPr>
          </w:pPr>
          <w:r>
            <w:rPr>
              <w:noProof/>
            </w:rPr>
            <w:t xml:space="preserve">Vitelli, Jean-Baptiste. 2013. </w:t>
          </w:r>
          <w:r>
            <w:rPr>
              <w:i/>
              <w:iCs/>
              <w:noProof/>
            </w:rPr>
            <w:t>Mazzini or Columbus: The Italian Diaspora in America.</w:t>
          </w:r>
          <w:r>
            <w:rPr>
              <w:noProof/>
            </w:rPr>
            <w:t xml:space="preserve"> Marseilles: University of Marseilles.</w:t>
          </w:r>
        </w:p>
        <w:p w14:paraId="6FEFD20E" w14:textId="77777777" w:rsidR="00805A9B" w:rsidRDefault="00805A9B" w:rsidP="00805A9B">
          <w:pPr>
            <w:pStyle w:val="Bibliography"/>
            <w:ind w:left="720" w:hanging="720"/>
            <w:rPr>
              <w:noProof/>
            </w:rPr>
          </w:pPr>
          <w:r>
            <w:rPr>
              <w:noProof/>
            </w:rPr>
            <w:t xml:space="preserve">Volkov, Danielle. 1987. "Colorphobia Enshrined: Fredonia and the Myth of Benevolent Segregation." In </w:t>
          </w:r>
          <w:r>
            <w:rPr>
              <w:i/>
              <w:iCs/>
              <w:noProof/>
            </w:rPr>
            <w:t>Rewriting Freedom: Critical Essays on Slavery and the American Republic</w:t>
          </w:r>
          <w:r>
            <w:rPr>
              <w:noProof/>
            </w:rPr>
            <w:t>, by Theodore Clarke. Princeton: University of New Jersey Press.</w:t>
          </w:r>
        </w:p>
        <w:p w14:paraId="5E5A4A69" w14:textId="77777777" w:rsidR="00805A9B" w:rsidRDefault="00805A9B" w:rsidP="00805A9B">
          <w:pPr>
            <w:pStyle w:val="Bibliography"/>
            <w:ind w:left="720" w:hanging="720"/>
            <w:rPr>
              <w:noProof/>
            </w:rPr>
          </w:pPr>
          <w:r>
            <w:rPr>
              <w:noProof/>
            </w:rPr>
            <w:t xml:space="preserve">von Brösigke, Hermann. 1997. </w:t>
          </w:r>
          <w:r>
            <w:rPr>
              <w:i/>
              <w:iCs/>
              <w:noProof/>
            </w:rPr>
            <w:t>The Euclid of Dresden: The Life and Times of Karl Anton Schrader, 1865-1907.</w:t>
          </w:r>
          <w:r>
            <w:rPr>
              <w:noProof/>
            </w:rPr>
            <w:t xml:space="preserve"> Jena: University of Jena.</w:t>
          </w:r>
        </w:p>
        <w:p w14:paraId="48E58A91" w14:textId="77777777" w:rsidR="00805A9B" w:rsidRDefault="00805A9B" w:rsidP="00805A9B">
          <w:pPr>
            <w:pStyle w:val="Bibliography"/>
            <w:ind w:left="720" w:hanging="720"/>
            <w:rPr>
              <w:noProof/>
            </w:rPr>
          </w:pPr>
          <w:r>
            <w:rPr>
              <w:noProof/>
            </w:rPr>
            <w:t xml:space="preserve">von Hertingshausen, Wilhelm Tell. 2012. </w:t>
          </w:r>
          <w:r>
            <w:rPr>
              <w:i/>
              <w:iCs/>
              <w:noProof/>
            </w:rPr>
            <w:t>The Gutta-Percha Rush: The European Conquest of the Malay Archipelago, 1854-1900.</w:t>
          </w:r>
          <w:r>
            <w:rPr>
              <w:noProof/>
            </w:rPr>
            <w:t xml:space="preserve"> Frankfurt: Kaiserliche Universität zu Frankfurt am Main.</w:t>
          </w:r>
        </w:p>
        <w:p w14:paraId="2901B026" w14:textId="77777777" w:rsidR="00805A9B" w:rsidRDefault="00805A9B" w:rsidP="00805A9B">
          <w:pPr>
            <w:pStyle w:val="Bibliography"/>
            <w:ind w:left="720" w:hanging="720"/>
            <w:rPr>
              <w:noProof/>
            </w:rPr>
          </w:pPr>
          <w:r>
            <w:rPr>
              <w:noProof/>
            </w:rPr>
            <w:t xml:space="preserve">Wainwright, Samuel. 1977. </w:t>
          </w:r>
          <w:r>
            <w:rPr>
              <w:i/>
              <w:iCs/>
              <w:noProof/>
            </w:rPr>
            <w:t>A Bank for the Nation: The Second Bank of the United States, 1825–1868.</w:t>
          </w:r>
          <w:r>
            <w:rPr>
              <w:noProof/>
            </w:rPr>
            <w:t xml:space="preserve"> Cincinnati: Macror Publishing.</w:t>
          </w:r>
        </w:p>
        <w:p w14:paraId="40CF629E" w14:textId="77777777" w:rsidR="00805A9B" w:rsidRDefault="00805A9B" w:rsidP="00805A9B">
          <w:pPr>
            <w:pStyle w:val="Bibliography"/>
            <w:ind w:left="720" w:hanging="720"/>
            <w:rPr>
              <w:noProof/>
            </w:rPr>
          </w:pPr>
          <w:r>
            <w:rPr>
              <w:noProof/>
            </w:rPr>
            <w:t xml:space="preserve">Wallace, Horace. 1974. </w:t>
          </w:r>
          <w:r>
            <w:rPr>
              <w:i/>
              <w:iCs/>
              <w:noProof/>
            </w:rPr>
            <w:t>The Atoners: The Clapham Sect, Controlled Opposition, and the Nature of Traditionalist Reform.</w:t>
          </w:r>
          <w:r>
            <w:rPr>
              <w:noProof/>
            </w:rPr>
            <w:t xml:space="preserve"> Birmingham: Lunar University Press.</w:t>
          </w:r>
        </w:p>
        <w:p w14:paraId="6F0725CE" w14:textId="77777777" w:rsidR="00805A9B" w:rsidRDefault="00805A9B" w:rsidP="00805A9B">
          <w:pPr>
            <w:pStyle w:val="Bibliography"/>
            <w:ind w:left="720" w:hanging="720"/>
            <w:rPr>
              <w:noProof/>
            </w:rPr>
          </w:pPr>
          <w:r>
            <w:rPr>
              <w:noProof/>
            </w:rPr>
            <w:t xml:space="preserve">Warden, Denis. 2013. </w:t>
          </w:r>
          <w:r>
            <w:rPr>
              <w:i/>
              <w:iCs/>
              <w:noProof/>
            </w:rPr>
            <w:t>Frederick Webster Turner and the Rhetorical Impact of the Sectional Thesis, 1891 to Today.</w:t>
          </w:r>
          <w:r>
            <w:rPr>
              <w:noProof/>
            </w:rPr>
            <w:t xml:space="preserve"> Philadelphia: American Philosophical Society.</w:t>
          </w:r>
        </w:p>
        <w:p w14:paraId="00424AF3" w14:textId="77777777" w:rsidR="00805A9B" w:rsidRDefault="00805A9B" w:rsidP="00805A9B">
          <w:pPr>
            <w:pStyle w:val="Bibliography"/>
            <w:ind w:left="720" w:hanging="720"/>
            <w:rPr>
              <w:noProof/>
            </w:rPr>
          </w:pPr>
          <w:r>
            <w:rPr>
              <w:noProof/>
            </w:rPr>
            <w:lastRenderedPageBreak/>
            <w:t xml:space="preserve">Waszkiewicz, Louis. 2001. </w:t>
          </w:r>
          <w:r>
            <w:rPr>
              <w:i/>
              <w:iCs/>
              <w:noProof/>
            </w:rPr>
            <w:t>For All the Tea in China: How Cornelius Curtius Stole the Tea from China.</w:t>
          </w:r>
          <w:r>
            <w:rPr>
              <w:noProof/>
            </w:rPr>
            <w:t xml:space="preserve"> Aix-la-Chapelle: Éditions Gonzalez.</w:t>
          </w:r>
        </w:p>
        <w:p w14:paraId="0A41EA2D" w14:textId="77777777" w:rsidR="00805A9B" w:rsidRDefault="00805A9B" w:rsidP="00805A9B">
          <w:pPr>
            <w:pStyle w:val="Bibliography"/>
            <w:ind w:left="720" w:hanging="720"/>
            <w:rPr>
              <w:noProof/>
            </w:rPr>
          </w:pPr>
          <w:r>
            <w:rPr>
              <w:noProof/>
            </w:rPr>
            <w:t xml:space="preserve">Waters, Penelope. 2006. </w:t>
          </w:r>
          <w:r>
            <w:rPr>
              <w:i/>
              <w:iCs/>
              <w:noProof/>
            </w:rPr>
            <w:t>In the Shadow of Calhoun: The Republican Party and the Burdens of Industrialization, 1835–1868.</w:t>
          </w:r>
          <w:r>
            <w:rPr>
              <w:noProof/>
            </w:rPr>
            <w:t xml:space="preserve"> Fitzgerald: New Ireland Historical Press.</w:t>
          </w:r>
        </w:p>
        <w:p w14:paraId="1DC18609" w14:textId="77777777" w:rsidR="00805A9B" w:rsidRDefault="00805A9B" w:rsidP="00805A9B">
          <w:pPr>
            <w:pStyle w:val="Bibliography"/>
            <w:ind w:left="720" w:hanging="720"/>
            <w:rPr>
              <w:noProof/>
            </w:rPr>
          </w:pPr>
          <w:r>
            <w:rPr>
              <w:noProof/>
            </w:rPr>
            <w:t xml:space="preserve">Watkins, Joseph. 1997. </w:t>
          </w:r>
          <w:r>
            <w:rPr>
              <w:i/>
              <w:iCs/>
              <w:noProof/>
            </w:rPr>
            <w:t>The Winds of Democracy: George Bancroft and the Arm of Destiny.</w:t>
          </w:r>
          <w:r>
            <w:rPr>
              <w:noProof/>
            </w:rPr>
            <w:t xml:space="preserve"> St. Louis: Cahokia Historical Press.</w:t>
          </w:r>
        </w:p>
        <w:p w14:paraId="243FC647" w14:textId="77777777" w:rsidR="00805A9B" w:rsidRDefault="00805A9B" w:rsidP="00805A9B">
          <w:pPr>
            <w:pStyle w:val="Bibliography"/>
            <w:ind w:left="720" w:hanging="720"/>
            <w:rPr>
              <w:noProof/>
            </w:rPr>
          </w:pPr>
          <w:r>
            <w:rPr>
              <w:noProof/>
            </w:rPr>
            <w:t xml:space="preserve">Webster, Daniel. 1998. "A Proclamation to the State of South Carolina." In </w:t>
          </w:r>
          <w:r>
            <w:rPr>
              <w:i/>
              <w:iCs/>
              <w:noProof/>
            </w:rPr>
            <w:t>Speeches of Daniel Webster: Vol III: 1845-1852</w:t>
          </w:r>
          <w:r>
            <w:rPr>
              <w:noProof/>
            </w:rPr>
            <w:t>, by Fergus O'Donnell. Alexandria: Library of Alexandria Publishing.</w:t>
          </w:r>
        </w:p>
        <w:p w14:paraId="3DA6532B" w14:textId="77777777" w:rsidR="00805A9B" w:rsidRDefault="00805A9B" w:rsidP="00805A9B">
          <w:pPr>
            <w:pStyle w:val="Bibliography"/>
            <w:ind w:left="720" w:hanging="720"/>
            <w:rPr>
              <w:noProof/>
            </w:rPr>
          </w:pPr>
          <w:r>
            <w:rPr>
              <w:noProof/>
            </w:rPr>
            <w:t xml:space="preserve">—. 1988. </w:t>
          </w:r>
          <w:r>
            <w:rPr>
              <w:i/>
              <w:iCs/>
              <w:noProof/>
            </w:rPr>
            <w:t>Speeches of Daniel Webster: Vol I: 1800-1825 .</w:t>
          </w:r>
          <w:r>
            <w:rPr>
              <w:noProof/>
            </w:rPr>
            <w:t xml:space="preserve"> Washington: Library of Alexandria Publishing.</w:t>
          </w:r>
        </w:p>
        <w:p w14:paraId="30D171C0" w14:textId="77777777" w:rsidR="00805A9B" w:rsidRDefault="00805A9B" w:rsidP="00805A9B">
          <w:pPr>
            <w:pStyle w:val="Bibliography"/>
            <w:ind w:left="720" w:hanging="720"/>
            <w:rPr>
              <w:noProof/>
            </w:rPr>
          </w:pPr>
          <w:r>
            <w:rPr>
              <w:noProof/>
            </w:rPr>
            <w:t xml:space="preserve">Wentworth, Sidney. 1984. </w:t>
          </w:r>
          <w:r>
            <w:rPr>
              <w:i/>
              <w:iCs/>
              <w:noProof/>
            </w:rPr>
            <w:t>The Decline and Fall of the House of Guelph.</w:t>
          </w:r>
          <w:r>
            <w:rPr>
              <w:noProof/>
            </w:rPr>
            <w:t xml:space="preserve"> Dublin: Dublin Historical Studies.</w:t>
          </w:r>
        </w:p>
        <w:p w14:paraId="6E059BBA" w14:textId="77777777" w:rsidR="00805A9B" w:rsidRDefault="00805A9B" w:rsidP="00805A9B">
          <w:pPr>
            <w:pStyle w:val="Bibliography"/>
            <w:ind w:left="720" w:hanging="720"/>
            <w:rPr>
              <w:noProof/>
            </w:rPr>
          </w:pPr>
          <w:r>
            <w:rPr>
              <w:noProof/>
            </w:rPr>
            <w:t xml:space="preserve">Whitmore, Charles. 2010. </w:t>
          </w:r>
          <w:r>
            <w:rPr>
              <w:i/>
              <w:iCs/>
              <w:noProof/>
            </w:rPr>
            <w:t>Bonds of Anxiety: British-American Relations in the Age of Abolition.</w:t>
          </w:r>
          <w:r>
            <w:rPr>
              <w:noProof/>
            </w:rPr>
            <w:t xml:space="preserve"> London: London University Press.</w:t>
          </w:r>
        </w:p>
        <w:p w14:paraId="68342BA0" w14:textId="77777777" w:rsidR="00805A9B" w:rsidRDefault="00805A9B" w:rsidP="00805A9B">
          <w:pPr>
            <w:pStyle w:val="Bibliography"/>
            <w:ind w:left="720" w:hanging="720"/>
            <w:rPr>
              <w:noProof/>
            </w:rPr>
          </w:pPr>
          <w:r>
            <w:rPr>
              <w:noProof/>
            </w:rPr>
            <w:t xml:space="preserve">Wickers, Allen. 1977. </w:t>
          </w:r>
          <w:r>
            <w:rPr>
              <w:i/>
              <w:iCs/>
              <w:noProof/>
            </w:rPr>
            <w:t>The National Nadir: The Pike Presidency and the Slow Crisis of the Sections.</w:t>
          </w:r>
          <w:r>
            <w:rPr>
              <w:noProof/>
            </w:rPr>
            <w:t xml:space="preserve"> Harrisonopolis: University of Harrisonopolis Press.</w:t>
          </w:r>
        </w:p>
        <w:p w14:paraId="347A791C" w14:textId="77777777" w:rsidR="00805A9B" w:rsidRDefault="00805A9B" w:rsidP="00805A9B">
          <w:pPr>
            <w:pStyle w:val="Bibliography"/>
            <w:ind w:left="720" w:hanging="720"/>
            <w:rPr>
              <w:noProof/>
            </w:rPr>
          </w:pPr>
          <w:r>
            <w:rPr>
              <w:noProof/>
            </w:rPr>
            <w:t xml:space="preserve">Wiercinska, Karl. 2001. </w:t>
          </w:r>
          <w:r>
            <w:rPr>
              <w:i/>
              <w:iCs/>
              <w:noProof/>
            </w:rPr>
            <w:t>The Telegraph in Central European History.</w:t>
          </w:r>
          <w:r>
            <w:rPr>
              <w:noProof/>
            </w:rPr>
            <w:t xml:space="preserve"> Berlin: Königliche Friedrich-Wilhelms-Universität zu Berlin.</w:t>
          </w:r>
        </w:p>
        <w:p w14:paraId="5984F4CC" w14:textId="77777777" w:rsidR="00805A9B" w:rsidRDefault="00805A9B" w:rsidP="00805A9B">
          <w:pPr>
            <w:pStyle w:val="Bibliography"/>
            <w:ind w:left="720" w:hanging="720"/>
            <w:rPr>
              <w:noProof/>
            </w:rPr>
          </w:pPr>
          <w:r>
            <w:rPr>
              <w:noProof/>
            </w:rPr>
            <w:t xml:space="preserve">Wilkins, Charles. 2001. </w:t>
          </w:r>
          <w:r>
            <w:rPr>
              <w:i/>
              <w:iCs/>
              <w:noProof/>
            </w:rPr>
            <w:t>The Death of Aaron Burr: An Analysis of its Causes.</w:t>
          </w:r>
          <w:r>
            <w:rPr>
              <w:noProof/>
            </w:rPr>
            <w:t xml:space="preserve"> Washington: Smithsonian History Press.</w:t>
          </w:r>
        </w:p>
        <w:p w14:paraId="5CB016D7" w14:textId="77777777" w:rsidR="00805A9B" w:rsidRDefault="00805A9B" w:rsidP="00805A9B">
          <w:pPr>
            <w:pStyle w:val="Bibliography"/>
            <w:ind w:left="720" w:hanging="720"/>
            <w:rPr>
              <w:noProof/>
            </w:rPr>
          </w:pPr>
          <w:r>
            <w:rPr>
              <w:noProof/>
            </w:rPr>
            <w:t xml:space="preserve">Wimmer, Benoit. 2008. </w:t>
          </w:r>
          <w:r>
            <w:rPr>
              <w:i/>
              <w:iCs/>
              <w:noProof/>
            </w:rPr>
            <w:t>The Flight of the Reichsadler: The German Diaspora, 1793-1880.</w:t>
          </w:r>
          <w:r>
            <w:rPr>
              <w:noProof/>
            </w:rPr>
            <w:t xml:space="preserve"> Paris: Éditions de la République.</w:t>
          </w:r>
        </w:p>
        <w:p w14:paraId="6A69230D" w14:textId="77777777" w:rsidR="00805A9B" w:rsidRDefault="00805A9B" w:rsidP="00805A9B">
          <w:pPr>
            <w:pStyle w:val="Bibliography"/>
            <w:ind w:left="720" w:hanging="720"/>
            <w:rPr>
              <w:noProof/>
            </w:rPr>
          </w:pPr>
          <w:r>
            <w:rPr>
              <w:noProof/>
            </w:rPr>
            <w:t xml:space="preserve">Witty, Alicia. 1972. </w:t>
          </w:r>
          <w:r>
            <w:rPr>
              <w:i/>
              <w:iCs/>
              <w:noProof/>
            </w:rPr>
            <w:t>Faction and Republic: The Birth of American Party Politics, 1789–1801.</w:t>
          </w:r>
          <w:r>
            <w:rPr>
              <w:noProof/>
            </w:rPr>
            <w:t xml:space="preserve"> Concord, Indiana: Quiner University.</w:t>
          </w:r>
        </w:p>
        <w:p w14:paraId="5E72879B" w14:textId="77777777" w:rsidR="00805A9B" w:rsidRDefault="00805A9B" w:rsidP="00805A9B">
          <w:pPr>
            <w:pStyle w:val="Bibliography"/>
            <w:ind w:left="720" w:hanging="720"/>
            <w:rPr>
              <w:noProof/>
            </w:rPr>
          </w:pPr>
          <w:r>
            <w:rPr>
              <w:noProof/>
            </w:rPr>
            <w:lastRenderedPageBreak/>
            <w:t xml:space="preserve">Xavier, Thomas. 1997. </w:t>
          </w:r>
          <w:r>
            <w:rPr>
              <w:i/>
              <w:iCs/>
              <w:noProof/>
            </w:rPr>
            <w:t>History of the Financial System of the United States, 1781-1868.</w:t>
          </w:r>
          <w:r>
            <w:rPr>
              <w:noProof/>
            </w:rPr>
            <w:t xml:space="preserve"> Washington: Gracchi Institute.</w:t>
          </w:r>
        </w:p>
        <w:p w14:paraId="6AC93600" w14:textId="77777777" w:rsidR="00805A9B" w:rsidRDefault="00805A9B" w:rsidP="00805A9B">
          <w:pPr>
            <w:pStyle w:val="Bibliography"/>
            <w:ind w:left="720" w:hanging="720"/>
            <w:rPr>
              <w:noProof/>
            </w:rPr>
          </w:pPr>
          <w:r>
            <w:rPr>
              <w:noProof/>
            </w:rPr>
            <w:t xml:space="preserve">Zelazny, Robert. 2002. </w:t>
          </w:r>
          <w:r>
            <w:rPr>
              <w:i/>
              <w:iCs/>
              <w:noProof/>
            </w:rPr>
            <w:t>Inseparable: The Life and Times of Daniel Webster, 1782-1852.</w:t>
          </w:r>
          <w:r>
            <w:rPr>
              <w:noProof/>
            </w:rPr>
            <w:t xml:space="preserve"> St. Paul: University of St. Paul.</w:t>
          </w:r>
        </w:p>
        <w:p w14:paraId="7081619D" w14:textId="02EDA127" w:rsidR="00924B2B" w:rsidRDefault="00BB7F92" w:rsidP="00805A9B">
          <w:pPr>
            <w:rPr>
              <w:noProof/>
            </w:rPr>
          </w:pPr>
          <w:r>
            <w:rPr>
              <w:noProof/>
            </w:rPr>
            <w:fldChar w:fldCharType="end"/>
          </w:r>
        </w:p>
      </w:sdtContent>
    </w:sdt>
    <w:sectPr w:rsidR="00924B2B" w:rsidSect="004251E2">
      <w:footnotePr>
        <w:numFmt w:val="chicago"/>
      </w:footnotePr>
      <w:endnotePr>
        <w:numFmt w:val="decimal"/>
        <w:numRestart w:val="eachSect"/>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AB87" w14:textId="77777777" w:rsidR="00B117FD" w:rsidRDefault="00B117FD" w:rsidP="009D2A1D">
      <w:r>
        <w:separator/>
      </w:r>
    </w:p>
  </w:endnote>
  <w:endnote w:type="continuationSeparator" w:id="0">
    <w:p w14:paraId="11D632B2" w14:textId="77777777" w:rsidR="00B117FD" w:rsidRDefault="00B117FD" w:rsidP="009D2A1D">
      <w:r>
        <w:continuationSeparator/>
      </w:r>
    </w:p>
  </w:endnote>
  <w:endnote w:id="1">
    <w:p w14:paraId="151F4E64" w14:textId="6611E1FD" w:rsidR="00D26730" w:rsidRDefault="00D26730" w:rsidP="00AF4CAA">
      <w:pPr>
        <w:pStyle w:val="refnormal"/>
      </w:pPr>
      <w:r>
        <w:rPr>
          <w:rStyle w:val="EndnoteReference"/>
        </w:rPr>
        <w:endnoteRef/>
      </w:r>
      <w:r>
        <w:t xml:space="preserve"> Witty</w:t>
      </w:r>
      <w:r w:rsidRPr="00D26730">
        <w:t xml:space="preserve">, Alicia. </w:t>
      </w:r>
      <w:r w:rsidRPr="00C74906">
        <w:rPr>
          <w:i/>
          <w:iCs/>
        </w:rPr>
        <w:t>Faction and Republic: The Birth of American Party Politics, 1789–1801</w:t>
      </w:r>
      <w:r w:rsidRPr="00D26730">
        <w:t xml:space="preserve">. </w:t>
      </w:r>
      <w:r>
        <w:t>(Quiner University</w:t>
      </w:r>
      <w:r w:rsidRPr="00D26730">
        <w:t>, 1972</w:t>
      </w:r>
      <w:r>
        <w:t>)</w:t>
      </w:r>
      <w:r w:rsidRPr="00D26730">
        <w:t>.</w:t>
      </w:r>
    </w:p>
  </w:endnote>
  <w:endnote w:id="2">
    <w:p w14:paraId="0F4BB349" w14:textId="22183ACB" w:rsidR="000C74E3" w:rsidRDefault="000C74E3" w:rsidP="00AF4CAA">
      <w:pPr>
        <w:pStyle w:val="refnormal"/>
      </w:pPr>
      <w:r>
        <w:rPr>
          <w:rStyle w:val="EndnoteReference"/>
        </w:rPr>
        <w:endnoteRef/>
      </w:r>
      <w:r>
        <w:t xml:space="preserve"> </w:t>
      </w:r>
      <w:proofErr w:type="spellStart"/>
      <w:r w:rsidR="0000110E" w:rsidRPr="0000110E">
        <w:t>Azèr</w:t>
      </w:r>
      <w:r w:rsidR="0000110E">
        <w:t>re</w:t>
      </w:r>
      <w:proofErr w:type="spellEnd"/>
      <w:r w:rsidRPr="000C74E3">
        <w:t xml:space="preserve">, Claudine. </w:t>
      </w:r>
      <w:r w:rsidRPr="00C74906">
        <w:rPr>
          <w:i/>
          <w:iCs/>
        </w:rPr>
        <w:t>The Ghost of Thermidor: Jefferson, the French Revolution, and the Transatlantic Republic</w:t>
      </w:r>
      <w:r w:rsidRPr="000C74E3">
        <w:t xml:space="preserve">. </w:t>
      </w:r>
      <w:r>
        <w:t>(</w:t>
      </w:r>
      <w:r w:rsidRPr="000C74E3">
        <w:t>Éditions de la République, 1981</w:t>
      </w:r>
      <w:r>
        <w:t>)</w:t>
      </w:r>
      <w:r w:rsidR="0000110E">
        <w:t xml:space="preserve">. </w:t>
      </w:r>
    </w:p>
  </w:endnote>
  <w:endnote w:id="3">
    <w:p w14:paraId="4D1B221E" w14:textId="51252FCD" w:rsidR="004014F6" w:rsidRDefault="004014F6" w:rsidP="00AF4CAA">
      <w:pPr>
        <w:pStyle w:val="refnormal"/>
      </w:pPr>
      <w:r>
        <w:rPr>
          <w:rStyle w:val="EndnoteReference"/>
        </w:rPr>
        <w:endnoteRef/>
      </w:r>
      <w:r>
        <w:t xml:space="preserve"> Prior to 181</w:t>
      </w:r>
      <w:r w:rsidR="009A311B">
        <w:t>5</w:t>
      </w:r>
      <w:r>
        <w:t>, presidential elections were held in two stages. Each state selected a slate of electors, equal to the sum of representatives and senators they sent to Congress. The manner they selected differed by state, but most states</w:t>
      </w:r>
      <w:r w:rsidR="009D2A1D">
        <w:t xml:space="preserve"> chose them by popular election. Afterwards, each of the electors then elected the president, and the person in second would be Vice President. In 1796, the electors for neither the Federalists and the Republicans rallied behind their </w:t>
      </w:r>
      <w:proofErr w:type="gramStart"/>
      <w:r w:rsidR="009D2A1D">
        <w:t>vice presidential</w:t>
      </w:r>
      <w:proofErr w:type="gramEnd"/>
      <w:r w:rsidR="009D2A1D">
        <w:t xml:space="preserve"> candidates and instead split their votes several ways, resulting in Jefferson being in second place</w:t>
      </w:r>
      <w:r w:rsidR="006A1D32">
        <w:t xml:space="preserve">, despite only </w:t>
      </w:r>
      <w:r w:rsidR="009D2A1D">
        <w:t>Republican electors</w:t>
      </w:r>
      <w:r w:rsidR="006A1D32">
        <w:t xml:space="preserve"> having voted for him</w:t>
      </w:r>
      <w:r w:rsidR="009D2A1D">
        <w:t xml:space="preserve">. </w:t>
      </w:r>
      <w:r w:rsidR="00FF4B68">
        <w:t xml:space="preserve">See </w:t>
      </w:r>
      <w:proofErr w:type="spellStart"/>
      <w:r w:rsidR="00FF4B68">
        <w:t>Nackamoorah</w:t>
      </w:r>
      <w:proofErr w:type="spellEnd"/>
      <w:r w:rsidR="00FF4B68" w:rsidRPr="00FF4B68">
        <w:t xml:space="preserve">, Miriam. </w:t>
      </w:r>
      <w:r w:rsidR="00FF4B68" w:rsidRPr="00FF4B68">
        <w:rPr>
          <w:i/>
          <w:iCs/>
        </w:rPr>
        <w:t>From Confederation to Constitution: The Forging of the American Republic, 1781–1801</w:t>
      </w:r>
      <w:r w:rsidR="00FF4B68" w:rsidRPr="00FF4B68">
        <w:t>. (19</w:t>
      </w:r>
      <w:r w:rsidR="00C8067D">
        <w:t>8</w:t>
      </w:r>
      <w:r w:rsidR="00FF4B68" w:rsidRPr="00FF4B68">
        <w:t xml:space="preserve">6, </w:t>
      </w:r>
      <w:r w:rsidR="00FF4B68">
        <w:t>Dartmouth College</w:t>
      </w:r>
      <w:r w:rsidR="00FF4B68" w:rsidRPr="00FF4B68">
        <w:t xml:space="preserve"> Press).</w:t>
      </w:r>
    </w:p>
  </w:endnote>
  <w:endnote w:id="4">
    <w:p w14:paraId="3C09987E" w14:textId="419270C2" w:rsidR="006A1D32" w:rsidRDefault="006A1D32" w:rsidP="00AF4CAA">
      <w:pPr>
        <w:pStyle w:val="refnormal"/>
      </w:pPr>
      <w:r>
        <w:rPr>
          <w:rStyle w:val="EndnoteReference"/>
        </w:rPr>
        <w:endnoteRef/>
      </w:r>
      <w:r>
        <w:t xml:space="preserve"> Pennington</w:t>
      </w:r>
      <w:r w:rsidR="00660BAB">
        <w:t>, Robert</w:t>
      </w:r>
      <w:r>
        <w:t xml:space="preserve">, </w:t>
      </w:r>
      <w:r>
        <w:rPr>
          <w:i/>
          <w:iCs/>
        </w:rPr>
        <w:t>Alexander Hamilton</w:t>
      </w:r>
      <w:r w:rsidRPr="006A1D32">
        <w:rPr>
          <w:i/>
          <w:iCs/>
        </w:rPr>
        <w:t xml:space="preserve">: </w:t>
      </w:r>
      <w:r>
        <w:rPr>
          <w:i/>
          <w:iCs/>
        </w:rPr>
        <w:t>Anatomy of a Traitor</w:t>
      </w:r>
      <w:r>
        <w:t xml:space="preserve"> (1988</w:t>
      </w:r>
      <w:r w:rsidR="006948F3">
        <w:t>, Smithsonian History Press</w:t>
      </w:r>
      <w:r>
        <w:t xml:space="preserve">). For a revisionist look at the Adams presidency, see Jenny </w:t>
      </w:r>
      <w:proofErr w:type="spellStart"/>
      <w:r>
        <w:t>Pantakrov</w:t>
      </w:r>
      <w:proofErr w:type="spellEnd"/>
      <w:r>
        <w:t xml:space="preserve">, </w:t>
      </w:r>
      <w:r w:rsidRPr="006A1D32">
        <w:rPr>
          <w:i/>
          <w:iCs/>
        </w:rPr>
        <w:t>Forgotten Founder: The Life and Times of John Adams</w:t>
      </w:r>
      <w:r>
        <w:t xml:space="preserve"> (2003</w:t>
      </w:r>
      <w:r w:rsidR="0051544D">
        <w:t xml:space="preserve">, </w:t>
      </w:r>
      <w:proofErr w:type="spellStart"/>
      <w:r w:rsidR="0051544D">
        <w:t>Websteropolis</w:t>
      </w:r>
      <w:proofErr w:type="spellEnd"/>
      <w:r w:rsidR="0051544D">
        <w:t xml:space="preserve"> Historical Society</w:t>
      </w:r>
      <w:r>
        <w:t xml:space="preserve">). </w:t>
      </w:r>
    </w:p>
  </w:endnote>
  <w:endnote w:id="5">
    <w:p w14:paraId="48808312" w14:textId="4D1BF05F" w:rsidR="0009006E" w:rsidRDefault="0009006E" w:rsidP="00AF4CAA">
      <w:pPr>
        <w:pStyle w:val="refnormal"/>
      </w:pPr>
      <w:r>
        <w:rPr>
          <w:rStyle w:val="EndnoteReference"/>
        </w:rPr>
        <w:endnoteRef/>
      </w:r>
      <w:r>
        <w:t xml:space="preserve"> </w:t>
      </w:r>
      <w:r w:rsidR="00B6689D">
        <w:t>Poots</w:t>
      </w:r>
      <w:r w:rsidRPr="0009006E">
        <w:t xml:space="preserve">, </w:t>
      </w:r>
      <w:r w:rsidR="00B6689D">
        <w:t>Bess</w:t>
      </w:r>
      <w:r w:rsidRPr="0009006E">
        <w:t xml:space="preserve">. </w:t>
      </w:r>
      <w:r w:rsidRPr="00C74906">
        <w:rPr>
          <w:i/>
          <w:iCs/>
        </w:rPr>
        <w:t>The First Quasi War: Naval Conflict and Presidential Power, 1798–1801</w:t>
      </w:r>
      <w:r w:rsidR="00B6689D">
        <w:t xml:space="preserve"> (</w:t>
      </w:r>
      <w:r w:rsidRPr="0009006E">
        <w:t>Naval Historical Review, 1978</w:t>
      </w:r>
      <w:r w:rsidR="00B6689D">
        <w:t>)</w:t>
      </w:r>
      <w:r w:rsidRPr="0009006E">
        <w:t>.</w:t>
      </w:r>
    </w:p>
  </w:endnote>
  <w:endnote w:id="6">
    <w:p w14:paraId="2AAE5ED6" w14:textId="44D2BCB5" w:rsidR="000E428D" w:rsidRDefault="000E428D" w:rsidP="00AF4CAA">
      <w:pPr>
        <w:pStyle w:val="refnormal"/>
      </w:pPr>
      <w:r>
        <w:rPr>
          <w:rStyle w:val="EndnoteReference"/>
        </w:rPr>
        <w:endnoteRef/>
      </w:r>
      <w:r>
        <w:t xml:space="preserve"> By 1800, the Haitian Revolution had come to an end and the “Black Spartacus” Toussaint Louverture had established himself as Governor-General of Saint-Domingue, with the country only nominally a dependency of France. Saint-Domingue only declared independence as Haiti upon Toussaint’s death in 1821 and the ensuing power struggle. </w:t>
      </w:r>
      <w:r w:rsidR="00021CAD">
        <w:t xml:space="preserve">See </w:t>
      </w:r>
      <w:r w:rsidR="00021CAD" w:rsidRPr="00021CAD">
        <w:t xml:space="preserve">Dubois, René. </w:t>
      </w:r>
      <w:r w:rsidR="00021CAD" w:rsidRPr="00B057CE">
        <w:rPr>
          <w:i/>
          <w:iCs/>
        </w:rPr>
        <w:t>The Black Spartacus: Toussaint Louverture and the Hand of Destiny</w:t>
      </w:r>
      <w:r w:rsidR="00021CAD" w:rsidRPr="00021CAD">
        <w:t xml:space="preserve">. </w:t>
      </w:r>
      <w:r w:rsidR="00B057CE">
        <w:t>(</w:t>
      </w:r>
      <w:r w:rsidR="00021CAD" w:rsidRPr="00021CAD">
        <w:t xml:space="preserve">Libre </w:t>
      </w:r>
      <w:proofErr w:type="spellStart"/>
      <w:r w:rsidR="00021CAD" w:rsidRPr="00021CAD">
        <w:t>Haïti</w:t>
      </w:r>
      <w:proofErr w:type="spellEnd"/>
      <w:r w:rsidR="00021CAD" w:rsidRPr="00021CAD">
        <w:t xml:space="preserve"> Press, 1969</w:t>
      </w:r>
      <w:r w:rsidR="00B057CE">
        <w:t>)</w:t>
      </w:r>
      <w:r w:rsidR="00021CAD" w:rsidRPr="00021CAD">
        <w:t>.</w:t>
      </w:r>
    </w:p>
  </w:endnote>
  <w:endnote w:id="7">
    <w:p w14:paraId="636BF1CD" w14:textId="2C0B98EC" w:rsidR="00441973" w:rsidRDefault="00441973" w:rsidP="00AF4CAA">
      <w:pPr>
        <w:pStyle w:val="refnormal"/>
      </w:pPr>
      <w:r>
        <w:rPr>
          <w:rStyle w:val="EndnoteReference"/>
        </w:rPr>
        <w:endnoteRef/>
      </w:r>
      <w:r>
        <w:t xml:space="preserve"> To contrast with the other </w:t>
      </w:r>
      <w:r w:rsidR="001D2B57">
        <w:t xml:space="preserve">great examples of republics, France had seen no peaceful exchanges of power since 1789, but instead a coup d’etat the previous year by General Joubert establishing the </w:t>
      </w:r>
      <w:proofErr w:type="spellStart"/>
      <w:r w:rsidR="001D2B57">
        <w:t>Sieyesian</w:t>
      </w:r>
      <w:proofErr w:type="spellEnd"/>
      <w:r w:rsidR="001D2B57">
        <w:t xml:space="preserve"> political order, while Great Britain was a monarchy under George III, nicknamed the Corrupter-General for his use of patronage to render Parliament inert to </w:t>
      </w:r>
      <w:r w:rsidR="005358D7">
        <w:t xml:space="preserve">the will of </w:t>
      </w:r>
      <w:r w:rsidR="001D2B57">
        <w:t xml:space="preserve">him and his Prime Minister, Henry Addington. See Summers, Henry, </w:t>
      </w:r>
      <w:r w:rsidR="001D2B57" w:rsidRPr="001D2B57">
        <w:rPr>
          <w:i/>
          <w:iCs/>
        </w:rPr>
        <w:t>The Question of Succession: Exchanges of Power in a Republican Country</w:t>
      </w:r>
      <w:r w:rsidR="001D2B57">
        <w:t xml:space="preserve"> (1945</w:t>
      </w:r>
      <w:r w:rsidR="0051544D">
        <w:t>, London University Press</w:t>
      </w:r>
      <w:r w:rsidR="001D2B57">
        <w:t>)</w:t>
      </w:r>
      <w:r w:rsidR="005358D7">
        <w:t xml:space="preserve"> and Wentworth, Sidney, </w:t>
      </w:r>
      <w:r w:rsidR="005358D7" w:rsidRPr="005358D7">
        <w:rPr>
          <w:i/>
          <w:iCs/>
        </w:rPr>
        <w:t>The Decline and Fall of the House of Guelph</w:t>
      </w:r>
      <w:r w:rsidR="005358D7">
        <w:t xml:space="preserve"> (</w:t>
      </w:r>
      <w:r w:rsidR="0051544D">
        <w:t>1</w:t>
      </w:r>
      <w:r w:rsidR="005358D7">
        <w:t>984</w:t>
      </w:r>
      <w:r w:rsidR="0051544D">
        <w:t>, Dublin Historical Studies</w:t>
      </w:r>
      <w:r w:rsidR="005358D7">
        <w:t>)</w:t>
      </w:r>
      <w:r w:rsidR="001D2B57">
        <w:t xml:space="preserve">. </w:t>
      </w:r>
    </w:p>
  </w:endnote>
  <w:endnote w:id="8">
    <w:p w14:paraId="44B9113E" w14:textId="2166FA32" w:rsidR="008A75F3" w:rsidRDefault="008A75F3" w:rsidP="00AF4CAA">
      <w:pPr>
        <w:pStyle w:val="refnormal"/>
      </w:pPr>
      <w:r>
        <w:rPr>
          <w:rStyle w:val="EndnoteReference"/>
        </w:rPr>
        <w:endnoteRef/>
      </w:r>
      <w:r>
        <w:t xml:space="preserve"> Thomas Jefferson’s stance on slavery is something which has seen </w:t>
      </w:r>
      <w:r w:rsidR="00B93F15">
        <w:t>debate in recent years</w:t>
      </w:r>
      <w:r w:rsidR="00483FBF">
        <w:t>. See</w:t>
      </w:r>
      <w:r w:rsidR="00B93F15">
        <w:t xml:space="preserve"> Humbert, Jacques, </w:t>
      </w:r>
      <w:r w:rsidR="00B93F15" w:rsidRPr="00B93F15">
        <w:rPr>
          <w:i/>
          <w:iCs/>
        </w:rPr>
        <w:t>Thomas Jefferson: The National Hypocrite</w:t>
      </w:r>
      <w:r w:rsidR="00B93F15">
        <w:t xml:space="preserve"> (</w:t>
      </w:r>
      <w:r w:rsidR="00907139">
        <w:t xml:space="preserve">2003, </w:t>
      </w:r>
      <w:r w:rsidR="00B93F15">
        <w:t>University of Laurentia Pres</w:t>
      </w:r>
      <w:r w:rsidR="00907139">
        <w:t>s</w:t>
      </w:r>
      <w:r w:rsidR="00B93F15">
        <w:t>) for an argument that, for all his intentions, Thomas Jefferson was only antislavery in name only, and his</w:t>
      </w:r>
      <w:r w:rsidR="00483FBF">
        <w:t xml:space="preserve"> vigorous defence of slavery in the 1810s and 20s represented less an abandonment of his former politics and more a self-realization that he was, fundamentally, the leader of the Planter Ascendancy. </w:t>
      </w:r>
    </w:p>
  </w:endnote>
  <w:endnote w:id="9">
    <w:p w14:paraId="5866D4E4" w14:textId="1153E82B" w:rsidR="00F74819" w:rsidRDefault="00F74819" w:rsidP="00AF4CAA">
      <w:pPr>
        <w:pStyle w:val="refnormal"/>
      </w:pPr>
      <w:r>
        <w:rPr>
          <w:rStyle w:val="EndnoteReference"/>
        </w:rPr>
        <w:endnoteRef/>
      </w:r>
      <w:r>
        <w:t xml:space="preserve"> Indeed, the Congress of the Confederation years may have influenced the constitution of the modern International Forum, as Thomas Paine’s ideas for an Association of Nations, which would maintain peace, were influenced by the Articles of Confederation, and in turn influenced the ideas of the International Forum. </w:t>
      </w:r>
      <w:r w:rsidR="00886080">
        <w:t xml:space="preserve">See Humbert, Jacques, </w:t>
      </w:r>
      <w:r w:rsidR="00886080" w:rsidRPr="00B93F15">
        <w:rPr>
          <w:i/>
          <w:iCs/>
        </w:rPr>
        <w:t xml:space="preserve">Thomas </w:t>
      </w:r>
      <w:r w:rsidR="00886080">
        <w:rPr>
          <w:i/>
          <w:iCs/>
        </w:rPr>
        <w:t xml:space="preserve">Paine and the Rights of Man </w:t>
      </w:r>
      <w:r w:rsidR="00886080">
        <w:t>(</w:t>
      </w:r>
      <w:r w:rsidR="00907139">
        <w:t>20</w:t>
      </w:r>
      <w:r w:rsidR="00332130">
        <w:t>18</w:t>
      </w:r>
      <w:r w:rsidR="00907139">
        <w:t xml:space="preserve">, </w:t>
      </w:r>
      <w:r w:rsidR="00886080">
        <w:t xml:space="preserve">University of Laurentia Press). </w:t>
      </w:r>
    </w:p>
  </w:endnote>
  <w:endnote w:id="10">
    <w:p w14:paraId="7C26C022" w14:textId="6744DEAC" w:rsidR="00162D14" w:rsidRDefault="00162D14" w:rsidP="00AF4CAA">
      <w:pPr>
        <w:pStyle w:val="refnormal"/>
      </w:pPr>
      <w:r>
        <w:rPr>
          <w:rStyle w:val="EndnoteReference"/>
        </w:rPr>
        <w:endnoteRef/>
      </w:r>
      <w:r>
        <w:t xml:space="preserve"> In the days of the British </w:t>
      </w:r>
      <w:r w:rsidR="008F3B4B">
        <w:t>m</w:t>
      </w:r>
      <w:r>
        <w:t xml:space="preserve">onarchy, </w:t>
      </w:r>
      <w:r w:rsidR="004C21BF">
        <w:t xml:space="preserve">kings would every year give a speech to Parliament setting the agenda for the next year. This is rooted in the origins of Parliament as an advisory assembly, a way for kings to enact special decrees. Nevertheless, the United States kept it, its utility </w:t>
      </w:r>
      <w:proofErr w:type="gramStart"/>
      <w:r w:rsidR="004C21BF">
        <w:t>as a way to</w:t>
      </w:r>
      <w:proofErr w:type="gramEnd"/>
      <w:r w:rsidR="004C21BF">
        <w:t xml:space="preserve"> set the agenda meant that </w:t>
      </w:r>
      <w:r w:rsidR="00772CBB">
        <w:t xml:space="preserve">it was kept, and so too did the British Isles after the Revolution. </w:t>
      </w:r>
      <w:r w:rsidR="007C19AE">
        <w:t xml:space="preserve">See </w:t>
      </w:r>
      <w:r w:rsidR="00032D58">
        <w:t xml:space="preserve">Kirk, Racine, </w:t>
      </w:r>
      <w:r w:rsidR="003920C7" w:rsidRPr="003920C7">
        <w:rPr>
          <w:i/>
          <w:iCs/>
        </w:rPr>
        <w:t>The Anglo-American Tradition of Liberty</w:t>
      </w:r>
      <w:r w:rsidR="003920C7">
        <w:t xml:space="preserve"> (1941, University of Laurentia Press). </w:t>
      </w:r>
    </w:p>
  </w:endnote>
  <w:endnote w:id="11">
    <w:p w14:paraId="7FF481E0" w14:textId="3B59FFAD" w:rsidR="00F9385F" w:rsidRDefault="00F9385F" w:rsidP="00AF4CAA">
      <w:pPr>
        <w:pStyle w:val="refnormal"/>
      </w:pPr>
      <w:r>
        <w:rPr>
          <w:rStyle w:val="EndnoteReference"/>
        </w:rPr>
        <w:endnoteRef/>
      </w:r>
      <w:r>
        <w:t xml:space="preserve"> The fate of the Lewis and Clark expedition remains the topic of some debate. It seems likely they faced the wrong end of an Indigenous tribe, fearing all the diseases they’d bring with them; additionally, it also seems possible the Spanish, who sent several counter-expeditions to stop their intrusion into Luisiana, stopped and either arrested or killed them all. See Edwin Miller, </w:t>
      </w:r>
      <w:r w:rsidRPr="00F9385F">
        <w:rPr>
          <w:i/>
          <w:iCs/>
        </w:rPr>
        <w:t>The Lewis and Clark Expedition: Disappearance and Memory</w:t>
      </w:r>
      <w:r>
        <w:t xml:space="preserve"> (1994, University of </w:t>
      </w:r>
      <w:proofErr w:type="spellStart"/>
      <w:r>
        <w:t>Harrisonopolis</w:t>
      </w:r>
      <w:proofErr w:type="spellEnd"/>
      <w:r>
        <w:t xml:space="preserve">). </w:t>
      </w:r>
    </w:p>
  </w:endnote>
  <w:endnote w:id="12">
    <w:p w14:paraId="53C2514D" w14:textId="7901D224" w:rsidR="00DD4C0B" w:rsidRDefault="00DD4C0B" w:rsidP="00AF4CAA">
      <w:pPr>
        <w:pStyle w:val="refnormal"/>
      </w:pPr>
      <w:r>
        <w:rPr>
          <w:rStyle w:val="EndnoteReference"/>
        </w:rPr>
        <w:endnoteRef/>
      </w:r>
      <w:r>
        <w:t xml:space="preserve"> Burr’s endorsement of women’s rights made him an icon of the women’s rights movement over the course of the nineteenth century. See Schultz, Anna, </w:t>
      </w:r>
      <w:r w:rsidRPr="00DD4C0B">
        <w:rPr>
          <w:i/>
          <w:iCs/>
        </w:rPr>
        <w:t>The Franchise: How Women won the Right to Vote</w:t>
      </w:r>
      <w:r>
        <w:t xml:space="preserve"> (2019, Webster University).</w:t>
      </w:r>
    </w:p>
  </w:endnote>
  <w:endnote w:id="13">
    <w:p w14:paraId="2CD928A9" w14:textId="2D66192E" w:rsidR="002741BB" w:rsidRDefault="002741BB" w:rsidP="00AF4CAA">
      <w:pPr>
        <w:pStyle w:val="refnormal"/>
      </w:pPr>
      <w:r>
        <w:rPr>
          <w:rStyle w:val="EndnoteReference"/>
        </w:rPr>
        <w:endnoteRef/>
      </w:r>
      <w:r>
        <w:t xml:space="preserve"> Tammany Societies originated in Philadelphia in honor of a Lenape Indigenous chieftain, Tamanend. Growing after the Revolution which turned Tamanend into an American patron saint, Tammany Societies grew </w:t>
      </w:r>
      <w:proofErr w:type="gramStart"/>
      <w:r>
        <w:t>all across</w:t>
      </w:r>
      <w:proofErr w:type="gramEnd"/>
      <w:r>
        <w:t xml:space="preserve"> the United States in the name of patriotism. Its transformation from a nativist benevolent society into the Irish-dominated backbone of Burr’s Democratic Party machine is best covered by Brickley, F.M., </w:t>
      </w:r>
      <w:r>
        <w:rPr>
          <w:i/>
          <w:iCs/>
        </w:rPr>
        <w:t>Machine Made</w:t>
      </w:r>
      <w:r w:rsidRPr="00076FA5">
        <w:rPr>
          <w:i/>
          <w:iCs/>
        </w:rPr>
        <w:t xml:space="preserve">: </w:t>
      </w:r>
      <w:r>
        <w:rPr>
          <w:i/>
          <w:iCs/>
        </w:rPr>
        <w:t>Aaron Bur</w:t>
      </w:r>
      <w:r w:rsidRPr="00076FA5">
        <w:rPr>
          <w:i/>
          <w:iCs/>
        </w:rPr>
        <w:t>r</w:t>
      </w:r>
      <w:r>
        <w:rPr>
          <w:i/>
          <w:iCs/>
        </w:rPr>
        <w:t>, Tammany Hall, and the Making of American Democracy</w:t>
      </w:r>
      <w:r>
        <w:t xml:space="preserve"> (2021, Library of Alexandri</w:t>
      </w:r>
      <w:r w:rsidR="00DD4C0B">
        <w:t xml:space="preserve">a </w:t>
      </w:r>
      <w:r>
        <w:t>Publishing</w:t>
      </w:r>
      <w:r w:rsidR="008E6EE2">
        <w:t>, Anacostia</w:t>
      </w:r>
      <w:r>
        <w:t>)</w:t>
      </w:r>
      <w:r w:rsidR="00431827">
        <w:t xml:space="preserve">. </w:t>
      </w:r>
    </w:p>
  </w:endnote>
  <w:endnote w:id="14">
    <w:p w14:paraId="3F6D4BA5" w14:textId="2FFC2CC8" w:rsidR="00912C90" w:rsidRDefault="00912C90"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15">
    <w:p w14:paraId="5DF5EFB9" w14:textId="47093435" w:rsidR="00D261D3" w:rsidRDefault="00D261D3" w:rsidP="00AF4CAA">
      <w:pPr>
        <w:pStyle w:val="refnormal"/>
      </w:pPr>
      <w:r>
        <w:rPr>
          <w:rStyle w:val="EndnoteReference"/>
        </w:rPr>
        <w:endnoteRef/>
      </w:r>
      <w:r>
        <w:t xml:space="preserve"> Due to the 1812 election revealing the possibility of an electoral tie in presidential elections, it led to an amendment to the Constitution, passed in 1815, which abolished the elector system. Instead, each state was divided into a series of electoral districts, the number being equal to the state’s congressional delegation. Whichever candidate (for both the presidency and the vice presidency) won a plurality would win one electoral vote, and whichever candidate would win a majority of electoral votes, would be president. If no candidate was able to win a majority of electoral votes, instead the election would be decided by a joint session of Congress, voting among the two top candidates. </w:t>
      </w:r>
      <w:r w:rsidR="00E57E10">
        <w:t xml:space="preserve">See </w:t>
      </w:r>
      <w:r w:rsidR="00E57E10" w:rsidRPr="00841EAD">
        <w:rPr>
          <w:i/>
          <w:iCs/>
        </w:rPr>
        <w:t>Alexandria Encyclopedia of Early American History</w:t>
      </w:r>
      <w:r w:rsidR="00E57E10">
        <w:t>, 2020 ed.</w:t>
      </w:r>
    </w:p>
  </w:endnote>
  <w:endnote w:id="16">
    <w:p w14:paraId="50EB3A55" w14:textId="479DAB3C" w:rsidR="00E04B56" w:rsidRPr="00E04B56" w:rsidRDefault="00E04B56" w:rsidP="00AF4CAA">
      <w:pPr>
        <w:pStyle w:val="refnormal"/>
      </w:pPr>
      <w:r>
        <w:rPr>
          <w:rStyle w:val="EndnoteReference"/>
        </w:rPr>
        <w:endnoteRef/>
      </w:r>
      <w:r>
        <w:t xml:space="preserve"> The main Federalist who refused to back Burr was Alexander Hamilton, who went so far as to endorse and campaign for Monroe instead. Hamilton stated this was founded on opposition to Burr’s lack of principles and his demagoguery; most historians believe he was simply scared of losing his position of leadership within the Federalists to Burr. See Pennington, </w:t>
      </w:r>
      <w:r>
        <w:rPr>
          <w:i/>
          <w:iCs/>
        </w:rPr>
        <w:t>Alexander Hamilton</w:t>
      </w:r>
      <w:r w:rsidRPr="006A1D32">
        <w:rPr>
          <w:i/>
          <w:iCs/>
        </w:rPr>
        <w:t xml:space="preserve">: </w:t>
      </w:r>
      <w:r>
        <w:rPr>
          <w:i/>
          <w:iCs/>
        </w:rPr>
        <w:t>Anatomy of a Traitor</w:t>
      </w:r>
      <w:r w:rsidR="00660BAB">
        <w:t xml:space="preserve"> (1988)</w:t>
      </w:r>
      <w:r>
        <w:t xml:space="preserve">. </w:t>
      </w:r>
    </w:p>
  </w:endnote>
  <w:endnote w:id="17">
    <w:p w14:paraId="06E79260" w14:textId="232436AF" w:rsidR="00975965" w:rsidRDefault="00975965" w:rsidP="00AF4CAA">
      <w:pPr>
        <w:pStyle w:val="refnormal"/>
      </w:pPr>
      <w:r>
        <w:rPr>
          <w:rStyle w:val="EndnoteReference"/>
        </w:rPr>
        <w:endnoteRef/>
      </w:r>
      <w:r>
        <w:t xml:space="preserve"> Poole, </w:t>
      </w:r>
      <w:r w:rsidR="009616D5" w:rsidRPr="009616D5">
        <w:t>Tomás</w:t>
      </w:r>
      <w:r>
        <w:t xml:space="preserve">, </w:t>
      </w:r>
      <w:r w:rsidRPr="00D52C32">
        <w:rPr>
          <w:i/>
          <w:iCs/>
        </w:rPr>
        <w:t>The Rise of Sequoyah: The Five Tribes in Exile, 1837-</w:t>
      </w:r>
      <w:r w:rsidR="00A233FF" w:rsidRPr="00D52C32">
        <w:rPr>
          <w:i/>
          <w:iCs/>
        </w:rPr>
        <w:t>1916</w:t>
      </w:r>
      <w:r w:rsidR="00A233FF">
        <w:t xml:space="preserve"> (2004, University of Monterrey Press). </w:t>
      </w:r>
    </w:p>
  </w:endnote>
  <w:endnote w:id="18">
    <w:p w14:paraId="1F9588B5" w14:textId="1302913F" w:rsidR="00503A8F" w:rsidRDefault="00503A8F" w:rsidP="00AF4CAA">
      <w:pPr>
        <w:pStyle w:val="refnormal"/>
      </w:pPr>
      <w:r>
        <w:rPr>
          <w:rStyle w:val="EndnoteReference"/>
        </w:rPr>
        <w:endnoteRef/>
      </w:r>
      <w:r>
        <w:t xml:space="preserve"> Party conventions were a somewhat </w:t>
      </w:r>
      <w:proofErr w:type="gramStart"/>
      <w:r>
        <w:t>new innovation</w:t>
      </w:r>
      <w:proofErr w:type="gramEnd"/>
      <w:r>
        <w:t xml:space="preserve">, but there were several antecedents at the state level, most primarily the political convention which nominated Simon Snyder as the candidate of the New School Republicans for governor in Pennsylvania’s election of 1811. </w:t>
      </w:r>
      <w:r w:rsidR="00A87032">
        <w:t xml:space="preserve">See </w:t>
      </w:r>
      <w:r w:rsidR="00A87032" w:rsidRPr="00841EAD">
        <w:rPr>
          <w:i/>
          <w:iCs/>
        </w:rPr>
        <w:t>Alexandria Encyclopedia of Early American History</w:t>
      </w:r>
      <w:r w:rsidR="00A87032">
        <w:t>, 2020 ed.</w:t>
      </w:r>
    </w:p>
  </w:endnote>
  <w:endnote w:id="19">
    <w:p w14:paraId="57DE1D91" w14:textId="54CEDBA2" w:rsidR="001D7D7D" w:rsidRDefault="001D7D7D" w:rsidP="00AF4CAA">
      <w:pPr>
        <w:pStyle w:val="refnormal"/>
      </w:pPr>
      <w:r>
        <w:rPr>
          <w:rStyle w:val="EndnoteReference"/>
        </w:rPr>
        <w:endnoteRef/>
      </w:r>
      <w:r>
        <w:t xml:space="preserve"> </w:t>
      </w:r>
      <w:r w:rsidR="00EC71C2">
        <w:t xml:space="preserve">See Bland, Deckard, </w:t>
      </w:r>
      <w:r w:rsidR="00EC71C2" w:rsidRPr="00280F9E">
        <w:rPr>
          <w:i/>
          <w:iCs/>
        </w:rPr>
        <w:t>Burr and Liberty: The Rise of American Democracy</w:t>
      </w:r>
      <w:r w:rsidR="00EC71C2">
        <w:t xml:space="preserve"> (2021, Library of Alexandria Publishing, Anacostia).</w:t>
      </w:r>
    </w:p>
  </w:endnote>
  <w:endnote w:id="20">
    <w:p w14:paraId="36137E17" w14:textId="67E8713F" w:rsidR="008E6EE2" w:rsidRDefault="008E6EE2" w:rsidP="00AF4CAA">
      <w:pPr>
        <w:pStyle w:val="refnormal"/>
      </w:pPr>
      <w:r>
        <w:rPr>
          <w:rStyle w:val="EndnoteReference"/>
        </w:rPr>
        <w:endnoteRef/>
      </w:r>
      <w:r>
        <w:t xml:space="preserve"> Jefferson, Thomas, </w:t>
      </w:r>
      <w:r w:rsidRPr="008E6EE2">
        <w:rPr>
          <w:i/>
          <w:iCs/>
        </w:rPr>
        <w:t>Notes on the State of the American Confederacy</w:t>
      </w:r>
      <w:r>
        <w:t xml:space="preserve"> (1816, Archives of the Library of Alexandria, Anacostia). </w:t>
      </w:r>
    </w:p>
  </w:endnote>
  <w:endnote w:id="21">
    <w:p w14:paraId="469F663E" w14:textId="770DB768" w:rsidR="00F81DBE" w:rsidRDefault="00F81DBE" w:rsidP="00AF4CAA">
      <w:pPr>
        <w:pStyle w:val="refnormal"/>
      </w:pPr>
      <w:r>
        <w:rPr>
          <w:rStyle w:val="EndnoteReference"/>
        </w:rPr>
        <w:endnoteRef/>
      </w:r>
      <w:r>
        <w:t xml:space="preserve"> </w:t>
      </w:r>
      <w:r>
        <w:rPr>
          <w:rStyle w:val="refnormalChar"/>
        </w:rPr>
        <w:t xml:space="preserve">See </w:t>
      </w:r>
      <w:r>
        <w:t xml:space="preserve">Pennington, Robert, </w:t>
      </w:r>
      <w:r>
        <w:rPr>
          <w:i/>
          <w:iCs/>
        </w:rPr>
        <w:t>Thomas Jefferson: The Master of Monticello</w:t>
      </w:r>
      <w:r>
        <w:t xml:space="preserve"> (Smithsonian History Press, 1991). </w:t>
      </w:r>
    </w:p>
  </w:endnote>
  <w:endnote w:id="22">
    <w:p w14:paraId="5ED4609E" w14:textId="4450FFF4" w:rsidR="002B4CBE" w:rsidRDefault="002B4CBE" w:rsidP="00AF4CAA">
      <w:pPr>
        <w:pStyle w:val="refnormal"/>
      </w:pPr>
      <w:r>
        <w:rPr>
          <w:rStyle w:val="EndnoteReference"/>
        </w:rPr>
        <w:endnoteRef/>
      </w:r>
      <w:r>
        <w:t xml:space="preserve"> This was a popular narrativ</w:t>
      </w:r>
      <w:r w:rsidR="00841EAD">
        <w:t xml:space="preserve">e, which percolated in several newspapers. It appears to have originated from a book published in Lexington, Kentucky published in 1815, called </w:t>
      </w:r>
      <w:r w:rsidR="00841EAD" w:rsidRPr="00841EAD">
        <w:rPr>
          <w:i/>
          <w:iCs/>
        </w:rPr>
        <w:t>Life of James Madison</w:t>
      </w:r>
      <w:r w:rsidR="00841EAD">
        <w:t xml:space="preserve">. See </w:t>
      </w:r>
      <w:r w:rsidR="00841EAD" w:rsidRPr="00841EAD">
        <w:rPr>
          <w:i/>
          <w:iCs/>
        </w:rPr>
        <w:t>Alexandria Encyclopedia of Early American History</w:t>
      </w:r>
      <w:r w:rsidR="00841EAD">
        <w:t>, 2020 ed.</w:t>
      </w:r>
    </w:p>
  </w:endnote>
  <w:endnote w:id="23">
    <w:p w14:paraId="217CC0A7" w14:textId="15184A36" w:rsidR="00D66035" w:rsidRDefault="00D66035"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24">
    <w:p w14:paraId="7BA92D1D" w14:textId="1D65128A" w:rsidR="005146F5" w:rsidRDefault="005146F5" w:rsidP="00AF4CAA">
      <w:pPr>
        <w:pStyle w:val="refnormal"/>
      </w:pPr>
      <w:r>
        <w:rPr>
          <w:rStyle w:val="EndnoteReference"/>
        </w:rPr>
        <w:endnoteRef/>
      </w:r>
      <w:r>
        <w:t xml:space="preserve"> Bland, </w:t>
      </w:r>
      <w:r w:rsidRPr="005146F5">
        <w:rPr>
          <w:i/>
          <w:iCs/>
        </w:rPr>
        <w:t>Burr and Liberty</w:t>
      </w:r>
      <w:r>
        <w:t xml:space="preserve"> (2021). </w:t>
      </w:r>
    </w:p>
  </w:endnote>
  <w:endnote w:id="25">
    <w:p w14:paraId="6209F1BA" w14:textId="6312AA2D" w:rsidR="00280F9E" w:rsidRDefault="00280F9E" w:rsidP="00AF4CAA">
      <w:pPr>
        <w:pStyle w:val="refnormal"/>
      </w:pPr>
      <w:r>
        <w:rPr>
          <w:rStyle w:val="EndnoteReference"/>
        </w:rPr>
        <w:endnoteRef/>
      </w:r>
      <w:r>
        <w:t xml:space="preserve"> For this, I am indebted to Bland, Deckard, </w:t>
      </w:r>
      <w:r w:rsidRPr="00280F9E">
        <w:rPr>
          <w:i/>
          <w:iCs/>
        </w:rPr>
        <w:t>Burr and Liberty: The Rise of American Democracy</w:t>
      </w:r>
      <w:r>
        <w:t xml:space="preserve"> (2021, Library of Alexandria Publishing, </w:t>
      </w:r>
      <w:r w:rsidR="008E6EE2">
        <w:t>Anacostia</w:t>
      </w:r>
      <w:r>
        <w:t>)</w:t>
      </w:r>
      <w:r w:rsidR="00DA04F9">
        <w:t>.</w:t>
      </w:r>
    </w:p>
  </w:endnote>
  <w:endnote w:id="26">
    <w:p w14:paraId="03F2B843" w14:textId="31A22930" w:rsidR="0025493C" w:rsidRDefault="0025493C" w:rsidP="00AF4CAA">
      <w:pPr>
        <w:pStyle w:val="refnormal"/>
      </w:pPr>
      <w:r>
        <w:rPr>
          <w:rStyle w:val="EndnoteReference"/>
        </w:rPr>
        <w:endnoteRef/>
      </w:r>
      <w:r>
        <w:t xml:space="preserve"> The relationship between Irish republicanism and the ideology of the Democratic Party in the Burr years is a topic of much discussion. See </w:t>
      </w:r>
      <w:r w:rsidRPr="00280F9E">
        <w:t>Smith</w:t>
      </w:r>
      <w:r w:rsidRPr="00923308">
        <w:t xml:space="preserve">, Fitzgerald, </w:t>
      </w:r>
      <w:r w:rsidRPr="0025493C">
        <w:rPr>
          <w:i/>
          <w:iCs/>
        </w:rPr>
        <w:t>The Harp and Stars: The Great Irish Rebellion and Burr, 1799-1823</w:t>
      </w:r>
      <w:r>
        <w:t xml:space="preserve"> (</w:t>
      </w:r>
      <w:r w:rsidR="008C1E96">
        <w:t xml:space="preserve">2003, </w:t>
      </w:r>
      <w:r>
        <w:t>Dublin Historical Studies).</w:t>
      </w:r>
    </w:p>
  </w:endnote>
  <w:endnote w:id="27">
    <w:p w14:paraId="550DDAB2" w14:textId="7E337966" w:rsidR="00A6129E" w:rsidRDefault="00A6129E" w:rsidP="00AF4CAA">
      <w:pPr>
        <w:pStyle w:val="refnormal"/>
      </w:pPr>
      <w:r>
        <w:rPr>
          <w:rStyle w:val="EndnoteReference"/>
        </w:rPr>
        <w:endnoteRef/>
      </w:r>
      <w:r>
        <w:t xml:space="preserve"> Note that New Ireland was initially named Michigan; its settlement was the direct result, after the Erie Canal opening the path, and the Burr administration opening settlement in the area to the New York Irish Emigrant Aid Company. Headed by Thomas Addis Emmet (father of Curran), initial settlement of the territory was not exclusively </w:t>
      </w:r>
      <w:proofErr w:type="gramStart"/>
      <w:r>
        <w:t>Irish</w:t>
      </w:r>
      <w:proofErr w:type="gramEnd"/>
      <w:r>
        <w:t xml:space="preserve"> but they ended up leaving a strong mark on the region, enough to provide its name. </w:t>
      </w:r>
      <w:r w:rsidR="00783930">
        <w:t xml:space="preserve">See </w:t>
      </w:r>
      <w:r w:rsidR="00783930" w:rsidRPr="00923308">
        <w:t xml:space="preserve">Fitzgerald, </w:t>
      </w:r>
      <w:r w:rsidR="00783930" w:rsidRPr="0025493C">
        <w:rPr>
          <w:i/>
          <w:iCs/>
        </w:rPr>
        <w:t>The Harp and Stars</w:t>
      </w:r>
      <w:r w:rsidR="00783930">
        <w:rPr>
          <w:i/>
          <w:iCs/>
        </w:rPr>
        <w:t xml:space="preserve"> </w:t>
      </w:r>
      <w:r w:rsidR="00783930">
        <w:t xml:space="preserve">(2003). </w:t>
      </w:r>
    </w:p>
  </w:endnote>
  <w:endnote w:id="28">
    <w:p w14:paraId="5437ACA4" w14:textId="79204306" w:rsidR="006E05E5" w:rsidRDefault="006E05E5" w:rsidP="00AF4CAA">
      <w:pPr>
        <w:pStyle w:val="refnormal"/>
      </w:pPr>
      <w:r>
        <w:rPr>
          <w:rStyle w:val="EndnoteReference"/>
        </w:rPr>
        <w:endnoteRef/>
      </w:r>
      <w:r>
        <w:t xml:space="preserve"> This idea was hardly an innovative one, but most Americans’ introduction to the idea came from the eighteenth-century French political theorist Montesquieu, who in </w:t>
      </w:r>
      <w:r w:rsidRPr="006E05E5">
        <w:rPr>
          <w:i/>
          <w:iCs/>
        </w:rPr>
        <w:t>The Spirit of the Laws</w:t>
      </w:r>
      <w:r>
        <w:t xml:space="preserve"> (1748) warned that a large republic would destroy itself in ambition and corruption. The idea that the United States was somehow too </w:t>
      </w:r>
      <w:proofErr w:type="gramStart"/>
      <w:r>
        <w:t>large worried</w:t>
      </w:r>
      <w:proofErr w:type="gramEnd"/>
      <w:r>
        <w:t xml:space="preserve"> Americans of every political stripe in this era. </w:t>
      </w:r>
    </w:p>
  </w:endnote>
  <w:endnote w:id="29">
    <w:p w14:paraId="375A24CF" w14:textId="706C4229" w:rsidR="00111233" w:rsidRDefault="00111233" w:rsidP="00AF4CAA">
      <w:pPr>
        <w:pStyle w:val="refnormal"/>
      </w:pPr>
      <w:r>
        <w:rPr>
          <w:rStyle w:val="EndnoteReference"/>
        </w:rPr>
        <w:endnoteRef/>
      </w:r>
      <w:r>
        <w:t xml:space="preserve"> </w:t>
      </w:r>
      <w:r w:rsidRPr="00111233">
        <w:t xml:space="preserve">O’Callaghan, Judith. </w:t>
      </w:r>
      <w:r w:rsidRPr="00111233">
        <w:rPr>
          <w:i/>
          <w:iCs/>
        </w:rPr>
        <w:t>The Grand Canals: The Infrastructure Mania of the Burr Years</w:t>
      </w:r>
      <w:r w:rsidRPr="00111233">
        <w:t xml:space="preserve">. </w:t>
      </w:r>
      <w:r>
        <w:t xml:space="preserve">(2006, </w:t>
      </w:r>
      <w:r w:rsidRPr="00111233">
        <w:t>Great Lakes Historical Society</w:t>
      </w:r>
      <w:r>
        <w:t>)</w:t>
      </w:r>
      <w:r w:rsidRPr="00111233">
        <w:t>.</w:t>
      </w:r>
    </w:p>
  </w:endnote>
  <w:endnote w:id="30">
    <w:p w14:paraId="61D57EAE" w14:textId="23E3061E" w:rsidR="00923308" w:rsidRDefault="00923308" w:rsidP="00AF4CAA">
      <w:pPr>
        <w:pStyle w:val="refnormal"/>
      </w:pPr>
      <w:r>
        <w:rPr>
          <w:rStyle w:val="EndnoteReference"/>
        </w:rPr>
        <w:endnoteRef/>
      </w:r>
      <w:r>
        <w:t xml:space="preserve"> Pinchot, Geoffrey, </w:t>
      </w:r>
      <w:r w:rsidRPr="00AF6FA8">
        <w:rPr>
          <w:i/>
          <w:iCs/>
        </w:rPr>
        <w:t>The First Spark of the Information Age: The Semaphore in France and the Sister Republics, 1793 to 1855</w:t>
      </w:r>
      <w:r>
        <w:t xml:space="preserve"> (</w:t>
      </w:r>
      <w:r w:rsidR="008C1E96">
        <w:t xml:space="preserve">2014, </w:t>
      </w:r>
      <w:r>
        <w:t>University of Pari</w:t>
      </w:r>
      <w:r w:rsidR="008C1E96">
        <w:t>s</w:t>
      </w:r>
      <w:r>
        <w:t xml:space="preserve">). </w:t>
      </w:r>
    </w:p>
  </w:endnote>
  <w:endnote w:id="31">
    <w:p w14:paraId="171A0B43" w14:textId="6DA974FC" w:rsidR="00AE3F37" w:rsidRDefault="00AE3F37" w:rsidP="00AF4CAA">
      <w:pPr>
        <w:pStyle w:val="refnormal"/>
      </w:pPr>
      <w:r>
        <w:rPr>
          <w:rStyle w:val="EndnoteReference"/>
        </w:rPr>
        <w:endnoteRef/>
      </w:r>
      <w:r>
        <w:t xml:space="preserve"> The role of the semaphor</w:t>
      </w:r>
      <w:r w:rsidR="00C17B66">
        <w:t>ic telegraph</w:t>
      </w:r>
      <w:r>
        <w:t xml:space="preserve"> system in popularizing cryptograph</w:t>
      </w:r>
      <w:r w:rsidR="00076FA5">
        <w:t xml:space="preserve">y, including the now-famous Jefferson disk, is well attested. See Brickley, F.M., </w:t>
      </w:r>
      <w:r w:rsidR="00076FA5" w:rsidRPr="00076FA5">
        <w:rPr>
          <w:i/>
          <w:iCs/>
        </w:rPr>
        <w:t>The Cipher Men: The Semaphore and the Age of the Analyzer</w:t>
      </w:r>
      <w:r w:rsidR="00076FA5">
        <w:t xml:space="preserve"> (2011, Library of Alexandria Publishing, </w:t>
      </w:r>
      <w:r w:rsidR="008E6EE2">
        <w:t>Anacostia</w:t>
      </w:r>
      <w:r w:rsidR="00076FA5">
        <w:t xml:space="preserve">). </w:t>
      </w:r>
    </w:p>
  </w:endnote>
  <w:endnote w:id="32">
    <w:p w14:paraId="3AC00A1E" w14:textId="4990DDA8" w:rsidR="009743AA" w:rsidRDefault="009743AA">
      <w:pPr>
        <w:pStyle w:val="EndnoteText"/>
      </w:pPr>
      <w:r>
        <w:rPr>
          <w:rStyle w:val="EndnoteReference"/>
        </w:rPr>
        <w:endnoteRef/>
      </w:r>
      <w:r>
        <w:t xml:space="preserve"> Hedly, </w:t>
      </w:r>
      <w:r w:rsidR="00685013">
        <w:t>Bonifacius</w:t>
      </w:r>
      <w:r>
        <w:t xml:space="preserve">. </w:t>
      </w:r>
      <w:r w:rsidR="00685013" w:rsidRPr="00A22A18">
        <w:rPr>
          <w:i/>
          <w:iCs/>
        </w:rPr>
        <w:t xml:space="preserve">Two Centuries </w:t>
      </w:r>
      <w:r w:rsidR="00383F67" w:rsidRPr="00A22A18">
        <w:rPr>
          <w:i/>
          <w:iCs/>
        </w:rPr>
        <w:t>in Action: The Federal Bulletin, 1812-2012</w:t>
      </w:r>
      <w:r w:rsidR="00383F67">
        <w:t xml:space="preserve"> (2012, Smithsonian</w:t>
      </w:r>
      <w:r w:rsidR="003414C6">
        <w:t xml:space="preserve"> History Press). </w:t>
      </w:r>
    </w:p>
  </w:endnote>
  <w:endnote w:id="33">
    <w:p w14:paraId="19C5C1A9" w14:textId="3BE84A56" w:rsidR="00A53CA4" w:rsidRDefault="00A53CA4">
      <w:pPr>
        <w:pStyle w:val="EndnoteText"/>
      </w:pPr>
      <w:r>
        <w:rPr>
          <w:rStyle w:val="EndnoteReference"/>
        </w:rPr>
        <w:endnoteRef/>
      </w:r>
      <w:r>
        <w:t xml:space="preserve"> Additionally, </w:t>
      </w:r>
      <w:r w:rsidR="0084617A">
        <w:t xml:space="preserve">steamboats were used to convey letters, with the Post Office conveying letters across the nation through contracted steamboats. </w:t>
      </w:r>
      <w:r w:rsidR="007409B7">
        <w:t xml:space="preserve">See </w:t>
      </w:r>
      <w:r w:rsidR="002E4431">
        <w:t xml:space="preserve">Schmitt, </w:t>
      </w:r>
      <w:r w:rsidR="00F31324">
        <w:t xml:space="preserve">Frank, </w:t>
      </w:r>
      <w:r w:rsidR="00F0725C" w:rsidRPr="007D292A">
        <w:rPr>
          <w:i/>
          <w:iCs/>
        </w:rPr>
        <w:t xml:space="preserve">Paddleboat Nation: </w:t>
      </w:r>
      <w:r w:rsidR="00F12C31" w:rsidRPr="007D292A">
        <w:rPr>
          <w:i/>
          <w:iCs/>
        </w:rPr>
        <w:t xml:space="preserve">The Steamboat in Antebellum America, </w:t>
      </w:r>
      <w:r w:rsidR="00181F79" w:rsidRPr="007D292A">
        <w:rPr>
          <w:i/>
          <w:iCs/>
        </w:rPr>
        <w:t>1811-1868</w:t>
      </w:r>
      <w:r w:rsidR="00181F79">
        <w:t xml:space="preserve"> (2001, </w:t>
      </w:r>
      <w:r w:rsidR="00DB52F8">
        <w:t xml:space="preserve">Naval Institution Press). </w:t>
      </w:r>
    </w:p>
  </w:endnote>
  <w:endnote w:id="34">
    <w:p w14:paraId="5587F28A" w14:textId="04D82D4C" w:rsidR="00C604A1" w:rsidRDefault="00C604A1" w:rsidP="00AF4CAA">
      <w:pPr>
        <w:pStyle w:val="refnormal"/>
      </w:pPr>
      <w:r>
        <w:rPr>
          <w:rStyle w:val="EndnoteReference"/>
        </w:rPr>
        <w:endnoteRef/>
      </w:r>
      <w:r>
        <w:t xml:space="preserve"> Hamilton, Alexander, </w:t>
      </w:r>
      <w:r w:rsidRPr="008B15BF">
        <w:rPr>
          <w:i/>
          <w:iCs/>
        </w:rPr>
        <w:t xml:space="preserve">Report </w:t>
      </w:r>
      <w:proofErr w:type="gramStart"/>
      <w:r w:rsidRPr="008B15BF">
        <w:rPr>
          <w:i/>
          <w:iCs/>
        </w:rPr>
        <w:t>on the Subject of Manufactures</w:t>
      </w:r>
      <w:proofErr w:type="gramEnd"/>
      <w:r>
        <w:t xml:space="preserve"> (1791). </w:t>
      </w:r>
    </w:p>
  </w:endnote>
  <w:endnote w:id="35">
    <w:p w14:paraId="0ADE75EB" w14:textId="704E4FCF" w:rsidR="001030E7" w:rsidRDefault="001030E7" w:rsidP="00AF4CAA">
      <w:pPr>
        <w:pStyle w:val="refnormal"/>
      </w:pPr>
      <w:r>
        <w:rPr>
          <w:rStyle w:val="EndnoteReference"/>
        </w:rPr>
        <w:endnoteRef/>
      </w:r>
      <w:r>
        <w:t xml:space="preserve"> </w:t>
      </w:r>
      <w:r w:rsidRPr="001030E7">
        <w:t>Brickley, F.M.</w:t>
      </w:r>
      <w:r>
        <w:t>,</w:t>
      </w:r>
      <w:r w:rsidRPr="001030E7">
        <w:t xml:space="preserve"> </w:t>
      </w:r>
      <w:r w:rsidRPr="008B15BF">
        <w:rPr>
          <w:i/>
          <w:iCs/>
        </w:rPr>
        <w:t>Banking, Booms, and Busts: American Finances in the Antebellum Years</w:t>
      </w:r>
      <w:r>
        <w:t xml:space="preserve"> (2023, </w:t>
      </w:r>
      <w:r w:rsidRPr="001030E7">
        <w:t>Library of Alexander Publishing</w:t>
      </w:r>
      <w:r>
        <w:t>)</w:t>
      </w:r>
      <w:r w:rsidRPr="001030E7">
        <w:t>.</w:t>
      </w:r>
    </w:p>
  </w:endnote>
  <w:endnote w:id="36">
    <w:p w14:paraId="53C18DC3" w14:textId="5AB4EBD0" w:rsidR="00C52D5A" w:rsidRDefault="00C52D5A" w:rsidP="00AF4CAA">
      <w:pPr>
        <w:pStyle w:val="refnormal"/>
      </w:pPr>
      <w:r>
        <w:rPr>
          <w:rStyle w:val="EndnoteReference"/>
        </w:rPr>
        <w:endnoteRef/>
      </w:r>
      <w:r>
        <w:t xml:space="preserve"> The bases of this network were the Ohio and Miami Canal, connecting Cincinnati to Miami (albeit just over the border in Michigan), and</w:t>
      </w:r>
      <w:r w:rsidR="00491E17">
        <w:t xml:space="preserve"> the Ohio and Erie Canal connecting </w:t>
      </w:r>
      <w:proofErr w:type="spellStart"/>
      <w:r w:rsidR="00491E17">
        <w:t>Ballytone</w:t>
      </w:r>
      <w:proofErr w:type="spellEnd"/>
      <w:r w:rsidR="00491E17">
        <w:t xml:space="preserve"> to Sandusky. </w:t>
      </w:r>
      <w:r w:rsidR="001D6288">
        <w:t xml:space="preserve">See </w:t>
      </w:r>
      <w:r w:rsidR="001D6288" w:rsidRPr="001D6288">
        <w:t xml:space="preserve">O’Callaghan, Judith. </w:t>
      </w:r>
      <w:r w:rsidR="001D6288" w:rsidRPr="001D6288">
        <w:rPr>
          <w:i/>
          <w:iCs/>
        </w:rPr>
        <w:t>The Grand Canals: The Infrastructure Mania of the Burr Years</w:t>
      </w:r>
      <w:r w:rsidR="001D6288" w:rsidRPr="001D6288">
        <w:t xml:space="preserve"> </w:t>
      </w:r>
      <w:r w:rsidR="001D6288">
        <w:t xml:space="preserve">(2006, </w:t>
      </w:r>
      <w:r w:rsidR="001D6288" w:rsidRPr="001D6288">
        <w:t>Great Lakes Historical Society</w:t>
      </w:r>
      <w:r w:rsidR="001D6288">
        <w:t>)</w:t>
      </w:r>
      <w:r w:rsidR="001D6288" w:rsidRPr="001D6288">
        <w:t>.</w:t>
      </w:r>
    </w:p>
  </w:endnote>
  <w:endnote w:id="37">
    <w:p w14:paraId="26B5F418" w14:textId="1F5BEDB2" w:rsidR="002A5919" w:rsidRDefault="002A5919" w:rsidP="00AF4CAA">
      <w:pPr>
        <w:pStyle w:val="refnormal"/>
      </w:pPr>
      <w:r>
        <w:rPr>
          <w:rStyle w:val="EndnoteReference"/>
        </w:rPr>
        <w:endnoteRef/>
      </w:r>
      <w:r>
        <w:t xml:space="preserve"> </w:t>
      </w:r>
      <w:r w:rsidRPr="002A5919">
        <w:t xml:space="preserve">Armstrong, </w:t>
      </w:r>
      <w:proofErr w:type="spellStart"/>
      <w:r w:rsidR="003635E4" w:rsidRPr="003635E4">
        <w:t>Wealthow</w:t>
      </w:r>
      <w:proofErr w:type="spellEnd"/>
      <w:r w:rsidRPr="002A5919">
        <w:t xml:space="preserve">. </w:t>
      </w:r>
      <w:r w:rsidRPr="008B15BF">
        <w:rPr>
          <w:i/>
          <w:iCs/>
        </w:rPr>
        <w:t xml:space="preserve">The Rise of the Old West: Urbanization and Investment from Sandusky to </w:t>
      </w:r>
      <w:proofErr w:type="spellStart"/>
      <w:r w:rsidRPr="008B15BF">
        <w:rPr>
          <w:i/>
          <w:iCs/>
        </w:rPr>
        <w:t>Sowashee</w:t>
      </w:r>
      <w:proofErr w:type="spellEnd"/>
      <w:r w:rsidRPr="008B15BF">
        <w:rPr>
          <w:i/>
          <w:iCs/>
        </w:rPr>
        <w:t>, 1800–1825</w:t>
      </w:r>
      <w:r w:rsidRPr="002A5919">
        <w:t xml:space="preserve">. </w:t>
      </w:r>
      <w:r>
        <w:t xml:space="preserve">(1974, </w:t>
      </w:r>
      <w:r w:rsidRPr="002A5919">
        <w:t>Quiner University</w:t>
      </w:r>
      <w:r>
        <w:t>)</w:t>
      </w:r>
      <w:r w:rsidRPr="002A5919">
        <w:t>.</w:t>
      </w:r>
    </w:p>
  </w:endnote>
  <w:endnote w:id="38">
    <w:p w14:paraId="1E4E5311" w14:textId="6528938E" w:rsidR="003A2A68" w:rsidRDefault="003A2A68" w:rsidP="00AF4CAA">
      <w:pPr>
        <w:pStyle w:val="refnormal"/>
      </w:pPr>
      <w:r>
        <w:rPr>
          <w:rStyle w:val="EndnoteReference"/>
        </w:rPr>
        <w:endnoteRef/>
      </w:r>
      <w:r>
        <w:t xml:space="preserve"> This is the now-iconic Sectional Thesis of American history. As a thesis, it was first laid out by Frederick Webster Turner</w:t>
      </w:r>
      <w:r w:rsidR="00993506">
        <w:t>, during the Reconstruction Exposition</w:t>
      </w:r>
      <w:r>
        <w:t xml:space="preserve">, in </w:t>
      </w:r>
      <w:r w:rsidRPr="003A2A68">
        <w:rPr>
          <w:i/>
          <w:iCs/>
        </w:rPr>
        <w:t xml:space="preserve">The Significance of </w:t>
      </w:r>
      <w:r>
        <w:rPr>
          <w:i/>
          <w:iCs/>
        </w:rPr>
        <w:t xml:space="preserve">the Geographic </w:t>
      </w:r>
      <w:r w:rsidRPr="003A2A68">
        <w:rPr>
          <w:i/>
          <w:iCs/>
        </w:rPr>
        <w:t>Section in American History</w:t>
      </w:r>
      <w:r>
        <w:t xml:space="preserve"> (1891, Williamsburg University Press), and it has been argued ever since. Turner himself argued that it was rooted in the discrete settlement patterns of the American colonies – New England by the Puritans, New York by the Dutch, Philadelphia by the Quakers, Virginia by the Cavaliers, South Carolina by the Barbadians, and Appalachia by the Scots-Irish – </w:t>
      </w:r>
      <w:r w:rsidR="00961DF5">
        <w:t>and as an idea, it has had a deep influence in American history; despite this,</w:t>
      </w:r>
      <w:r>
        <w:t xml:space="preserve"> ever since</w:t>
      </w:r>
      <w:r w:rsidR="00961DF5">
        <w:t>,</w:t>
      </w:r>
      <w:r w:rsidR="00993506">
        <w:t xml:space="preserve"> it has been hotly debated by American historians. See </w:t>
      </w:r>
      <w:r w:rsidR="00961DF5">
        <w:t xml:space="preserve">Warden, Denis, </w:t>
      </w:r>
      <w:r w:rsidR="00961DF5" w:rsidRPr="00781B79">
        <w:rPr>
          <w:i/>
          <w:iCs/>
        </w:rPr>
        <w:t>Frederick Webster Turner and the Rhetorical Impact of the Sectional Thesis, 1891 to Today</w:t>
      </w:r>
      <w:r w:rsidR="00961DF5">
        <w:t xml:space="preserve"> (</w:t>
      </w:r>
      <w:r w:rsidR="00781B79">
        <w:t xml:space="preserve">2013, </w:t>
      </w:r>
      <w:r w:rsidR="00961DF5">
        <w:t xml:space="preserve">American Philosophical Society). </w:t>
      </w:r>
    </w:p>
  </w:endnote>
  <w:endnote w:id="39">
    <w:p w14:paraId="386A8EF4" w14:textId="0C044D87" w:rsidR="00D94B21" w:rsidRDefault="00D94B21" w:rsidP="00AF4CAA">
      <w:pPr>
        <w:pStyle w:val="refnormal"/>
      </w:pPr>
      <w:r>
        <w:rPr>
          <w:rStyle w:val="EndnoteReference"/>
        </w:rPr>
        <w:endnoteRef/>
      </w:r>
      <w:r>
        <w:t xml:space="preserve"> See Johnson, Zimri, </w:t>
      </w:r>
      <w:r w:rsidRPr="002B7929">
        <w:rPr>
          <w:i/>
          <w:iCs/>
        </w:rPr>
        <w:t>What’s in a name? African, Colored, and Other Terms in the American Republic, 1776-1840</w:t>
      </w:r>
      <w:r>
        <w:t xml:space="preserve"> (2013, Harvard Historical Studies).</w:t>
      </w:r>
    </w:p>
  </w:endnote>
  <w:endnote w:id="40">
    <w:p w14:paraId="164EAAC4" w14:textId="106C3078" w:rsidR="00660BAB" w:rsidRDefault="00660BAB" w:rsidP="00AF4CAA">
      <w:pPr>
        <w:pStyle w:val="refnormal"/>
      </w:pPr>
      <w:r>
        <w:rPr>
          <w:rStyle w:val="EndnoteReference"/>
        </w:rPr>
        <w:endnoteRef/>
      </w:r>
      <w:r>
        <w:t xml:space="preserve"> On one end is</w:t>
      </w:r>
      <w:r w:rsidRPr="00660BAB">
        <w:t xml:space="preserve"> </w:t>
      </w:r>
      <w:r>
        <w:t xml:space="preserve">Bland, </w:t>
      </w:r>
      <w:r w:rsidRPr="00280F9E">
        <w:rPr>
          <w:i/>
          <w:iCs/>
        </w:rPr>
        <w:t>Burr and Liberty</w:t>
      </w:r>
      <w:r>
        <w:rPr>
          <w:i/>
          <w:iCs/>
        </w:rPr>
        <w:t xml:space="preserve"> </w:t>
      </w:r>
      <w:r>
        <w:t xml:space="preserve">(2021), which argues it was rooted in fear that the </w:t>
      </w:r>
      <w:proofErr w:type="gramStart"/>
      <w:r>
        <w:t>increasingly-prominent</w:t>
      </w:r>
      <w:proofErr w:type="gramEnd"/>
      <w:r>
        <w:t xml:space="preserve"> United Irishmen diaspora, and its leanings towards antislavery, would lead to the Democratic Party being an agent of antislavery. On the other is Pennington, Robert, </w:t>
      </w:r>
      <w:r>
        <w:rPr>
          <w:i/>
          <w:iCs/>
        </w:rPr>
        <w:t>Thomas Jefferson: The Master of Monticello</w:t>
      </w:r>
      <w:r>
        <w:t xml:space="preserve"> (Smithsonian History Press, 1991), which argues it played a much more role and that most of it had to do with a dissatisfaction with the increasingly democratic tone of American politics, which Burr spearheaded, and the fear that it would lead to a demagogic tyranny. </w:t>
      </w:r>
    </w:p>
  </w:endnote>
  <w:endnote w:id="41">
    <w:p w14:paraId="47692237" w14:textId="0BC7E60C" w:rsidR="008C1E96" w:rsidRPr="008C1E96" w:rsidRDefault="008C1E96" w:rsidP="00AF4CAA">
      <w:pPr>
        <w:pStyle w:val="refnormal"/>
      </w:pPr>
      <w:r>
        <w:rPr>
          <w:rStyle w:val="EndnoteReference"/>
        </w:rPr>
        <w:endnoteRef/>
      </w:r>
      <w:r>
        <w:t xml:space="preserve"> The term “Planter Ascendancy”, most historians agree, came from the United Irish diaspora. Fleeing as they were the suppression of the Great Irish Rebellion by an alliance of British authorities and the native Protestant Ascendancy, they compared the planter aristocracy of the South, and the extreme amounts of influence they had, to their own experience under the ascendancy of a small Anglican elite. See </w:t>
      </w:r>
      <w:r w:rsidRPr="00923308">
        <w:t xml:space="preserve">Fitzgerald, </w:t>
      </w:r>
      <w:r w:rsidRPr="0025493C">
        <w:rPr>
          <w:i/>
          <w:iCs/>
        </w:rPr>
        <w:t>The Harp and Stars</w:t>
      </w:r>
      <w:r>
        <w:rPr>
          <w:i/>
          <w:iCs/>
        </w:rPr>
        <w:t xml:space="preserve"> </w:t>
      </w:r>
      <w:r>
        <w:t>(2003)</w:t>
      </w:r>
      <w:r w:rsidR="006015B2">
        <w:t xml:space="preserve">. </w:t>
      </w:r>
    </w:p>
  </w:endnote>
  <w:endnote w:id="42">
    <w:p w14:paraId="6C0FCBAD" w14:textId="43D98677" w:rsidR="00DA5A51" w:rsidRDefault="00DA5A51" w:rsidP="00AF4CAA">
      <w:pPr>
        <w:pStyle w:val="refnormal"/>
      </w:pPr>
      <w:r>
        <w:rPr>
          <w:rStyle w:val="EndnoteReference"/>
        </w:rPr>
        <w:endnoteRef/>
      </w:r>
      <w:r>
        <w:t xml:space="preserve"> Newton, Charles. </w:t>
      </w:r>
      <w:r w:rsidRPr="00DA5A51">
        <w:t>"</w:t>
      </w:r>
      <w:r>
        <w:t>The Domestic Department: Its Founding and Early History</w:t>
      </w:r>
      <w:r w:rsidRPr="00DA5A51">
        <w:t>"</w:t>
      </w:r>
      <w:r>
        <w:t>. (</w:t>
      </w:r>
      <w:r w:rsidRPr="00DA5A51">
        <w:t xml:space="preserve">Smithsonian Institution Journal of History No. </w:t>
      </w:r>
      <w:r>
        <w:t>34</w:t>
      </w:r>
      <w:r w:rsidRPr="00DA5A51">
        <w:t>.</w:t>
      </w:r>
      <w:r>
        <w:t>, 2008).</w:t>
      </w:r>
    </w:p>
  </w:endnote>
  <w:endnote w:id="43">
    <w:p w14:paraId="19FCF5FE" w14:textId="4E2A210D" w:rsidR="00175FF4" w:rsidRDefault="00175FF4" w:rsidP="00AF4CAA">
      <w:pPr>
        <w:pStyle w:val="refnormal"/>
      </w:pPr>
      <w:r>
        <w:rPr>
          <w:rStyle w:val="EndnoteReference"/>
        </w:rPr>
        <w:endnoteRef/>
      </w:r>
      <w:r>
        <w:t xml:space="preserve"> </w:t>
      </w:r>
      <w:r w:rsidRPr="00175FF4">
        <w:t>Sullivan, Peter</w:t>
      </w:r>
      <w:r>
        <w:t>.</w:t>
      </w:r>
      <w:r w:rsidRPr="00175FF4">
        <w:t xml:space="preserve"> </w:t>
      </w:r>
      <w:r w:rsidRPr="0060424E">
        <w:rPr>
          <w:i/>
          <w:iCs/>
        </w:rPr>
        <w:t>The Jeffersonian Republic: National Debt, Expansion, and Foreign Relations</w:t>
      </w:r>
      <w:r w:rsidRPr="00175FF4">
        <w:t xml:space="preserve">. </w:t>
      </w:r>
      <w:r>
        <w:t>(Ogden</w:t>
      </w:r>
      <w:r w:rsidRPr="00175FF4">
        <w:t xml:space="preserve"> University Press, 1987</w:t>
      </w:r>
      <w:r>
        <w:t xml:space="preserve">). </w:t>
      </w:r>
    </w:p>
  </w:endnote>
  <w:endnote w:id="44">
    <w:p w14:paraId="02724BD7" w14:textId="5BC5AA7F" w:rsidR="009747C9" w:rsidRDefault="009747C9" w:rsidP="00AF4CAA">
      <w:pPr>
        <w:pStyle w:val="refnormal"/>
      </w:pPr>
      <w:r>
        <w:rPr>
          <w:rStyle w:val="EndnoteReference"/>
        </w:rPr>
        <w:endnoteRef/>
      </w:r>
      <w:r>
        <w:t xml:space="preserve"> This speculation boom was mostly the result of the Year Without a Summer of 1816, which in turn led to </w:t>
      </w:r>
      <w:r w:rsidR="002C7CA7">
        <w:t xml:space="preserve">a massive flow of </w:t>
      </w:r>
      <w:proofErr w:type="gramStart"/>
      <w:r w:rsidR="002C7CA7">
        <w:t>settlers</w:t>
      </w:r>
      <w:proofErr w:type="gramEnd"/>
      <w:r w:rsidR="002C7CA7">
        <w:t xml:space="preserve"> westwards. This in turn resulted in booming land sales, as well as booming sales in goods to the frontier; this in turn resulted in several banking institutions emerging to back it, which gave easy credit and, in the form of their notes, currency. See Brickley, F.M. </w:t>
      </w:r>
      <w:r w:rsidR="002C7CA7">
        <w:rPr>
          <w:i/>
          <w:iCs/>
        </w:rPr>
        <w:t>Banking, Booms, and Busts:</w:t>
      </w:r>
      <w:r w:rsidR="002C7CA7" w:rsidRPr="00076FA5">
        <w:rPr>
          <w:i/>
          <w:iCs/>
        </w:rPr>
        <w:t xml:space="preserve"> </w:t>
      </w:r>
      <w:r w:rsidR="002C7CA7">
        <w:rPr>
          <w:i/>
          <w:iCs/>
        </w:rPr>
        <w:t>American Finances in the Antebellum Years</w:t>
      </w:r>
      <w:r w:rsidR="002C7CA7">
        <w:t xml:space="preserve"> (2023, Library of Alexandria Publishing, Anacostia)</w:t>
      </w:r>
      <w:r w:rsidR="00AD64B0">
        <w:t xml:space="preserve">. </w:t>
      </w:r>
    </w:p>
  </w:endnote>
  <w:endnote w:id="45">
    <w:p w14:paraId="3EB80932" w14:textId="293D2DC2" w:rsidR="00D824C3" w:rsidRDefault="00D824C3" w:rsidP="00AF4CAA">
      <w:pPr>
        <w:pStyle w:val="refnormal"/>
      </w:pPr>
      <w:r>
        <w:rPr>
          <w:rStyle w:val="EndnoteReference"/>
        </w:rPr>
        <w:endnoteRef/>
      </w:r>
      <w:r>
        <w:t xml:space="preserve"> This is not entirely true: Suffolk Bank in New England played many of the same economic roles today associated with central banks, and so too did the Fiscal Bank of Washington in Maryland and eastern Virginia. </w:t>
      </w:r>
      <w:r w:rsidR="00E554D1">
        <w:t xml:space="preserve">Those areas saw less economic calamity during the Panic of 1819. </w:t>
      </w:r>
      <w:r>
        <w:t xml:space="preserve">See ibid., pp. 54-8. </w:t>
      </w:r>
    </w:p>
  </w:endnote>
  <w:endnote w:id="46">
    <w:p w14:paraId="4BAD8414" w14:textId="382D5191" w:rsidR="00D955BB" w:rsidRDefault="00D955BB" w:rsidP="00AF4CAA">
      <w:pPr>
        <w:pStyle w:val="refnormal"/>
      </w:pPr>
      <w:r>
        <w:rPr>
          <w:rStyle w:val="EndnoteReference"/>
        </w:rPr>
        <w:endnoteRef/>
      </w:r>
      <w:r>
        <w:t xml:space="preserve"> An additional reason for the reduction of slave prices was the result of a cotton glut, the direct result of the internal improvements of the era allowing for easier export; this made many cotton plantations simply unprofitable, and they sold off large sections of their plantation labor. See ibid., pp. 63-5.</w:t>
      </w:r>
    </w:p>
  </w:endnote>
  <w:endnote w:id="47">
    <w:p w14:paraId="280B1584" w14:textId="74AC6222" w:rsidR="000E1DD4" w:rsidRDefault="000E1DD4" w:rsidP="00AF4CAA">
      <w:pPr>
        <w:pStyle w:val="refnormal"/>
      </w:pPr>
      <w:r>
        <w:rPr>
          <w:rStyle w:val="EndnoteReference"/>
        </w:rPr>
        <w:endnoteRef/>
      </w:r>
      <w:r>
        <w:t xml:space="preserve"> </w:t>
      </w:r>
      <w:r w:rsidRPr="000E1DD4">
        <w:t xml:space="preserve">Freeman, Olivia. </w:t>
      </w:r>
      <w:r w:rsidRPr="0060424E">
        <w:rPr>
          <w:i/>
          <w:iCs/>
        </w:rPr>
        <w:t>The Broken States: A Comparative Study of the Illinois and Missouri Crises</w:t>
      </w:r>
      <w:r w:rsidRPr="000E1DD4">
        <w:t xml:space="preserve">. </w:t>
      </w:r>
      <w:r>
        <w:t>(</w:t>
      </w:r>
      <w:r w:rsidRPr="000E1DD4">
        <w:t>Yale University Press</w:t>
      </w:r>
      <w:r>
        <w:t>, 2020)</w:t>
      </w:r>
      <w:r w:rsidRPr="000E1DD4">
        <w:t>.</w:t>
      </w:r>
    </w:p>
  </w:endnote>
  <w:endnote w:id="48">
    <w:p w14:paraId="7B736051" w14:textId="42FFAA2F" w:rsidR="00F56220" w:rsidRDefault="00F56220">
      <w:pPr>
        <w:pStyle w:val="EndnoteText"/>
      </w:pPr>
      <w:r>
        <w:rPr>
          <w:rStyle w:val="EndnoteReference"/>
        </w:rPr>
        <w:endnoteRef/>
      </w:r>
      <w:r>
        <w:t xml:space="preserve"> Luisiana and the </w:t>
      </w:r>
      <w:proofErr w:type="spellStart"/>
      <w:r>
        <w:t>Floridas</w:t>
      </w:r>
      <w:proofErr w:type="spellEnd"/>
      <w:r>
        <w:t xml:space="preserve"> were part of an expansive frontier in the north of Spanish America, including </w:t>
      </w:r>
      <w:r w:rsidR="00FB36AE">
        <w:t xml:space="preserve">the entire territory of modern-day Buenaventura. </w:t>
      </w:r>
      <w:r w:rsidR="002F7117">
        <w:t xml:space="preserve">It was so isolated from the rest of the colonial empire that it might as well be part of the Moon, and the </w:t>
      </w:r>
      <w:r w:rsidR="00855B3B">
        <w:t>ensuing</w:t>
      </w:r>
      <w:r w:rsidR="00AE7016">
        <w:t xml:space="preserve"> </w:t>
      </w:r>
      <w:r w:rsidR="002F7117">
        <w:t>frontier culture</w:t>
      </w:r>
      <w:r w:rsidR="00855B3B">
        <w:t xml:space="preserve">, </w:t>
      </w:r>
      <w:r w:rsidR="00AE7016">
        <w:t>most historians agree</w:t>
      </w:r>
      <w:r w:rsidR="00855B3B">
        <w:t>,</w:t>
      </w:r>
      <w:r w:rsidR="00D124FB">
        <w:t xml:space="preserve"> </w:t>
      </w:r>
      <w:r w:rsidR="00AA24E6">
        <w:t xml:space="preserve">comes from </w:t>
      </w:r>
      <w:r w:rsidR="00855B3B">
        <w:t>this very isolation</w:t>
      </w:r>
      <w:r w:rsidR="006B1801">
        <w:t xml:space="preserve"> and has forever affected the traditions of this region</w:t>
      </w:r>
      <w:r w:rsidR="00855B3B">
        <w:t xml:space="preserve">. </w:t>
      </w:r>
      <w:r w:rsidR="006B1801">
        <w:t xml:space="preserve">See </w:t>
      </w:r>
      <w:r w:rsidR="00115A03">
        <w:t>O’Donnell, Federico</w:t>
      </w:r>
      <w:r w:rsidR="00765625">
        <w:t xml:space="preserve">, </w:t>
      </w:r>
      <w:r w:rsidR="00765625" w:rsidRPr="00600119">
        <w:rPr>
          <w:i/>
          <w:iCs/>
        </w:rPr>
        <w:t xml:space="preserve">On the Importance of the Frontiers in </w:t>
      </w:r>
      <w:proofErr w:type="spellStart"/>
      <w:r w:rsidR="00765625" w:rsidRPr="00600119">
        <w:rPr>
          <w:i/>
          <w:iCs/>
        </w:rPr>
        <w:t>Buenaventuran</w:t>
      </w:r>
      <w:proofErr w:type="spellEnd"/>
      <w:r w:rsidR="00765625" w:rsidRPr="00600119">
        <w:rPr>
          <w:i/>
          <w:iCs/>
        </w:rPr>
        <w:t xml:space="preserve"> History</w:t>
      </w:r>
      <w:r w:rsidR="00765625">
        <w:t xml:space="preserve"> (</w:t>
      </w:r>
      <w:r w:rsidR="00765625" w:rsidRPr="00765625">
        <w:t>Republican University of San Francisco</w:t>
      </w:r>
      <w:r w:rsidR="00765625">
        <w:t xml:space="preserve">, 1908). </w:t>
      </w:r>
    </w:p>
  </w:endnote>
  <w:endnote w:id="49">
    <w:p w14:paraId="3774B960" w14:textId="2410A4A4" w:rsidR="00E029D6" w:rsidRDefault="00E029D6" w:rsidP="00AF4CAA">
      <w:pPr>
        <w:pStyle w:val="refnormal"/>
      </w:pPr>
      <w:r>
        <w:rPr>
          <w:rStyle w:val="EndnoteReference"/>
        </w:rPr>
        <w:endnoteRef/>
      </w:r>
      <w:r>
        <w:t xml:space="preserve"> This is not entirely true; as part of the final peace between Spain and the British Isles, Lord Selkirk successfully campaigned for recognizing the forty-seventh latitude as the boundary between Spanish Luisiana and British territory. </w:t>
      </w:r>
      <w:r w:rsidR="00D76D10">
        <w:t xml:space="preserve">Additionally, peace between the British and Spanish also meant British abandonment of the so-called State of Muskogee, a Creek state in the </w:t>
      </w:r>
      <w:proofErr w:type="spellStart"/>
      <w:r w:rsidR="00D76D10">
        <w:t>Floridas</w:t>
      </w:r>
      <w:proofErr w:type="spellEnd"/>
      <w:r w:rsidR="00D76D10">
        <w:t xml:space="preserve"> led by the British adventurer William Augustus Bowles. </w:t>
      </w:r>
    </w:p>
  </w:endnote>
  <w:endnote w:id="50">
    <w:p w14:paraId="702897D2" w14:textId="03E5B506" w:rsidR="00F75668" w:rsidRDefault="00F75668" w:rsidP="00AF4CAA">
      <w:pPr>
        <w:pStyle w:val="refnormal"/>
      </w:pPr>
      <w:r>
        <w:rPr>
          <w:rStyle w:val="EndnoteReference"/>
        </w:rPr>
        <w:endnoteRef/>
      </w:r>
      <w:r>
        <w:t xml:space="preserve"> The Red River Colony was a project organized by Scottish aristocrat Lord Selkirk to alleviate poverty in his native Scotland. Several waves of settlers beginning in 1807 populated the region, and its settlements grew towards the Missouri River. They also became joined by Irish settlers, and together this became the founding population of Assiniboia. See Callaghan J.M., </w:t>
      </w:r>
      <w:r w:rsidRPr="00F75668">
        <w:rPr>
          <w:i/>
          <w:iCs/>
        </w:rPr>
        <w:t xml:space="preserve">The </w:t>
      </w:r>
      <w:r w:rsidR="00067EF5">
        <w:rPr>
          <w:i/>
          <w:iCs/>
        </w:rPr>
        <w:t>Founder</w:t>
      </w:r>
      <w:r w:rsidRPr="00F75668">
        <w:rPr>
          <w:i/>
          <w:iCs/>
        </w:rPr>
        <w:t>: How a Scottish Dilettante Created Assiniboia</w:t>
      </w:r>
      <w:r>
        <w:t xml:space="preserve"> (2004, University of Dunedin Press). </w:t>
      </w:r>
    </w:p>
  </w:endnote>
  <w:endnote w:id="51">
    <w:p w14:paraId="40FB8742" w14:textId="47745B64" w:rsidR="00175FF4" w:rsidRDefault="00175FF4" w:rsidP="00AF4CAA">
      <w:pPr>
        <w:pStyle w:val="refnormal"/>
      </w:pPr>
      <w:r>
        <w:rPr>
          <w:rStyle w:val="EndnoteReference"/>
        </w:rPr>
        <w:endnoteRef/>
      </w:r>
      <w:r>
        <w:t xml:space="preserve"> </w:t>
      </w:r>
      <w:r w:rsidRPr="00175FF4">
        <w:t>Murphy, William</w:t>
      </w:r>
      <w:r>
        <w:t>.</w:t>
      </w:r>
      <w:r w:rsidRPr="00175FF4">
        <w:t xml:space="preserve"> </w:t>
      </w:r>
      <w:r w:rsidRPr="0060424E">
        <w:rPr>
          <w:i/>
          <w:iCs/>
        </w:rPr>
        <w:t>Empire at the Crossroads: Spanish America and the United States in the Early 19th Century</w:t>
      </w:r>
      <w:r w:rsidRPr="00175FF4">
        <w:t xml:space="preserve">. </w:t>
      </w:r>
      <w:r>
        <w:t>(</w:t>
      </w:r>
      <w:r w:rsidRPr="00175FF4">
        <w:t xml:space="preserve">University of </w:t>
      </w:r>
      <w:r>
        <w:t>Garibaldi</w:t>
      </w:r>
      <w:r w:rsidRPr="00175FF4">
        <w:t xml:space="preserve"> Press, 2001</w:t>
      </w:r>
      <w:r>
        <w:t xml:space="preserve">). </w:t>
      </w:r>
    </w:p>
  </w:endnote>
  <w:endnote w:id="52">
    <w:p w14:paraId="7E7AC364" w14:textId="7AA857E4" w:rsidR="00CE6DC6" w:rsidRDefault="00CE6DC6" w:rsidP="00AF4CAA">
      <w:pPr>
        <w:pStyle w:val="refnormal"/>
      </w:pPr>
      <w:r>
        <w:rPr>
          <w:rStyle w:val="EndnoteReference"/>
        </w:rPr>
        <w:endnoteRef/>
      </w:r>
      <w:r>
        <w:t xml:space="preserve"> </w:t>
      </w:r>
      <w:r w:rsidRPr="00CE6DC6">
        <w:t xml:space="preserve">Thompson, Edwin. "Revolution by Ballot: The Legacy of 1800 in American Politics." </w:t>
      </w:r>
      <w:r>
        <w:t>(</w:t>
      </w:r>
      <w:r w:rsidRPr="00CE6DC6">
        <w:t>1897</w:t>
      </w:r>
      <w:r>
        <w:t xml:space="preserve">, </w:t>
      </w:r>
      <w:r w:rsidRPr="00CE6DC6">
        <w:t>Columbia University Press</w:t>
      </w:r>
      <w:r>
        <w:t>)</w:t>
      </w:r>
      <w:r w:rsidRPr="00CE6DC6">
        <w:t>.</w:t>
      </w:r>
    </w:p>
  </w:endnote>
  <w:endnote w:id="53">
    <w:p w14:paraId="3FDE14ED" w14:textId="2BDBCE93" w:rsidR="009D10AC" w:rsidRDefault="009D10AC" w:rsidP="00AF4CAA">
      <w:pPr>
        <w:pStyle w:val="refnormal"/>
      </w:pPr>
      <w:r>
        <w:rPr>
          <w:rStyle w:val="EndnoteReference"/>
        </w:rPr>
        <w:endnoteRef/>
      </w:r>
      <w:r>
        <w:t xml:space="preserve"> See Pennington, </w:t>
      </w:r>
      <w:r>
        <w:rPr>
          <w:i/>
          <w:iCs/>
        </w:rPr>
        <w:t>The Master of Monticello</w:t>
      </w:r>
      <w:r>
        <w:t xml:space="preserve"> (1991). </w:t>
      </w:r>
    </w:p>
  </w:endnote>
  <w:endnote w:id="54">
    <w:p w14:paraId="583060F1" w14:textId="71FEA309" w:rsidR="00912C90" w:rsidRDefault="00912C90"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55">
    <w:p w14:paraId="57C8F5C7" w14:textId="02A788C5" w:rsidR="009C3A4B" w:rsidRDefault="009C3A4B" w:rsidP="00AF4CAA">
      <w:pPr>
        <w:pStyle w:val="refnormal"/>
      </w:pPr>
      <w:r>
        <w:rPr>
          <w:rStyle w:val="EndnoteReference"/>
        </w:rPr>
        <w:endnoteRef/>
      </w:r>
      <w:r>
        <w:t xml:space="preserve"> See Bland, </w:t>
      </w:r>
      <w:r w:rsidRPr="00280F9E">
        <w:rPr>
          <w:i/>
          <w:iCs/>
        </w:rPr>
        <w:t>Burr and Liberty</w:t>
      </w:r>
      <w:r>
        <w:rPr>
          <w:i/>
          <w:iCs/>
        </w:rPr>
        <w:t xml:space="preserve"> </w:t>
      </w:r>
      <w:r>
        <w:t xml:space="preserve">(2021). </w:t>
      </w:r>
    </w:p>
  </w:endnote>
  <w:endnote w:id="56">
    <w:p w14:paraId="39AE1C76" w14:textId="4071B542" w:rsidR="00B71799" w:rsidRDefault="00B71799" w:rsidP="00AF4CAA">
      <w:pPr>
        <w:pStyle w:val="refnormal"/>
      </w:pPr>
      <w:r>
        <w:rPr>
          <w:rStyle w:val="EndnoteReference"/>
        </w:rPr>
        <w:endnoteRef/>
      </w:r>
      <w:r>
        <w:t xml:space="preserve"> </w:t>
      </w:r>
      <w:r w:rsidR="001B1AA9">
        <w:t>The city was named after Frederick Guelph, the erstwhile Duke of York in 1793. It</w:t>
      </w:r>
      <w:r w:rsidR="00406182">
        <w:t xml:space="preserve"> was only renamed Toronto in 1828, after the Popular Revolution saw </w:t>
      </w:r>
      <w:r w:rsidR="003E3C40">
        <w:t>Frederick, by then the King of Great Britain</w:t>
      </w:r>
      <w:r w:rsidR="00406182">
        <w:t>, overthrown</w:t>
      </w:r>
      <w:r w:rsidR="00196ECA">
        <w:t xml:space="preserve"> and the monarchy abolished</w:t>
      </w:r>
      <w:r w:rsidR="00CD4CA3">
        <w:t xml:space="preserve">. </w:t>
      </w:r>
      <w:r w:rsidR="00BD71D5">
        <w:t xml:space="preserve">See </w:t>
      </w:r>
      <w:r w:rsidR="00885C79">
        <w:t xml:space="preserve">Lawson, Hugh, </w:t>
      </w:r>
      <w:r w:rsidR="00A94979" w:rsidRPr="004271AB">
        <w:rPr>
          <w:i/>
          <w:iCs/>
        </w:rPr>
        <w:t xml:space="preserve">The Adolescent Nation: Canada, </w:t>
      </w:r>
      <w:r w:rsidR="004271AB" w:rsidRPr="004271AB">
        <w:rPr>
          <w:i/>
          <w:iCs/>
        </w:rPr>
        <w:t>1828-1890</w:t>
      </w:r>
      <w:r w:rsidR="004271AB">
        <w:t xml:space="preserve"> (2013, Toronto University Press). </w:t>
      </w:r>
    </w:p>
  </w:endnote>
  <w:endnote w:id="57">
    <w:p w14:paraId="19A54DFE" w14:textId="4E547439" w:rsidR="00661DB1" w:rsidRDefault="00661DB1" w:rsidP="00AF4CAA">
      <w:pPr>
        <w:pStyle w:val="refnormal"/>
      </w:pPr>
      <w:r>
        <w:rPr>
          <w:rStyle w:val="EndnoteReference"/>
        </w:rPr>
        <w:endnoteRef/>
      </w:r>
      <w:r>
        <w:t xml:space="preserve"> Congress went so far as to debate internal taxes on stamps and paper, but such taxes resembled the grievances the American revolutionaries had </w:t>
      </w:r>
      <w:r w:rsidR="00C021C8">
        <w:t xml:space="preserve">held against the Guelphs too greatly to </w:t>
      </w:r>
      <w:r w:rsidR="00124FF6">
        <w:t xml:space="preserve">pass. </w:t>
      </w:r>
      <w:r w:rsidR="005E0406">
        <w:t xml:space="preserve">Despite some controversy over the liquor taxes </w:t>
      </w:r>
      <w:r w:rsidR="00FD798E">
        <w:t>resembling</w:t>
      </w:r>
      <w:r w:rsidR="005E0406">
        <w:t xml:space="preserve"> the taxes that caused the Whiskey </w:t>
      </w:r>
      <w:proofErr w:type="gramStart"/>
      <w:r w:rsidR="005E0406">
        <w:t>Rebellion,</w:t>
      </w:r>
      <w:proofErr w:type="gramEnd"/>
      <w:r w:rsidR="005E0406">
        <w:t xml:space="preserve"> however, necessity m</w:t>
      </w:r>
      <w:r w:rsidR="00FD798E">
        <w:t>eant it passed Congress, and vice taxes became an important part of the national budget</w:t>
      </w:r>
      <w:r w:rsidR="009E08DF">
        <w:t xml:space="preserve">. </w:t>
      </w:r>
    </w:p>
  </w:endnote>
  <w:endnote w:id="58">
    <w:p w14:paraId="45E88A1B" w14:textId="25E1D94F" w:rsidR="00C119FF" w:rsidRDefault="00C119FF">
      <w:pPr>
        <w:pStyle w:val="EndnoteText"/>
      </w:pPr>
      <w:r>
        <w:rPr>
          <w:rStyle w:val="EndnoteReference"/>
        </w:rPr>
        <w:endnoteRef/>
      </w:r>
      <w:r>
        <w:t xml:space="preserve"> </w:t>
      </w:r>
      <w:proofErr w:type="spellStart"/>
      <w:r w:rsidR="0043794E">
        <w:t>Imamolu</w:t>
      </w:r>
      <w:proofErr w:type="spellEnd"/>
      <w:r>
        <w:t>, Ismail</w:t>
      </w:r>
      <w:r w:rsidR="0043794E">
        <w:t xml:space="preserve">. </w:t>
      </w:r>
      <w:r w:rsidR="00D16A28" w:rsidRPr="00B811FC">
        <w:rPr>
          <w:i/>
          <w:iCs/>
        </w:rPr>
        <w:t>For Prosperity</w:t>
      </w:r>
      <w:r w:rsidR="004C690E" w:rsidRPr="00B811FC">
        <w:rPr>
          <w:i/>
          <w:iCs/>
        </w:rPr>
        <w:t xml:space="preserve">: The Slow March of Industry in the </w:t>
      </w:r>
      <w:r w:rsidR="00B811FC" w:rsidRPr="00B811FC">
        <w:rPr>
          <w:i/>
          <w:iCs/>
        </w:rPr>
        <w:t>Newest World</w:t>
      </w:r>
      <w:r w:rsidR="00B811FC">
        <w:t xml:space="preserve"> (1994, </w:t>
      </w:r>
      <w:proofErr w:type="spellStart"/>
      <w:r w:rsidR="002E0201">
        <w:t>Darfultun</w:t>
      </w:r>
      <w:proofErr w:type="spellEnd"/>
      <w:r w:rsidR="002E0201">
        <w:t xml:space="preserve"> Press). </w:t>
      </w:r>
    </w:p>
  </w:endnote>
  <w:endnote w:id="59">
    <w:p w14:paraId="6548A75D" w14:textId="156320DD" w:rsidR="00951027" w:rsidRDefault="00951027">
      <w:pPr>
        <w:pStyle w:val="EndnoteText"/>
      </w:pPr>
      <w:r>
        <w:rPr>
          <w:rStyle w:val="EndnoteReference"/>
        </w:rPr>
        <w:endnoteRef/>
      </w:r>
      <w:r>
        <w:t xml:space="preserve"> </w:t>
      </w:r>
      <w:r w:rsidR="00CC50DD">
        <w:t>Fonteneau</w:t>
      </w:r>
      <w:r>
        <w:t xml:space="preserve">, </w:t>
      </w:r>
      <w:r w:rsidR="00CC50DD">
        <w:t>Ximena</w:t>
      </w:r>
      <w:r>
        <w:t xml:space="preserve">. </w:t>
      </w:r>
      <w:r w:rsidR="00CC50DD">
        <w:t xml:space="preserve">The Raccoon Men: </w:t>
      </w:r>
      <w:r w:rsidR="00CC50DD" w:rsidRPr="007D3F1B">
        <w:rPr>
          <w:i/>
          <w:iCs/>
        </w:rPr>
        <w:t>The Militia Myth and the Luisiana War, in the Light of American History, 1828 to Present</w:t>
      </w:r>
      <w:r w:rsidR="00CC50DD">
        <w:t xml:space="preserve"> (2019, Republican University of New Orleans). </w:t>
      </w:r>
    </w:p>
  </w:endnote>
  <w:endnote w:id="60">
    <w:p w14:paraId="4E9713F7" w14:textId="356BCC50" w:rsidR="005D75D0" w:rsidRDefault="005D75D0" w:rsidP="00AF4CAA">
      <w:pPr>
        <w:pStyle w:val="refnormal"/>
      </w:pPr>
      <w:r>
        <w:rPr>
          <w:rStyle w:val="EndnoteReference"/>
        </w:rPr>
        <w:endnoteRef/>
      </w:r>
      <w:r>
        <w:t xml:space="preserve"> See Pennington, </w:t>
      </w:r>
      <w:r w:rsidRPr="0060424E">
        <w:rPr>
          <w:i/>
          <w:iCs/>
        </w:rPr>
        <w:t>Alexander Hamilton: Anatomy of a Traitor</w:t>
      </w:r>
      <w:r>
        <w:t xml:space="preserve"> (1988). </w:t>
      </w:r>
    </w:p>
  </w:endnote>
  <w:endnote w:id="61">
    <w:p w14:paraId="77FFDA63" w14:textId="63BC0B95" w:rsidR="00F05C71" w:rsidRDefault="00F05C71" w:rsidP="00AF4CAA">
      <w:pPr>
        <w:pStyle w:val="refnormal"/>
      </w:pPr>
      <w:r>
        <w:rPr>
          <w:rStyle w:val="EndnoteReference"/>
        </w:rPr>
        <w:endnoteRef/>
      </w:r>
      <w:r>
        <w:t xml:space="preserve"> There would be something of a dispute over whether Harrison was the President, or merely the Vice President acting in the capacity of the presidency. However, by being sworn in he lay claim to the full power of the presidency, and he </w:t>
      </w:r>
      <w:r w:rsidR="00FA30D7">
        <w:t xml:space="preserve">went so far as to return mail written to him as the “Vice President” or “Acting President” back to the sender. Given the wartime situation, it did not take long for him to establish this as a precedent. </w:t>
      </w:r>
    </w:p>
  </w:endnote>
  <w:endnote w:id="62">
    <w:p w14:paraId="1D98A551" w14:textId="3320C2BA" w:rsidR="005C7DA4" w:rsidRDefault="005C7DA4">
      <w:pPr>
        <w:pStyle w:val="EndnoteText"/>
      </w:pPr>
      <w:r>
        <w:rPr>
          <w:rStyle w:val="EndnoteReference"/>
        </w:rPr>
        <w:endnoteRef/>
      </w:r>
      <w:r>
        <w:t xml:space="preserve"> </w:t>
      </w:r>
      <w:r w:rsidRPr="006C052D">
        <w:rPr>
          <w:i/>
          <w:iCs/>
        </w:rPr>
        <w:t>Report of the</w:t>
      </w:r>
      <w:r w:rsidR="006C052D" w:rsidRPr="006C052D">
        <w:rPr>
          <w:i/>
          <w:iCs/>
        </w:rPr>
        <w:t xml:space="preserve"> Select Committee to Investigate the Late Conflagration of the President’s Mansion</w:t>
      </w:r>
      <w:r w:rsidR="006C052D">
        <w:t xml:space="preserve"> (1827, Congressional Reports). More recently, historians have investigated the subject, and they may be best summed up by the conclusion of Charles Wilkins. “Whatever the precise origins of the fire that killed Aaron Burr, it seems likely it began in the President’s Office, when Burr was the only man inside. There must have been a</w:t>
      </w:r>
      <w:r w:rsidR="00F578B0">
        <w:t xml:space="preserve">n accident, which ignited the President’s Office that consumed the rest of the mansion in short order”. Wilkins, Charles, </w:t>
      </w:r>
      <w:r w:rsidR="00F578B0" w:rsidRPr="00F578B0">
        <w:rPr>
          <w:i/>
          <w:iCs/>
        </w:rPr>
        <w:t>The Death of Aaron Burr: An Analysis of its Causes</w:t>
      </w:r>
      <w:r w:rsidR="00F578B0">
        <w:t xml:space="preserve"> (2001, </w:t>
      </w:r>
      <w:r w:rsidR="00F578B0" w:rsidRPr="00F578B0">
        <w:t>Smithsonian History Press</w:t>
      </w:r>
      <w:r w:rsidR="00F578B0">
        <w:t xml:space="preserve">). </w:t>
      </w:r>
    </w:p>
  </w:endnote>
  <w:endnote w:id="63">
    <w:p w14:paraId="4AEDE564" w14:textId="4A09FAAF" w:rsidR="00775194" w:rsidRDefault="00775194" w:rsidP="00AF4CAA">
      <w:pPr>
        <w:pStyle w:val="refnormal"/>
      </w:pPr>
      <w:r>
        <w:rPr>
          <w:rStyle w:val="EndnoteReference"/>
        </w:rPr>
        <w:endnoteRef/>
      </w:r>
      <w:r>
        <w:t xml:space="preserve"> The origin of the fire that killed Aaron Burr remains a topic of</w:t>
      </w:r>
      <w:r w:rsidR="00AC4035">
        <w:t xml:space="preserve"> speculation; conspiracy theories around it have not only fixated around the Hamilton conspiracy, but also from the Planter Ascendancy, which regarded Burr as an abolitionist; or the Spanish, which regarded him as the architect of the Luisiana War; or the British Guelphs, who regarded his patronage of Irish immigrants as dangerous</w:t>
      </w:r>
      <w:r w:rsidR="009060D7">
        <w:t>; or even some alliance of some or all of these elements</w:t>
      </w:r>
      <w:r w:rsidR="00DF6FF5">
        <w:t>. These theories, most historians agree, are unjustified</w:t>
      </w:r>
      <w:r w:rsidR="00AC4035">
        <w:t>.</w:t>
      </w:r>
      <w:r>
        <w:t xml:space="preserve"> See Bland, </w:t>
      </w:r>
      <w:r w:rsidRPr="00280F9E">
        <w:rPr>
          <w:i/>
          <w:iCs/>
        </w:rPr>
        <w:t>Burr and Liberty</w:t>
      </w:r>
      <w:r>
        <w:rPr>
          <w:i/>
          <w:iCs/>
        </w:rPr>
        <w:t xml:space="preserve"> </w:t>
      </w:r>
      <w:r>
        <w:t>(2021).</w:t>
      </w:r>
    </w:p>
  </w:endnote>
  <w:endnote w:id="64">
    <w:p w14:paraId="6CFB9BA7" w14:textId="46D8B50E" w:rsidR="0091066D" w:rsidRDefault="0091066D" w:rsidP="00AF4CAA">
      <w:pPr>
        <w:pStyle w:val="refnormal"/>
      </w:pPr>
      <w:r>
        <w:rPr>
          <w:rStyle w:val="EndnoteReference"/>
        </w:rPr>
        <w:endnoteRef/>
      </w:r>
      <w:r>
        <w:t xml:space="preserve"> Belknap, George, </w:t>
      </w:r>
      <w:r w:rsidRPr="0091066D">
        <w:rPr>
          <w:i/>
          <w:iCs/>
        </w:rPr>
        <w:t>The Expanse of the Sword: The Luisiana War, 1825-8</w:t>
      </w:r>
      <w:r>
        <w:t xml:space="preserve"> (2000, University of Wilmington). </w:t>
      </w:r>
    </w:p>
  </w:endnote>
  <w:endnote w:id="65">
    <w:p w14:paraId="227F82AE" w14:textId="6724B38F" w:rsidR="00C9681B" w:rsidRDefault="00C9681B">
      <w:pPr>
        <w:pStyle w:val="EndnoteText"/>
      </w:pPr>
      <w:r>
        <w:rPr>
          <w:rStyle w:val="EndnoteReference"/>
        </w:rPr>
        <w:endnoteRef/>
      </w:r>
      <w:r>
        <w:t xml:space="preserve"> Pike’s troops put fire to the Spanish fleet in the harbor before anybody could do anything, and this resulted in</w:t>
      </w:r>
      <w:r w:rsidR="00BD6516">
        <w:t xml:space="preserve"> the fleet being forced to evacuate before the fire consumed it. </w:t>
      </w:r>
      <w:r w:rsidR="00F31768">
        <w:t xml:space="preserve">See Clank, Henry, </w:t>
      </w:r>
      <w:r w:rsidR="00F31768" w:rsidRPr="00E202A8">
        <w:rPr>
          <w:i/>
          <w:iCs/>
        </w:rPr>
        <w:t>A Military History of the Luisiana War</w:t>
      </w:r>
      <w:r w:rsidR="005A163C">
        <w:t xml:space="preserve"> (1994, </w:t>
      </w:r>
      <w:r w:rsidR="005A163C" w:rsidRPr="005A163C">
        <w:t>Orleans State University Press</w:t>
      </w:r>
      <w:r w:rsidR="005A163C">
        <w:t xml:space="preserve">). </w:t>
      </w:r>
    </w:p>
  </w:endnote>
  <w:endnote w:id="66">
    <w:p w14:paraId="7FC85C5A" w14:textId="3BD1D8D7" w:rsidR="00230752" w:rsidRDefault="00230752" w:rsidP="00AF4CAA">
      <w:pPr>
        <w:pStyle w:val="refnormal"/>
      </w:pPr>
      <w:r>
        <w:rPr>
          <w:rStyle w:val="EndnoteReference"/>
        </w:rPr>
        <w:endnoteRef/>
      </w:r>
      <w:r>
        <w:t xml:space="preserve"> A fuller description of the </w:t>
      </w:r>
      <w:r w:rsidR="00B64F72">
        <w:t xml:space="preserve">international </w:t>
      </w:r>
      <w:r>
        <w:t>crisis</w:t>
      </w:r>
      <w:r w:rsidR="00B64F72">
        <w:t xml:space="preserve"> of confidence</w:t>
      </w:r>
      <w:r>
        <w:t xml:space="preserve"> which </w:t>
      </w:r>
      <w:r w:rsidR="00B64F72">
        <w:t xml:space="preserve">came after the Popular Revolution may be seen in Morris, Alexander, </w:t>
      </w:r>
      <w:r w:rsidR="00B64F72" w:rsidRPr="00D573C6">
        <w:rPr>
          <w:i/>
          <w:iCs/>
        </w:rPr>
        <w:t>The Second Age of Revolutions in Global History: 1827-1880</w:t>
      </w:r>
      <w:r w:rsidR="00B64F72">
        <w:t xml:space="preserve"> (2020, London University Press, 1945). </w:t>
      </w:r>
    </w:p>
  </w:endnote>
  <w:endnote w:id="67">
    <w:p w14:paraId="2F055597" w14:textId="29A34BB5" w:rsidR="004A5C59" w:rsidRDefault="004A5C59" w:rsidP="00AF4CAA">
      <w:pPr>
        <w:pStyle w:val="refnormal"/>
      </w:pPr>
      <w:r>
        <w:rPr>
          <w:rStyle w:val="EndnoteReference"/>
        </w:rPr>
        <w:endnoteRef/>
      </w:r>
      <w:r>
        <w:t xml:space="preserve"> An offer of negotiation had already</w:t>
      </w:r>
      <w:r w:rsidR="00883577">
        <w:t xml:space="preserve"> been offered by Constatine’s predecessor Alexander, and though it would </w:t>
      </w:r>
      <w:r w:rsidR="004B3D4B">
        <w:t xml:space="preserve">be rejected, after Alexander’s death in 1827 and the confusion afterwards, Constantine offered a similar one. </w:t>
      </w:r>
      <w:r w:rsidR="00E90D8B">
        <w:t xml:space="preserve">See </w:t>
      </w:r>
      <w:proofErr w:type="spellStart"/>
      <w:r w:rsidR="0060479D">
        <w:t>Chouars</w:t>
      </w:r>
      <w:proofErr w:type="spellEnd"/>
      <w:r w:rsidR="00E90D8B">
        <w:t xml:space="preserve">, Boris. </w:t>
      </w:r>
      <w:r w:rsidR="00E90D8B" w:rsidRPr="00E90D8B">
        <w:rPr>
          <w:i/>
          <w:iCs/>
        </w:rPr>
        <w:t>The National Void: The Russian Empire, 1796-1837</w:t>
      </w:r>
      <w:r w:rsidR="00E90D8B">
        <w:t xml:space="preserve"> (2003, University of Geneva). </w:t>
      </w:r>
    </w:p>
  </w:endnote>
  <w:endnote w:id="68">
    <w:p w14:paraId="72379C5D" w14:textId="578AC1B9" w:rsidR="006948F3" w:rsidRDefault="006948F3" w:rsidP="00AF4CAA">
      <w:pPr>
        <w:pStyle w:val="refnormal"/>
      </w:pPr>
      <w:r>
        <w:rPr>
          <w:rStyle w:val="EndnoteReference"/>
        </w:rPr>
        <w:endnoteRef/>
      </w:r>
      <w:r>
        <w:t xml:space="preserve"> A fuller description of the negotiations that ended the Luisiana War may be seen in Sutherland, Christine, </w:t>
      </w:r>
      <w:r w:rsidRPr="006948F3">
        <w:rPr>
          <w:i/>
          <w:iCs/>
        </w:rPr>
        <w:t>Henry Clay and the Empire of Liberty</w:t>
      </w:r>
      <w:r>
        <w:t xml:space="preserve"> (2012, Smithsonian History Press). </w:t>
      </w:r>
    </w:p>
  </w:endnote>
  <w:endnote w:id="69">
    <w:p w14:paraId="2EBB5157" w14:textId="4C21DB71" w:rsidR="009C2C29" w:rsidRDefault="009C2C29" w:rsidP="00AF4CAA">
      <w:pPr>
        <w:pStyle w:val="refnormal"/>
      </w:pPr>
      <w:r>
        <w:rPr>
          <w:rStyle w:val="EndnoteReference"/>
        </w:rPr>
        <w:endnoteRef/>
      </w:r>
      <w:r>
        <w:t xml:space="preserve"> This amendment declared that the </w:t>
      </w:r>
      <w:proofErr w:type="spellStart"/>
      <w:r>
        <w:t>Floridas</w:t>
      </w:r>
      <w:proofErr w:type="spellEnd"/>
      <w:r>
        <w:t xml:space="preserve"> and Luisiana would be incorporated as territories pending statehood, their inhabitants granted full rights as Americans</w:t>
      </w:r>
      <w:r w:rsidR="00100A7C">
        <w:t xml:space="preserve">, and </w:t>
      </w:r>
      <w:r w:rsidR="00B242E7">
        <w:t xml:space="preserve">the former Luisiana divided into three </w:t>
      </w:r>
      <w:r w:rsidR="007875CE">
        <w:t>divisions of settlement with north-south lines</w:t>
      </w:r>
      <w:r w:rsidR="00CB05B7">
        <w:t xml:space="preserve">, so that each division would only be settled upon the settlement of the </w:t>
      </w:r>
      <w:r w:rsidR="00CC5EAB">
        <w:t>one</w:t>
      </w:r>
      <w:r w:rsidR="00787E3B">
        <w:t xml:space="preserve"> to its east</w:t>
      </w:r>
      <w:r w:rsidR="00CC5EAB">
        <w:t xml:space="preserve">. </w:t>
      </w:r>
    </w:p>
  </w:endnote>
  <w:endnote w:id="70">
    <w:p w14:paraId="126E002B" w14:textId="29DB13AC" w:rsidR="00077ED2" w:rsidRPr="00AD0936" w:rsidRDefault="00077ED2" w:rsidP="00AF4CAA">
      <w:pPr>
        <w:pStyle w:val="refnormal"/>
      </w:pPr>
      <w:r>
        <w:rPr>
          <w:rStyle w:val="EndnoteReference"/>
        </w:rPr>
        <w:endnoteRef/>
      </w:r>
      <w:r>
        <w:t xml:space="preserve"> For the full</w:t>
      </w:r>
      <w:r w:rsidR="001F1931">
        <w:t>, immediate,</w:t>
      </w:r>
      <w:r>
        <w:t xml:space="preserve"> consequences of the </w:t>
      </w:r>
      <w:r w:rsidR="001F1931">
        <w:t xml:space="preserve">Popular Revolution, see </w:t>
      </w:r>
      <w:r w:rsidR="00B32EF5" w:rsidRPr="00B32EF5">
        <w:t xml:space="preserve">Jameson, </w:t>
      </w:r>
      <w:r w:rsidR="00D04348">
        <w:t>Ronald</w:t>
      </w:r>
      <w:r w:rsidR="0020713C">
        <w:t>,</w:t>
      </w:r>
      <w:r w:rsidR="00B32EF5" w:rsidRPr="00B32EF5">
        <w:t xml:space="preserve"> </w:t>
      </w:r>
      <w:r w:rsidR="00B32EF5" w:rsidRPr="00B32EF5">
        <w:rPr>
          <w:i/>
          <w:iCs/>
        </w:rPr>
        <w:t xml:space="preserve">Liberty Across the Atlantic: American </w:t>
      </w:r>
      <w:r w:rsidR="00371DA6">
        <w:rPr>
          <w:i/>
          <w:iCs/>
        </w:rPr>
        <w:t>Aftershocks</w:t>
      </w:r>
      <w:r w:rsidR="00B32EF5" w:rsidRPr="00B32EF5">
        <w:rPr>
          <w:i/>
          <w:iCs/>
        </w:rPr>
        <w:t xml:space="preserve"> </w:t>
      </w:r>
      <w:r w:rsidR="00371DA6">
        <w:rPr>
          <w:i/>
          <w:iCs/>
        </w:rPr>
        <w:t>of</w:t>
      </w:r>
      <w:r w:rsidR="00B32EF5" w:rsidRPr="00B32EF5">
        <w:rPr>
          <w:i/>
          <w:iCs/>
        </w:rPr>
        <w:t xml:space="preserve"> the Popular Revolution</w:t>
      </w:r>
      <w:r w:rsidR="00AD0936">
        <w:rPr>
          <w:i/>
          <w:iCs/>
        </w:rPr>
        <w:t>, 1827-18</w:t>
      </w:r>
      <w:r w:rsidR="00033F47">
        <w:rPr>
          <w:i/>
          <w:iCs/>
        </w:rPr>
        <w:t>68</w:t>
      </w:r>
      <w:r w:rsidR="00B32EF5" w:rsidRPr="00B32EF5">
        <w:rPr>
          <w:i/>
          <w:iCs/>
        </w:rPr>
        <w:t>.</w:t>
      </w:r>
      <w:r w:rsidR="00B32EF5" w:rsidRPr="00B32EF5">
        <w:t xml:space="preserve"> </w:t>
      </w:r>
      <w:r w:rsidR="002C3D81">
        <w:t>(</w:t>
      </w:r>
      <w:r w:rsidR="00B32EF5" w:rsidRPr="00B32EF5">
        <w:t>Columbia Historical Review, 1889</w:t>
      </w:r>
      <w:r w:rsidR="002C3D81">
        <w:t>)</w:t>
      </w:r>
      <w:r w:rsidR="00AD0936">
        <w:t xml:space="preserve">. </w:t>
      </w:r>
    </w:p>
  </w:endnote>
  <w:endnote w:id="71">
    <w:p w14:paraId="40A472BB" w14:textId="1EA3A9EC" w:rsidR="0020713C" w:rsidRDefault="0020713C">
      <w:pPr>
        <w:pStyle w:val="EndnoteText"/>
      </w:pPr>
      <w:r>
        <w:rPr>
          <w:rStyle w:val="EndnoteReference"/>
        </w:rPr>
        <w:endnoteRef/>
      </w:r>
      <w:r>
        <w:t xml:space="preserve"> Indeed, for much of this period, British migrants widely considered the United States a better target to migrate to than the settler colonies</w:t>
      </w:r>
      <w:r w:rsidR="005D57F6">
        <w:t>. This was a result of emigration to the colonies being associated with</w:t>
      </w:r>
      <w:r w:rsidR="00692DCB">
        <w:t xml:space="preserve"> penal migration since pre-revolutionary days, as well as </w:t>
      </w:r>
      <w:r w:rsidR="0027535A">
        <w:t>the perception of the United States as a land of liberty with a well-developed democracy complete with public institutions</w:t>
      </w:r>
      <w:r w:rsidR="00392390">
        <w:t xml:space="preserve">. Though the opening of the </w:t>
      </w:r>
      <w:r w:rsidR="00AA0202">
        <w:t>Australian</w:t>
      </w:r>
      <w:r w:rsidR="00392390">
        <w:t xml:space="preserve"> Gold Rush in 1839 </w:t>
      </w:r>
      <w:r w:rsidR="007C449C">
        <w:t>gave these emigrants another target</w:t>
      </w:r>
      <w:r w:rsidR="00392390">
        <w:t>, massive numbers of Britons nevertheless happily emigrated to America</w:t>
      </w:r>
      <w:r w:rsidR="00B82FEA">
        <w:t xml:space="preserve"> throughout this period</w:t>
      </w:r>
      <w:r w:rsidR="0027535A">
        <w:t xml:space="preserve">. </w:t>
      </w:r>
      <w:r w:rsidR="0070569C">
        <w:t xml:space="preserve">See </w:t>
      </w:r>
      <w:r w:rsidR="00BF4090">
        <w:t>Antonov</w:t>
      </w:r>
      <w:r w:rsidR="0070569C">
        <w:t xml:space="preserve">, </w:t>
      </w:r>
      <w:r w:rsidR="00BF4090">
        <w:t>Dennis</w:t>
      </w:r>
      <w:r w:rsidR="0070569C">
        <w:t xml:space="preserve">, </w:t>
      </w:r>
      <w:r w:rsidR="00BF4090">
        <w:rPr>
          <w:i/>
          <w:iCs/>
        </w:rPr>
        <w:t>The Brother Republics: British Emigration to the United States</w:t>
      </w:r>
      <w:r w:rsidR="0070569C" w:rsidRPr="002E7543">
        <w:rPr>
          <w:i/>
          <w:iCs/>
        </w:rPr>
        <w:t>, 1830-1868</w:t>
      </w:r>
      <w:r w:rsidR="0070569C">
        <w:t xml:space="preserve"> (University</w:t>
      </w:r>
      <w:r w:rsidR="00BF4090">
        <w:t xml:space="preserve"> of </w:t>
      </w:r>
      <w:proofErr w:type="spellStart"/>
      <w:r w:rsidR="00BF4090">
        <w:t>Shackamia</w:t>
      </w:r>
      <w:proofErr w:type="spellEnd"/>
      <w:r w:rsidR="00BF4090">
        <w:t xml:space="preserve"> Press</w:t>
      </w:r>
      <w:r w:rsidR="0070569C">
        <w:t>, 20</w:t>
      </w:r>
      <w:r w:rsidR="00BF4090">
        <w:t>11</w:t>
      </w:r>
      <w:r w:rsidR="0070569C">
        <w:t>).</w:t>
      </w:r>
    </w:p>
  </w:endnote>
  <w:endnote w:id="72">
    <w:p w14:paraId="50E00665" w14:textId="56BF634A" w:rsidR="002C3D81" w:rsidRDefault="002C3D81" w:rsidP="00AF4CAA">
      <w:pPr>
        <w:pStyle w:val="refnormal"/>
      </w:pPr>
      <w:r>
        <w:rPr>
          <w:rStyle w:val="EndnoteReference"/>
        </w:rPr>
        <w:endnoteRef/>
      </w:r>
      <w:r>
        <w:t xml:space="preserve"> Prior to the </w:t>
      </w:r>
      <w:r w:rsidR="000E1D0F">
        <w:t xml:space="preserve">Popular </w:t>
      </w:r>
      <w:r>
        <w:t>Revolution, the British Isles was tied in personal union to the Electorate of Hanover</w:t>
      </w:r>
      <w:r w:rsidR="004D1E50">
        <w:t xml:space="preserve">, which it was heavily tied to; additionally, it was part of a network of trade with several traditionalist European monarchies. From here, it received a lot of </w:t>
      </w:r>
      <w:r w:rsidR="000E1D0F">
        <w:t>raw material, such as timber from the Baltic, which it turned into product through its factory system. The Revolution cut off this trade, as</w:t>
      </w:r>
      <w:r w:rsidR="007A0311">
        <w:t xml:space="preserve"> the government of Hanover became an exilic administration ever striving for a restoration, with the support of</w:t>
      </w:r>
      <w:r w:rsidR="000E1D0F">
        <w:t xml:space="preserve"> </w:t>
      </w:r>
      <w:r w:rsidR="007A0311">
        <w:t xml:space="preserve">the monarchies of Europe. </w:t>
      </w:r>
      <w:r w:rsidR="0013765A">
        <w:t xml:space="preserve">To make up for the loss of raw goods, post-Revolutionary Britain instead </w:t>
      </w:r>
      <w:proofErr w:type="gramStart"/>
      <w:r w:rsidR="0013765A">
        <w:t>opened up</w:t>
      </w:r>
      <w:proofErr w:type="gramEnd"/>
      <w:r w:rsidR="0013765A">
        <w:t xml:space="preserve"> trade with the United States and its colonial empire, and it did so successfully. </w:t>
      </w:r>
      <w:r w:rsidR="00E16397">
        <w:t xml:space="preserve">See Ross, Tanya, </w:t>
      </w:r>
      <w:r w:rsidR="00E16397" w:rsidRPr="00E16397">
        <w:rPr>
          <w:i/>
          <w:iCs/>
        </w:rPr>
        <w:t xml:space="preserve">Rise of the Fond </w:t>
      </w:r>
      <w:r w:rsidR="00E16397">
        <w:rPr>
          <w:i/>
          <w:iCs/>
        </w:rPr>
        <w:t>Accord</w:t>
      </w:r>
      <w:r w:rsidR="00E16397" w:rsidRPr="00E16397">
        <w:rPr>
          <w:i/>
          <w:iCs/>
        </w:rPr>
        <w:t>: Anglo-American Relations, 1830-1868</w:t>
      </w:r>
      <w:r w:rsidR="00E16397">
        <w:t xml:space="preserve"> (Gracchi Institute, 2004). </w:t>
      </w:r>
    </w:p>
  </w:endnote>
  <w:endnote w:id="73">
    <w:p w14:paraId="064A9C5E" w14:textId="74272E76" w:rsidR="00D04348" w:rsidRDefault="00D04348" w:rsidP="00AF4CAA">
      <w:pPr>
        <w:pStyle w:val="refnormal"/>
      </w:pPr>
      <w:r>
        <w:rPr>
          <w:rStyle w:val="EndnoteReference"/>
        </w:rPr>
        <w:endnoteRef/>
      </w:r>
      <w:r>
        <w:t xml:space="preserve"> For a history of the Anti-Catholic Party, see Attwood</w:t>
      </w:r>
      <w:r w:rsidRPr="00D04348">
        <w:t xml:space="preserve">, Caleb </w:t>
      </w:r>
      <w:r w:rsidRPr="00C87570">
        <w:t>"</w:t>
      </w:r>
      <w:r w:rsidRPr="00D04348">
        <w:rPr>
          <w:i/>
          <w:iCs/>
        </w:rPr>
        <w:t xml:space="preserve">The Cross and the Crescent: Anti-Catholicism and the Birth of Mass Politics in </w:t>
      </w:r>
      <w:r w:rsidR="00C87570">
        <w:rPr>
          <w:i/>
          <w:iCs/>
        </w:rPr>
        <w:t>the Age of Burr</w:t>
      </w:r>
      <w:r w:rsidRPr="00D04348">
        <w:rPr>
          <w:i/>
          <w:iCs/>
        </w:rPr>
        <w:t>.</w:t>
      </w:r>
      <w:r w:rsidRPr="00C87570">
        <w:t>"</w:t>
      </w:r>
      <w:r w:rsidRPr="00D04348">
        <w:t xml:space="preserve"> New Albion Historical Quarterly, vol. 3, no. 2, </w:t>
      </w:r>
      <w:r w:rsidR="00FD4D81">
        <w:t xml:space="preserve">1980. </w:t>
      </w:r>
    </w:p>
  </w:endnote>
  <w:endnote w:id="74">
    <w:p w14:paraId="42AB884A" w14:textId="56C3A816" w:rsidR="003E78C3" w:rsidRDefault="003E78C3">
      <w:pPr>
        <w:pStyle w:val="EndnoteText"/>
      </w:pPr>
      <w:r>
        <w:rPr>
          <w:rStyle w:val="EndnoteReference"/>
        </w:rPr>
        <w:endnoteRef/>
      </w:r>
      <w:r>
        <w:t xml:space="preserve"> Kenzler, Sidney. </w:t>
      </w:r>
      <w:r w:rsidR="00DF700B" w:rsidRPr="00B46D36">
        <w:rPr>
          <w:i/>
          <w:iCs/>
        </w:rPr>
        <w:t xml:space="preserve">The Meeting </w:t>
      </w:r>
      <w:r w:rsidR="00011D9D">
        <w:rPr>
          <w:i/>
          <w:iCs/>
        </w:rPr>
        <w:t>that Changed the World</w:t>
      </w:r>
      <w:r w:rsidR="00DF700B" w:rsidRPr="00B46D36">
        <w:rPr>
          <w:i/>
          <w:iCs/>
        </w:rPr>
        <w:t>: Henry Clay and George Tierney</w:t>
      </w:r>
      <w:r w:rsidR="0069070A">
        <w:rPr>
          <w:i/>
          <w:iCs/>
        </w:rPr>
        <w:t>, the Flames</w:t>
      </w:r>
      <w:r w:rsidR="00DF700B" w:rsidRPr="00B46D36">
        <w:rPr>
          <w:i/>
          <w:iCs/>
        </w:rPr>
        <w:t xml:space="preserve"> </w:t>
      </w:r>
      <w:r w:rsidR="0069070A">
        <w:rPr>
          <w:i/>
          <w:iCs/>
        </w:rPr>
        <w:t>of Liberty, and</w:t>
      </w:r>
      <w:r w:rsidR="00DF700B" w:rsidRPr="00B46D36">
        <w:rPr>
          <w:i/>
          <w:iCs/>
        </w:rPr>
        <w:t xml:space="preserve"> Toronto, </w:t>
      </w:r>
      <w:r w:rsidR="003C44BF" w:rsidRPr="00B46D36">
        <w:rPr>
          <w:i/>
          <w:iCs/>
        </w:rPr>
        <w:t>1830</w:t>
      </w:r>
      <w:r w:rsidR="003C44BF">
        <w:t xml:space="preserve"> (2001, Toronto University Press). </w:t>
      </w:r>
    </w:p>
  </w:endnote>
  <w:endnote w:id="75">
    <w:p w14:paraId="71C3E0D3" w14:textId="64BCCB6A" w:rsidR="00131EAF" w:rsidRDefault="00131EAF">
      <w:pPr>
        <w:pStyle w:val="EndnoteText"/>
      </w:pPr>
      <w:r>
        <w:rPr>
          <w:rStyle w:val="EndnoteReference"/>
        </w:rPr>
        <w:endnoteRef/>
      </w:r>
      <w:r>
        <w:t xml:space="preserve"> The pre-revolutionary British Isles</w:t>
      </w:r>
      <w:r w:rsidR="00FE7B78">
        <w:t xml:space="preserve"> contained a moderate abolitionist movement</w:t>
      </w:r>
      <w:r w:rsidR="003E78F6">
        <w:t>, the so-called Clapham Sect, which emerged from the Church of England. Wilberforce was merely its head. This movement</w:t>
      </w:r>
      <w:r w:rsidR="008B41D4">
        <w:t xml:space="preserve"> was</w:t>
      </w:r>
      <w:r w:rsidR="00DF3220">
        <w:t xml:space="preserve"> largely ineffective,</w:t>
      </w:r>
      <w:r w:rsidR="008B41D4">
        <w:t xml:space="preserve"> </w:t>
      </w:r>
      <w:r w:rsidR="00DF3220">
        <w:t xml:space="preserve">strongly supportive of </w:t>
      </w:r>
      <w:r w:rsidR="002F13D4">
        <w:t>the government</w:t>
      </w:r>
      <w:r w:rsidR="00DF3220">
        <w:t xml:space="preserve"> – notably, Wilberforce supported the Birmingham and Clontarf Massacres – and with the Popular Revolution, many of its members fled to Hanover. </w:t>
      </w:r>
      <w:r w:rsidR="00EC340D">
        <w:t xml:space="preserve">Though it </w:t>
      </w:r>
      <w:r w:rsidR="00BC51C2">
        <w:t xml:space="preserve">did persist as </w:t>
      </w:r>
      <w:r w:rsidR="005373D3">
        <w:t xml:space="preserve">a tendency within the Moderate Party, its power was largely broken. </w:t>
      </w:r>
      <w:r w:rsidR="001B304E">
        <w:t xml:space="preserve">Notably, </w:t>
      </w:r>
      <w:r w:rsidR="00C2267A">
        <w:t xml:space="preserve">it managed </w:t>
      </w:r>
      <w:r w:rsidR="001B304E">
        <w:t>Sierra Leone, a West African colony for freedmen</w:t>
      </w:r>
      <w:r w:rsidR="00606EB5">
        <w:t>; after the Popular Revolution, this colony was sold to the American Colonization Society and integrated within</w:t>
      </w:r>
      <w:r w:rsidR="00701966">
        <w:t xml:space="preserve"> the burgeoning colony of Fredonia. </w:t>
      </w:r>
      <w:r w:rsidR="005442D6">
        <w:t xml:space="preserve">See </w:t>
      </w:r>
      <w:r w:rsidR="00FB5F69">
        <w:t xml:space="preserve">Wallace, </w:t>
      </w:r>
      <w:r w:rsidR="00A44C60">
        <w:t xml:space="preserve">Horace, </w:t>
      </w:r>
      <w:r w:rsidR="00A44C60" w:rsidRPr="008878D6">
        <w:rPr>
          <w:i/>
          <w:iCs/>
        </w:rPr>
        <w:t>The Atoners: The Clapham Sect</w:t>
      </w:r>
      <w:r w:rsidR="00F84308" w:rsidRPr="008878D6">
        <w:rPr>
          <w:i/>
          <w:iCs/>
        </w:rPr>
        <w:t>, Controlled Opposition, and the</w:t>
      </w:r>
      <w:r w:rsidR="008878D6" w:rsidRPr="008878D6">
        <w:rPr>
          <w:i/>
          <w:iCs/>
        </w:rPr>
        <w:t xml:space="preserve"> Nature of Traditionalist Reform</w:t>
      </w:r>
      <w:r w:rsidR="008878D6">
        <w:t xml:space="preserve"> (1974, Lunar University Press). </w:t>
      </w:r>
    </w:p>
  </w:endnote>
  <w:endnote w:id="76">
    <w:p w14:paraId="66497BDC" w14:textId="29B1263B" w:rsidR="00B4632B" w:rsidRDefault="00B4632B" w:rsidP="00AF4CAA">
      <w:pPr>
        <w:pStyle w:val="refnormal"/>
      </w:pPr>
      <w:r>
        <w:rPr>
          <w:rStyle w:val="EndnoteReference"/>
        </w:rPr>
        <w:endnoteRef/>
      </w:r>
      <w:r>
        <w:t xml:space="preserve"> </w:t>
      </w:r>
      <w:r w:rsidR="008E3F26">
        <w:t>Daniel O’Connell was originally dubbed the Emancipator for his undying agitation for, and accomplishment of, Catholic emancipation</w:t>
      </w:r>
      <w:r w:rsidR="004035AF">
        <w:t xml:space="preserve">; however, his role in pushing the Emancipation Act of 1830 through Parliament led to </w:t>
      </w:r>
      <w:r w:rsidR="00260C70">
        <w:t>the label being extended</w:t>
      </w:r>
      <w:r w:rsidR="003F4D2E">
        <w:t xml:space="preserve">, and so too was his undying support of American slavery. </w:t>
      </w:r>
      <w:r w:rsidR="0051544D">
        <w:t xml:space="preserve">See Bourke, Maurice, </w:t>
      </w:r>
      <w:r w:rsidR="0051544D" w:rsidRPr="002B2CA6">
        <w:rPr>
          <w:i/>
          <w:iCs/>
        </w:rPr>
        <w:t>The Advocate for Humanity: Daniel O’Connell, the Man, and his Times</w:t>
      </w:r>
      <w:r w:rsidR="0051544D">
        <w:t xml:space="preserve"> (2011, Dublin Historical Studies). </w:t>
      </w:r>
    </w:p>
  </w:endnote>
  <w:endnote w:id="77">
    <w:p w14:paraId="04379090" w14:textId="3090E8BD" w:rsidR="005A365A" w:rsidRDefault="005A365A" w:rsidP="00AF4CAA">
      <w:pPr>
        <w:pStyle w:val="refnormal"/>
      </w:pPr>
      <w:r>
        <w:rPr>
          <w:rStyle w:val="EndnoteReference"/>
        </w:rPr>
        <w:endnoteRef/>
      </w:r>
      <w:r>
        <w:t xml:space="preserve"> For a full analysis of the breach between the United States and the British Isles following the end of slavery, see</w:t>
      </w:r>
      <w:r w:rsidR="00902F58">
        <w:t xml:space="preserve"> Oldfield, Geoffrey, </w:t>
      </w:r>
      <w:r w:rsidR="00902F58" w:rsidRPr="006078F0">
        <w:rPr>
          <w:i/>
          <w:iCs/>
        </w:rPr>
        <w:t>The Atlantic Schism: Relations between the British Isles and the United States, 1830-1868</w:t>
      </w:r>
      <w:r w:rsidR="00902F58">
        <w:t xml:space="preserve"> (</w:t>
      </w:r>
      <w:r w:rsidR="006078F0">
        <w:t xml:space="preserve">2003, </w:t>
      </w:r>
      <w:r w:rsidR="00902F58">
        <w:t xml:space="preserve">London University Press). </w:t>
      </w:r>
    </w:p>
  </w:endnote>
  <w:endnote w:id="78">
    <w:p w14:paraId="52D25EFC" w14:textId="263EADF1" w:rsidR="009E684D" w:rsidRDefault="009E684D" w:rsidP="00AF4CAA">
      <w:pPr>
        <w:pStyle w:val="refnormal"/>
      </w:pPr>
      <w:r>
        <w:rPr>
          <w:rStyle w:val="EndnoteReference"/>
        </w:rPr>
        <w:endnoteRef/>
      </w:r>
      <w:r>
        <w:t xml:space="preserve"> See Poole, </w:t>
      </w:r>
      <w:r w:rsidRPr="009616D5">
        <w:t>Tomás</w:t>
      </w:r>
      <w:r>
        <w:t xml:space="preserve">, </w:t>
      </w:r>
      <w:r w:rsidRPr="00FC755F">
        <w:rPr>
          <w:i/>
          <w:iCs/>
        </w:rPr>
        <w:t>The Rise of Sequoyah: The Five Tribes in Exile, 1837-1916</w:t>
      </w:r>
      <w:r>
        <w:t xml:space="preserve"> (2004, University of Monterrey Press), on the </w:t>
      </w:r>
      <w:r w:rsidR="00CE13C5">
        <w:t>exile of American Indigenous tribes in modern-day Buenaventura</w:t>
      </w:r>
      <w:r>
        <w:t>.</w:t>
      </w:r>
      <w:r w:rsidR="006C1901">
        <w:t xml:space="preserve"> On the establishment of reservations in the Interior, see Romanov, Warren, </w:t>
      </w:r>
      <w:r w:rsidR="006C1901" w:rsidRPr="006C1901">
        <w:rPr>
          <w:i/>
          <w:iCs/>
        </w:rPr>
        <w:t>Refugees in their Own Country: The Indigenous Tribes After Removal</w:t>
      </w:r>
      <w:r w:rsidR="006C1901">
        <w:t>,</w:t>
      </w:r>
      <w:r w:rsidR="006C1901" w:rsidRPr="007C3D8C">
        <w:rPr>
          <w:i/>
          <w:iCs/>
        </w:rPr>
        <w:t xml:space="preserve"> 1837-1916</w:t>
      </w:r>
      <w:r w:rsidR="006C1901">
        <w:t xml:space="preserve"> (</w:t>
      </w:r>
      <w:r w:rsidR="007C3D8C">
        <w:t xml:space="preserve">1987, University of </w:t>
      </w:r>
      <w:proofErr w:type="spellStart"/>
      <w:r w:rsidR="007C3D8C">
        <w:t>Shackamia</w:t>
      </w:r>
      <w:proofErr w:type="spellEnd"/>
      <w:r w:rsidR="007C3D8C">
        <w:t xml:space="preserve"> Press). </w:t>
      </w:r>
    </w:p>
  </w:endnote>
  <w:endnote w:id="79">
    <w:p w14:paraId="196F4701" w14:textId="4806B093" w:rsidR="00DB7013" w:rsidRDefault="00DB7013" w:rsidP="00AF4CAA">
      <w:pPr>
        <w:pStyle w:val="refnormal"/>
      </w:pPr>
      <w:r>
        <w:rPr>
          <w:rStyle w:val="EndnoteReference"/>
        </w:rPr>
        <w:endnoteRef/>
      </w:r>
      <w:r>
        <w:t xml:space="preserve"> Despite Anglo settlement in the years after American conquest, Orleans continued to be dominated by Franco-Spanish Creoles, and indeed their position found itself strengthened by the </w:t>
      </w:r>
      <w:r w:rsidR="004F2447">
        <w:t>boom of commerce</w:t>
      </w:r>
      <w:r>
        <w:t xml:space="preserve"> </w:t>
      </w:r>
      <w:r w:rsidR="004F2447">
        <w:t xml:space="preserve">that followed, which led to immigration of many Hispanic Catholics, as well as Irish Catholics who ultimately integrated into </w:t>
      </w:r>
      <w:proofErr w:type="spellStart"/>
      <w:r w:rsidR="003F0078">
        <w:t>Orleaner</w:t>
      </w:r>
      <w:proofErr w:type="spellEnd"/>
      <w:r w:rsidR="003F0078">
        <w:t xml:space="preserve"> </w:t>
      </w:r>
      <w:r w:rsidR="000018CF">
        <w:t xml:space="preserve">Creole identity. </w:t>
      </w:r>
      <w:r w:rsidR="00445092">
        <w:t>See</w:t>
      </w:r>
      <w:r w:rsidR="00152CFA">
        <w:t xml:space="preserve"> </w:t>
      </w:r>
      <w:r w:rsidR="00152CFA" w:rsidRPr="00152CFA">
        <w:t>Dubreuil, Antoine "</w:t>
      </w:r>
      <w:r w:rsidR="00152CFA" w:rsidRPr="00152CFA">
        <w:rPr>
          <w:i/>
          <w:iCs/>
        </w:rPr>
        <w:t xml:space="preserve">Creole Continuity: Identity and Integration in </w:t>
      </w:r>
      <w:r w:rsidR="00152CFA">
        <w:rPr>
          <w:i/>
          <w:iCs/>
        </w:rPr>
        <w:t>Antebellum</w:t>
      </w:r>
      <w:r w:rsidR="00152CFA" w:rsidRPr="00152CFA">
        <w:rPr>
          <w:i/>
          <w:iCs/>
        </w:rPr>
        <w:t xml:space="preserve"> Orleans, 18</w:t>
      </w:r>
      <w:r w:rsidR="00152CFA">
        <w:rPr>
          <w:i/>
          <w:iCs/>
        </w:rPr>
        <w:t>29</w:t>
      </w:r>
      <w:r w:rsidR="00152CFA" w:rsidRPr="00152CFA">
        <w:rPr>
          <w:i/>
          <w:iCs/>
        </w:rPr>
        <w:t>–186</w:t>
      </w:r>
      <w:r w:rsidR="00152CFA">
        <w:rPr>
          <w:i/>
          <w:iCs/>
        </w:rPr>
        <w:t>8</w:t>
      </w:r>
      <w:r w:rsidR="00152CFA" w:rsidRPr="00152CFA">
        <w:rPr>
          <w:i/>
          <w:iCs/>
        </w:rPr>
        <w:t>.</w:t>
      </w:r>
      <w:r w:rsidR="00152CFA" w:rsidRPr="00152CFA">
        <w:t>" Journal of Southern Cultural History, vol. 7, no. 1, Spring 1912, pp. 47–73.</w:t>
      </w:r>
    </w:p>
  </w:endnote>
  <w:endnote w:id="80">
    <w:p w14:paraId="38CD4B71" w14:textId="2D3D2820" w:rsidR="00204640" w:rsidRDefault="00204640">
      <w:pPr>
        <w:pStyle w:val="EndnoteText"/>
      </w:pPr>
      <w:r>
        <w:rPr>
          <w:rStyle w:val="EndnoteReference"/>
        </w:rPr>
        <w:endnoteRef/>
      </w:r>
      <w:r>
        <w:t xml:space="preserve"> Zelazny, Robert. </w:t>
      </w:r>
      <w:r w:rsidR="003225E8" w:rsidRPr="00181EDA">
        <w:rPr>
          <w:i/>
          <w:iCs/>
        </w:rPr>
        <w:t xml:space="preserve">Inseparable: </w:t>
      </w:r>
      <w:r w:rsidR="00906252" w:rsidRPr="00181EDA">
        <w:rPr>
          <w:i/>
          <w:iCs/>
        </w:rPr>
        <w:t>The Life and Times of Daniel Webster</w:t>
      </w:r>
      <w:r w:rsidR="006C1BBC" w:rsidRPr="00181EDA">
        <w:rPr>
          <w:i/>
          <w:iCs/>
        </w:rPr>
        <w:t>, 1782-1852</w:t>
      </w:r>
      <w:r w:rsidR="006C1BBC">
        <w:t xml:space="preserve"> (2002, University of St. Paul). </w:t>
      </w:r>
    </w:p>
  </w:endnote>
  <w:endnote w:id="81">
    <w:p w14:paraId="59E672AD" w14:textId="61679FEC" w:rsidR="007A07BC" w:rsidRDefault="007A07BC">
      <w:pPr>
        <w:pStyle w:val="EndnoteText"/>
      </w:pPr>
      <w:r>
        <w:rPr>
          <w:rStyle w:val="EndnoteReference"/>
        </w:rPr>
        <w:endnoteRef/>
      </w:r>
      <w:r>
        <w:t xml:space="preserve"> Xavier, </w:t>
      </w:r>
      <w:r w:rsidR="00C31AE1">
        <w:t>Thomas.</w:t>
      </w:r>
      <w:r w:rsidR="00BB5BDC">
        <w:t xml:space="preserve"> </w:t>
      </w:r>
      <w:r w:rsidR="00BB5BDC" w:rsidRPr="000D3983">
        <w:rPr>
          <w:i/>
          <w:iCs/>
        </w:rPr>
        <w:t>History of</w:t>
      </w:r>
      <w:r w:rsidR="00C31AE1" w:rsidRPr="000D3983">
        <w:rPr>
          <w:i/>
          <w:iCs/>
        </w:rPr>
        <w:t xml:space="preserve"> </w:t>
      </w:r>
      <w:r w:rsidR="00BB5BDC" w:rsidRPr="000D3983">
        <w:rPr>
          <w:i/>
          <w:iCs/>
        </w:rPr>
        <w:t>t</w:t>
      </w:r>
      <w:r w:rsidR="001C7D84" w:rsidRPr="000D3983">
        <w:rPr>
          <w:i/>
          <w:iCs/>
        </w:rPr>
        <w:t>he Financial System of the United States</w:t>
      </w:r>
      <w:r w:rsidR="00BF0661" w:rsidRPr="000D3983">
        <w:rPr>
          <w:i/>
          <w:iCs/>
        </w:rPr>
        <w:t>, 1781-1868</w:t>
      </w:r>
      <w:r w:rsidR="00BF0661">
        <w:t xml:space="preserve"> (1997, </w:t>
      </w:r>
      <w:r w:rsidR="00752130">
        <w:t xml:space="preserve">Gracchi Institute). </w:t>
      </w:r>
    </w:p>
  </w:endnote>
  <w:endnote w:id="82">
    <w:p w14:paraId="07E9BFE6" w14:textId="52A9F7D8" w:rsidR="0041629C" w:rsidRDefault="0041629C">
      <w:pPr>
        <w:pStyle w:val="EndnoteText"/>
      </w:pPr>
      <w:r>
        <w:rPr>
          <w:rStyle w:val="EndnoteReference"/>
        </w:rPr>
        <w:endnoteRef/>
      </w:r>
      <w:r>
        <w:t xml:space="preserve"> Alston was initially from South Carolina</w:t>
      </w:r>
      <w:r w:rsidR="00B80626">
        <w:t xml:space="preserve"> – he had even briefly served as its governor, from 1812 to 1814</w:t>
      </w:r>
      <w:r w:rsidR="00F53F6B">
        <w:t xml:space="preserve"> –</w:t>
      </w:r>
      <w:r w:rsidR="00B80626">
        <w:t xml:space="preserve"> but he had</w:t>
      </w:r>
      <w:r w:rsidR="00F53F6B">
        <w:t xml:space="preserve"> found himself cast out of its political scene</w:t>
      </w:r>
      <w:r w:rsidR="000D270F">
        <w:t xml:space="preserve">, and afterwards he travelled westward to a state where he could more easily attain influence and power. See </w:t>
      </w:r>
      <w:proofErr w:type="spellStart"/>
      <w:r w:rsidR="0068429B">
        <w:t>Tangue</w:t>
      </w:r>
      <w:proofErr w:type="spellEnd"/>
      <w:r w:rsidR="0068429B">
        <w:t xml:space="preserve">, Hezekiah, </w:t>
      </w:r>
      <w:r w:rsidR="0068429B" w:rsidRPr="002F30BD">
        <w:rPr>
          <w:i/>
          <w:iCs/>
        </w:rPr>
        <w:t xml:space="preserve">The Undesired One: </w:t>
      </w:r>
      <w:r w:rsidR="00DF0567" w:rsidRPr="002F30BD">
        <w:rPr>
          <w:i/>
          <w:iCs/>
        </w:rPr>
        <w:t>The Life and Times of Joseph Alston</w:t>
      </w:r>
      <w:r w:rsidR="00DF0567">
        <w:t xml:space="preserve"> (1999, Burr University) and </w:t>
      </w:r>
      <w:proofErr w:type="spellStart"/>
      <w:r w:rsidR="002F30BD">
        <w:t>Pacque</w:t>
      </w:r>
      <w:proofErr w:type="spellEnd"/>
      <w:r w:rsidR="002F30BD">
        <w:t xml:space="preserve">, Tatiana, </w:t>
      </w:r>
      <w:r w:rsidR="002F30BD" w:rsidRPr="00F24C6D">
        <w:rPr>
          <w:i/>
          <w:iCs/>
        </w:rPr>
        <w:t>The Grand Old Woman: Theodosia Burr Alston and America, 1783-1864</w:t>
      </w:r>
      <w:r w:rsidR="002F30BD">
        <w:t xml:space="preserve"> (2011, Burr University). </w:t>
      </w:r>
    </w:p>
  </w:endnote>
  <w:endnote w:id="83">
    <w:p w14:paraId="55C985BA" w14:textId="09C67334" w:rsidR="00912C90" w:rsidRDefault="00912C90"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84">
    <w:p w14:paraId="52401685" w14:textId="4FD83E53" w:rsidR="00002D3F" w:rsidRDefault="00002D3F" w:rsidP="00AF4CAA">
      <w:pPr>
        <w:pStyle w:val="refnormal"/>
      </w:pPr>
      <w:r>
        <w:rPr>
          <w:rStyle w:val="EndnoteReference"/>
        </w:rPr>
        <w:endnoteRef/>
      </w:r>
      <w:r>
        <w:t xml:space="preserve"> </w:t>
      </w:r>
      <w:r w:rsidRPr="00002D3F">
        <w:t xml:space="preserve">Armstrong, </w:t>
      </w:r>
      <w:proofErr w:type="spellStart"/>
      <w:r w:rsidR="00B979B9" w:rsidRPr="00B979B9">
        <w:t>Wealthow</w:t>
      </w:r>
      <w:proofErr w:type="spellEnd"/>
      <w:r>
        <w:t>,</w:t>
      </w:r>
      <w:r w:rsidRPr="00002D3F">
        <w:t xml:space="preserve"> </w:t>
      </w:r>
      <w:r w:rsidRPr="00AB507F">
        <w:rPr>
          <w:i/>
          <w:iCs/>
        </w:rPr>
        <w:t>The Western Boom: Urbanization and Investment from St. Louis to New Orleans, 1829–1842</w:t>
      </w:r>
      <w:r w:rsidRPr="00002D3F">
        <w:t xml:space="preserve">. </w:t>
      </w:r>
      <w:r>
        <w:t>(</w:t>
      </w:r>
      <w:r w:rsidR="00E65054">
        <w:t xml:space="preserve">Quiner </w:t>
      </w:r>
      <w:r w:rsidRPr="00002D3F">
        <w:t>University, 1968</w:t>
      </w:r>
      <w:r>
        <w:t>).</w:t>
      </w:r>
    </w:p>
  </w:endnote>
  <w:endnote w:id="85">
    <w:p w14:paraId="4C3B6F61" w14:textId="6011C45C" w:rsidR="00833FE0" w:rsidRDefault="00833FE0">
      <w:pPr>
        <w:pStyle w:val="EndnoteText"/>
      </w:pPr>
      <w:r>
        <w:rPr>
          <w:rStyle w:val="EndnoteReference"/>
        </w:rPr>
        <w:endnoteRef/>
      </w:r>
      <w:r>
        <w:t xml:space="preserve"> Note that there were also several private semaphore lines which ran parallel to lines; some of them ended up going out of business and consolidated as Color Lines. Similarly, the boom also saw private semaphore lines in </w:t>
      </w:r>
      <w:r w:rsidR="000B65AC">
        <w:t>places</w:t>
      </w:r>
      <w:r>
        <w:t xml:space="preserve"> </w:t>
      </w:r>
      <w:r w:rsidR="000B65AC">
        <w:t>without</w:t>
      </w:r>
      <w:r w:rsidR="00EF32DA">
        <w:t xml:space="preserve"> postal lines. See </w:t>
      </w:r>
      <w:r w:rsidR="00EF32DA" w:rsidRPr="00173966">
        <w:t>Porterfield, Isaac</w:t>
      </w:r>
      <w:r w:rsidR="00EF32DA">
        <w:t>,</w:t>
      </w:r>
      <w:r w:rsidR="00EF32DA" w:rsidRPr="00173966">
        <w:t xml:space="preserve"> </w:t>
      </w:r>
      <w:r w:rsidR="00EF32DA" w:rsidRPr="00173966">
        <w:rPr>
          <w:i/>
          <w:iCs/>
        </w:rPr>
        <w:t>Semaphore Republic: America’s First Communications Revolution</w:t>
      </w:r>
      <w:r w:rsidR="00EF32DA" w:rsidRPr="00173966">
        <w:t>. (Library of Alexandria Publishing, 2020</w:t>
      </w:r>
      <w:r w:rsidR="00EF32DA">
        <w:t xml:space="preserve">). </w:t>
      </w:r>
    </w:p>
  </w:endnote>
  <w:endnote w:id="86">
    <w:p w14:paraId="3DEC1D28" w14:textId="67276854" w:rsidR="00173966" w:rsidRDefault="00173966" w:rsidP="00AF4CAA">
      <w:pPr>
        <w:pStyle w:val="refnormal"/>
      </w:pPr>
      <w:r>
        <w:rPr>
          <w:rStyle w:val="EndnoteReference"/>
        </w:rPr>
        <w:endnoteRef/>
      </w:r>
      <w:r>
        <w:t xml:space="preserve"> </w:t>
      </w:r>
      <w:r w:rsidRPr="00173966">
        <w:t xml:space="preserve">Porterfield. </w:t>
      </w:r>
      <w:r w:rsidRPr="00173966">
        <w:rPr>
          <w:i/>
          <w:iCs/>
        </w:rPr>
        <w:t>Semaphore Republic</w:t>
      </w:r>
      <w:r w:rsidRPr="00173966">
        <w:t>. (2020).</w:t>
      </w:r>
    </w:p>
  </w:endnote>
  <w:endnote w:id="87">
    <w:p w14:paraId="53C77692" w14:textId="58A3049E" w:rsidR="007057C4" w:rsidRDefault="007057C4">
      <w:pPr>
        <w:pStyle w:val="EndnoteText"/>
      </w:pPr>
      <w:r>
        <w:rPr>
          <w:rStyle w:val="EndnoteReference"/>
        </w:rPr>
        <w:endnoteRef/>
      </w:r>
      <w:r>
        <w:t xml:space="preserve"> These were the </w:t>
      </w:r>
      <w:r w:rsidR="000A18C6">
        <w:t xml:space="preserve">Cobden-McCulloch reforms, implemented </w:t>
      </w:r>
      <w:r w:rsidR="00211734">
        <w:t>in 1832 by the revolutionary</w:t>
      </w:r>
      <w:r w:rsidR="00920077">
        <w:t xml:space="preserve"> Whitbread administration, which established a uniform post of a </w:t>
      </w:r>
      <w:r w:rsidR="003E6273">
        <w:t>centum</w:t>
      </w:r>
      <w:r w:rsidR="00920077">
        <w:t xml:space="preserve"> per letter</w:t>
      </w:r>
      <w:r w:rsidR="001C4BDA">
        <w:t xml:space="preserve"> and pre-payment by the sender verified through a postage stamp, which eventually came in the form of </w:t>
      </w:r>
      <w:r w:rsidR="005C48F7">
        <w:t>a separate adhesive piece of paper</w:t>
      </w:r>
      <w:r w:rsidR="0000278E">
        <w:t xml:space="preserve">. </w:t>
      </w:r>
      <w:r w:rsidR="001A14A2">
        <w:t>Though many observers thought th</w:t>
      </w:r>
      <w:r w:rsidR="008E5F40">
        <w:t>ese low prices</w:t>
      </w:r>
      <w:r w:rsidR="001A14A2">
        <w:t xml:space="preserve"> would bankrupt the fragile British government, it instead</w:t>
      </w:r>
      <w:r w:rsidR="009F0612">
        <w:t xml:space="preserve"> led to a massive boom in letters which more than made up for the lost margins, and in the years that followed similar reforms were implemented in other countries, such as the United States</w:t>
      </w:r>
      <w:r w:rsidR="00470D60">
        <w:t>.</w:t>
      </w:r>
      <w:r w:rsidR="001A14A2">
        <w:t xml:space="preserve"> </w:t>
      </w:r>
      <w:r w:rsidR="0000278E">
        <w:t xml:space="preserve">See Derbyshire, </w:t>
      </w:r>
      <w:r w:rsidR="00663496">
        <w:t xml:space="preserve">Charlotte, </w:t>
      </w:r>
      <w:r w:rsidR="00C1383F" w:rsidRPr="003354F9">
        <w:rPr>
          <w:i/>
          <w:iCs/>
        </w:rPr>
        <w:t>For All the Mail in England: The British General Post Office</w:t>
      </w:r>
      <w:r w:rsidR="003B0040" w:rsidRPr="003354F9">
        <w:rPr>
          <w:i/>
          <w:iCs/>
        </w:rPr>
        <w:t>, 1829 to Present</w:t>
      </w:r>
      <w:r w:rsidR="003B0040">
        <w:t xml:space="preserve"> (London University Press</w:t>
      </w:r>
      <w:r w:rsidR="00F2326B">
        <w:t xml:space="preserve">, 2019). </w:t>
      </w:r>
    </w:p>
  </w:endnote>
  <w:endnote w:id="88">
    <w:p w14:paraId="0F3ACEE1" w14:textId="2EAE3A84" w:rsidR="00045F71" w:rsidRDefault="00045F71">
      <w:pPr>
        <w:pStyle w:val="EndnoteText"/>
      </w:pPr>
      <w:r>
        <w:rPr>
          <w:rStyle w:val="EndnoteReference"/>
        </w:rPr>
        <w:endnoteRef/>
      </w:r>
      <w:r>
        <w:t xml:space="preserve"> Lawrence, Milton. </w:t>
      </w:r>
      <w:r w:rsidR="00FB22FA" w:rsidRPr="000B4CD5">
        <w:rPr>
          <w:i/>
          <w:iCs/>
        </w:rPr>
        <w:t>The Birth and Rise of the Smithsonian Institution</w:t>
      </w:r>
      <w:r w:rsidR="00432FD4">
        <w:t xml:space="preserve"> (Smithsonian History Press, 2004)</w:t>
      </w:r>
      <w:r w:rsidR="00E97E9D">
        <w:t xml:space="preserve">. </w:t>
      </w:r>
    </w:p>
  </w:endnote>
  <w:endnote w:id="89">
    <w:p w14:paraId="5CACD8F6" w14:textId="7218A472" w:rsidR="00E14CB7" w:rsidRDefault="00E14CB7">
      <w:pPr>
        <w:pStyle w:val="EndnoteText"/>
      </w:pPr>
      <w:r>
        <w:rPr>
          <w:rStyle w:val="EndnoteReference"/>
        </w:rPr>
        <w:endnoteRef/>
      </w:r>
      <w:r>
        <w:t xml:space="preserve"> </w:t>
      </w:r>
      <w:r w:rsidRPr="00E14CB7">
        <w:t>Stoddard, Hortense</w:t>
      </w:r>
      <w:r>
        <w:t xml:space="preserve">. </w:t>
      </w:r>
      <w:r w:rsidR="006A7AFB" w:rsidRPr="000B4CD5">
        <w:rPr>
          <w:i/>
          <w:iCs/>
        </w:rPr>
        <w:t>Genius in the Tower: The Science and Statesmanship of Joseph Henry</w:t>
      </w:r>
      <w:r w:rsidR="006A7AFB">
        <w:t xml:space="preserve"> (</w:t>
      </w:r>
      <w:r w:rsidR="006A7AFB" w:rsidRPr="006A7AFB">
        <w:t>Society for the Diffusion of Useful Knowledge</w:t>
      </w:r>
      <w:r w:rsidR="006A7AFB">
        <w:t xml:space="preserve">, 1952). </w:t>
      </w:r>
    </w:p>
  </w:endnote>
  <w:endnote w:id="90">
    <w:p w14:paraId="665BDA99" w14:textId="401B2770" w:rsidR="008125B7" w:rsidRDefault="008125B7" w:rsidP="00AF4CAA">
      <w:pPr>
        <w:pStyle w:val="refnormal"/>
      </w:pPr>
      <w:r>
        <w:rPr>
          <w:rStyle w:val="EndnoteReference"/>
        </w:rPr>
        <w:endnoteRef/>
      </w:r>
      <w:r>
        <w:t xml:space="preserve"> </w:t>
      </w:r>
      <w:r w:rsidRPr="008125B7">
        <w:t>Brickley, F.M.</w:t>
      </w:r>
      <w:r>
        <w:t>,</w:t>
      </w:r>
      <w:r w:rsidRPr="008125B7">
        <w:t xml:space="preserve"> </w:t>
      </w:r>
      <w:r w:rsidRPr="008125B7">
        <w:rPr>
          <w:i/>
          <w:iCs/>
        </w:rPr>
        <w:t>Banking, Booms, and Busts: American Finances in the Antebellum Years</w:t>
      </w:r>
      <w:r>
        <w:t xml:space="preserve"> (</w:t>
      </w:r>
      <w:r w:rsidRPr="008125B7">
        <w:t>Washington: Library of Alexander Publishing</w:t>
      </w:r>
      <w:r>
        <w:t xml:space="preserve">, </w:t>
      </w:r>
      <w:r w:rsidRPr="008125B7">
        <w:t>2023</w:t>
      </w:r>
      <w:r>
        <w:t>)</w:t>
      </w:r>
      <w:r w:rsidR="00002D3F">
        <w:t>.</w:t>
      </w:r>
    </w:p>
  </w:endnote>
  <w:endnote w:id="91">
    <w:p w14:paraId="21A2B214" w14:textId="6E0B5E25" w:rsidR="0040309F" w:rsidRDefault="0040309F" w:rsidP="00AF4CAA">
      <w:pPr>
        <w:pStyle w:val="refnormal"/>
      </w:pPr>
      <w:r>
        <w:rPr>
          <w:rStyle w:val="EndnoteReference"/>
        </w:rPr>
        <w:endnoteRef/>
      </w:r>
      <w:r>
        <w:t xml:space="preserve"> </w:t>
      </w:r>
      <w:r w:rsidRPr="0040309F">
        <w:t>Hayes, Carolyn. "Clark v. Illinois and the Centralization of American Credit."</w:t>
      </w:r>
      <w:r>
        <w:t xml:space="preserve"> (</w:t>
      </w:r>
      <w:r w:rsidRPr="0040309F">
        <w:t>Economic Review, no. 1.</w:t>
      </w:r>
      <w:r>
        <w:t xml:space="preserve">, </w:t>
      </w:r>
      <w:r w:rsidRPr="0040309F">
        <w:t>2005</w:t>
      </w:r>
      <w:r>
        <w:t>).</w:t>
      </w:r>
    </w:p>
  </w:endnote>
  <w:endnote w:id="92">
    <w:p w14:paraId="21DA1B4E" w14:textId="5371CBE0" w:rsidR="007F2B44" w:rsidRDefault="007F2B44" w:rsidP="00AF4CAA">
      <w:pPr>
        <w:pStyle w:val="refnormal"/>
      </w:pPr>
      <w:r>
        <w:rPr>
          <w:rStyle w:val="EndnoteReference"/>
        </w:rPr>
        <w:endnoteRef/>
      </w:r>
      <w:r>
        <w:t xml:space="preserve"> </w:t>
      </w:r>
      <w:r w:rsidRPr="007F2B44">
        <w:t>Cartwright, A. W.</w:t>
      </w:r>
      <w:r>
        <w:t>,</w:t>
      </w:r>
      <w:r w:rsidRPr="007F2B44">
        <w:t xml:space="preserve"> </w:t>
      </w:r>
      <w:r w:rsidRPr="00452A23">
        <w:rPr>
          <w:i/>
          <w:iCs/>
        </w:rPr>
        <w:t>The Collapse of Canal Mania: Financial Panic and Infrastructure Retrenchment, 1839–1844</w:t>
      </w:r>
      <w:r>
        <w:t xml:space="preserve"> (</w:t>
      </w:r>
      <w:r w:rsidRPr="007F2B44">
        <w:t>Mackintosh University Press</w:t>
      </w:r>
      <w:r>
        <w:t xml:space="preserve">, </w:t>
      </w:r>
      <w:r w:rsidRPr="007F2B44">
        <w:t>1994</w:t>
      </w:r>
      <w:r>
        <w:t>).</w:t>
      </w:r>
    </w:p>
  </w:endnote>
  <w:endnote w:id="93">
    <w:p w14:paraId="6ED463C7" w14:textId="63C25EC9" w:rsidR="00BF3B21" w:rsidRDefault="00BF3B21" w:rsidP="00AF4CAA">
      <w:pPr>
        <w:pStyle w:val="refnormal"/>
      </w:pPr>
      <w:r>
        <w:rPr>
          <w:rStyle w:val="EndnoteReference"/>
        </w:rPr>
        <w:endnoteRef/>
      </w:r>
      <w:r>
        <w:t xml:space="preserve"> Holloway, Thomas. </w:t>
      </w:r>
      <w:r w:rsidRPr="00452A23">
        <w:rPr>
          <w:i/>
          <w:iCs/>
        </w:rPr>
        <w:t>Saint Tippecanoe: The Life and Times of William Henry Harrison</w:t>
      </w:r>
      <w:r>
        <w:t xml:space="preserve"> (University of New Jersey, 1985).</w:t>
      </w:r>
    </w:p>
  </w:endnote>
  <w:endnote w:id="94">
    <w:p w14:paraId="7C3B5098" w14:textId="7C4D6054" w:rsidR="0040259D" w:rsidRDefault="0040259D">
      <w:pPr>
        <w:pStyle w:val="EndnoteText"/>
      </w:pPr>
      <w:r>
        <w:rPr>
          <w:rStyle w:val="EndnoteReference"/>
        </w:rPr>
        <w:endnoteRef/>
      </w:r>
      <w:r>
        <w:t xml:space="preserve"> Most of this narrative</w:t>
      </w:r>
      <w:r w:rsidR="00BE07D1">
        <w:t xml:space="preserve"> of Lafayette’s early life</w:t>
      </w:r>
      <w:r>
        <w:t xml:space="preserve"> comes from </w:t>
      </w:r>
      <w:r w:rsidR="00750987">
        <w:t xml:space="preserve">MacDonough, </w:t>
      </w:r>
      <w:r w:rsidR="00BE07D1">
        <w:t xml:space="preserve">Bob, </w:t>
      </w:r>
      <w:r w:rsidR="007C2ED6" w:rsidRPr="00531140">
        <w:rPr>
          <w:i/>
          <w:iCs/>
        </w:rPr>
        <w:t>Hero of Two Worlds: The Life and Times of Citizen Lafayette</w:t>
      </w:r>
      <w:r w:rsidR="007C2ED6">
        <w:t xml:space="preserve"> (2001, </w:t>
      </w:r>
      <w:r w:rsidR="00B846E6">
        <w:t>Atlantic &amp; Sons</w:t>
      </w:r>
      <w:r w:rsidR="005F5AE2">
        <w:t xml:space="preserve">). </w:t>
      </w:r>
    </w:p>
  </w:endnote>
  <w:endnote w:id="95">
    <w:p w14:paraId="1BAD01C7" w14:textId="60521909" w:rsidR="00BB52C7" w:rsidRDefault="00BB52C7" w:rsidP="00AF4CAA">
      <w:pPr>
        <w:pStyle w:val="refnormal"/>
      </w:pPr>
      <w:r>
        <w:rPr>
          <w:rStyle w:val="EndnoteReference"/>
        </w:rPr>
        <w:endnoteRef/>
      </w:r>
      <w:r>
        <w:t xml:space="preserve"> </w:t>
      </w:r>
      <w:r w:rsidRPr="00BB52C7">
        <w:t>Martinez, Rafael</w:t>
      </w:r>
      <w:r>
        <w:t>.</w:t>
      </w:r>
      <w:r w:rsidRPr="00BB52C7">
        <w:t xml:space="preserve"> </w:t>
      </w:r>
      <w:r w:rsidRPr="006462B6">
        <w:rPr>
          <w:i/>
          <w:iCs/>
        </w:rPr>
        <w:t>Slavery’s Frontier: Expansion, Illegality, and Subversion in Missouri Territory, 1830–1836</w:t>
      </w:r>
      <w:r w:rsidRPr="00BB52C7">
        <w:t xml:space="preserve">. </w:t>
      </w:r>
      <w:r w:rsidR="00CF1640">
        <w:t>(</w:t>
      </w:r>
      <w:r w:rsidR="00707760">
        <w:t xml:space="preserve">Republican </w:t>
      </w:r>
      <w:r w:rsidRPr="00BB52C7">
        <w:t xml:space="preserve">University of </w:t>
      </w:r>
      <w:r w:rsidR="00707760">
        <w:t>Matamoros</w:t>
      </w:r>
      <w:r w:rsidRPr="00BB52C7">
        <w:t>, 1996</w:t>
      </w:r>
      <w:r w:rsidR="00CF1640">
        <w:t>)</w:t>
      </w:r>
      <w:r w:rsidRPr="00BB52C7">
        <w:t>.</w:t>
      </w:r>
    </w:p>
  </w:endnote>
  <w:endnote w:id="96">
    <w:p w14:paraId="382B5E1F" w14:textId="4868D3AF" w:rsidR="00B262A9" w:rsidRDefault="00B262A9" w:rsidP="00AF4CAA">
      <w:pPr>
        <w:pStyle w:val="refnormal"/>
      </w:pPr>
      <w:r>
        <w:rPr>
          <w:rStyle w:val="EndnoteReference"/>
        </w:rPr>
        <w:endnoteRef/>
      </w:r>
      <w:r>
        <w:t xml:space="preserve"> This comparative analysis is perhaps best elucidated by </w:t>
      </w:r>
      <w:r w:rsidRPr="00B262A9">
        <w:t xml:space="preserve">Freeman, Olivia. </w:t>
      </w:r>
      <w:r w:rsidRPr="00B262A9">
        <w:rPr>
          <w:i/>
          <w:iCs/>
        </w:rPr>
        <w:t>The Broken States: A Comparative Study of the Illinois and Missouri Crises</w:t>
      </w:r>
      <w:r w:rsidRPr="00B262A9">
        <w:t xml:space="preserve">. </w:t>
      </w:r>
      <w:r>
        <w:t>(</w:t>
      </w:r>
      <w:r w:rsidRPr="00B262A9">
        <w:t>Yale University Press, 2020</w:t>
      </w:r>
      <w:r>
        <w:t xml:space="preserve">). </w:t>
      </w:r>
    </w:p>
  </w:endnote>
  <w:endnote w:id="97">
    <w:p w14:paraId="2A62F387" w14:textId="1271BEBD" w:rsidR="00D35CF4" w:rsidRDefault="00D35CF4" w:rsidP="00AF4CAA">
      <w:pPr>
        <w:pStyle w:val="refnormal"/>
      </w:pPr>
      <w:r>
        <w:rPr>
          <w:rStyle w:val="EndnoteReference"/>
        </w:rPr>
        <w:endnoteRef/>
      </w:r>
      <w:r>
        <w:t xml:space="preserve"> </w:t>
      </w:r>
      <w:r w:rsidRPr="00D35CF4">
        <w:t>Holloway, Thomas</w:t>
      </w:r>
      <w:r>
        <w:t>.</w:t>
      </w:r>
      <w:r w:rsidRPr="00D35CF4">
        <w:t xml:space="preserve"> </w:t>
      </w:r>
      <w:r w:rsidRPr="00D35CF4">
        <w:rPr>
          <w:i/>
          <w:iCs/>
        </w:rPr>
        <w:t>Master of Compromise: Henry Clay and the Politics of Delay</w:t>
      </w:r>
      <w:r w:rsidRPr="00D35CF4">
        <w:t xml:space="preserve">. </w:t>
      </w:r>
      <w:r>
        <w:t>(</w:t>
      </w:r>
      <w:r w:rsidRPr="00D35CF4">
        <w:t>University</w:t>
      </w:r>
      <w:r w:rsidR="006D4594">
        <w:t xml:space="preserve"> of New Jersey</w:t>
      </w:r>
      <w:r w:rsidRPr="00D35CF4">
        <w:t xml:space="preserve"> Press, 1978</w:t>
      </w:r>
      <w:r>
        <w:t>)</w:t>
      </w:r>
      <w:r w:rsidRPr="00D35CF4">
        <w:t>.</w:t>
      </w:r>
    </w:p>
  </w:endnote>
  <w:endnote w:id="98">
    <w:p w14:paraId="45F96C09" w14:textId="185E2984" w:rsidR="00F5714D" w:rsidRDefault="00F5714D" w:rsidP="00AF4CAA">
      <w:pPr>
        <w:pStyle w:val="refnormal"/>
      </w:pPr>
      <w:r>
        <w:rPr>
          <w:rStyle w:val="EndnoteReference"/>
        </w:rPr>
        <w:endnoteRef/>
      </w:r>
      <w:r>
        <w:t xml:space="preserve"> </w:t>
      </w:r>
      <w:r w:rsidRPr="00F5714D">
        <w:t xml:space="preserve">Foster, Elaine. </w:t>
      </w:r>
      <w:r w:rsidRPr="007046FC">
        <w:rPr>
          <w:i/>
          <w:iCs/>
        </w:rPr>
        <w:t>From Luisiana to Liberty: The Crisis of 1836 and the Making of a Divided Republic</w:t>
      </w:r>
      <w:r w:rsidRPr="00F5714D">
        <w:t xml:space="preserve">. </w:t>
      </w:r>
      <w:r>
        <w:t>(</w:t>
      </w:r>
      <w:r w:rsidRPr="00F5714D">
        <w:t xml:space="preserve">University of </w:t>
      </w:r>
      <w:r>
        <w:t>Memphis</w:t>
      </w:r>
      <w:r w:rsidRPr="00F5714D">
        <w:t>, 1984</w:t>
      </w:r>
      <w:r>
        <w:t>)</w:t>
      </w:r>
      <w:r w:rsidRPr="00F5714D">
        <w:t>.</w:t>
      </w:r>
    </w:p>
  </w:endnote>
  <w:endnote w:id="99">
    <w:p w14:paraId="4AF4F707" w14:textId="03EB8DE8" w:rsidR="004C4523" w:rsidRDefault="004C4523"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100">
    <w:p w14:paraId="222BFE94" w14:textId="4BFE32AB" w:rsidR="00DE159A" w:rsidRPr="00DE159A" w:rsidRDefault="00DE159A" w:rsidP="00AF4CAA">
      <w:pPr>
        <w:pStyle w:val="refnormal"/>
        <w:rPr>
          <w:lang w:val="en-US"/>
        </w:rPr>
      </w:pPr>
      <w:r>
        <w:rPr>
          <w:rStyle w:val="EndnoteReference"/>
        </w:rPr>
        <w:endnoteRef/>
      </w:r>
      <w:r>
        <w:t xml:space="preserve"> </w:t>
      </w:r>
      <w:r w:rsidR="003330F4">
        <w:t xml:space="preserve">A work no less famous than </w:t>
      </w:r>
      <w:r>
        <w:t>Frederick Bauer’s seminal</w:t>
      </w:r>
      <w:r w:rsidR="00B31CA9">
        <w:t xml:space="preserve"> and influential</w:t>
      </w:r>
      <w:r w:rsidR="00CD699C">
        <w:t xml:space="preserve"> four-volume work</w:t>
      </w:r>
      <w:r>
        <w:t xml:space="preserve"> </w:t>
      </w:r>
      <w:r w:rsidRPr="0042356D">
        <w:rPr>
          <w:i/>
          <w:iCs/>
        </w:rPr>
        <w:t>On the Planter Ascendancy</w:t>
      </w:r>
      <w:r>
        <w:t xml:space="preserve"> (Cincinnati Gazette, 1859-1882)</w:t>
      </w:r>
      <w:r w:rsidR="0042356D">
        <w:t xml:space="preserve">, specifically </w:t>
      </w:r>
      <w:r w:rsidR="0042356D" w:rsidRPr="0042356D">
        <w:rPr>
          <w:i/>
          <w:iCs/>
        </w:rPr>
        <w:t>Volume I: A Critique of Political Economy</w:t>
      </w:r>
      <w:r w:rsidR="0042356D">
        <w:t xml:space="preserve"> (1859), </w:t>
      </w:r>
      <w:r w:rsidR="00E94B6F">
        <w:t>declares this</w:t>
      </w:r>
      <w:r w:rsidR="00984238">
        <w:t xml:space="preserve"> election</w:t>
      </w:r>
      <w:r w:rsidR="00E94B6F">
        <w:t xml:space="preserve"> the moment that the </w:t>
      </w:r>
      <w:r w:rsidR="00296B2F">
        <w:t xml:space="preserve">United States fell to the </w:t>
      </w:r>
      <w:r w:rsidR="00ED7DDA">
        <w:t>Planter Ascendancy</w:t>
      </w:r>
      <w:r w:rsidR="001F072F">
        <w:t xml:space="preserve">. </w:t>
      </w:r>
    </w:p>
  </w:endnote>
  <w:endnote w:id="101">
    <w:p w14:paraId="47303422" w14:textId="2B709CF5" w:rsidR="005472A4" w:rsidRDefault="005472A4" w:rsidP="00AF4CAA">
      <w:pPr>
        <w:pStyle w:val="refnormal"/>
      </w:pPr>
      <w:r>
        <w:rPr>
          <w:rStyle w:val="EndnoteReference"/>
        </w:rPr>
        <w:endnoteRef/>
      </w:r>
      <w:r>
        <w:t xml:space="preserve"> Wickers, Allen, </w:t>
      </w:r>
      <w:r w:rsidRPr="00A669BB">
        <w:rPr>
          <w:i/>
          <w:iCs/>
        </w:rPr>
        <w:t>The National Nadir: The Pike Presidency and the Slow Crisis of the Sections</w:t>
      </w:r>
      <w:r>
        <w:t xml:space="preserve"> (University of </w:t>
      </w:r>
      <w:proofErr w:type="spellStart"/>
      <w:r w:rsidR="00DD2AFF">
        <w:t>Harrisonopolis</w:t>
      </w:r>
      <w:proofErr w:type="spellEnd"/>
      <w:r>
        <w:t xml:space="preserve"> Press, 1977</w:t>
      </w:r>
      <w:r w:rsidR="00DD2AFF">
        <w:t>)</w:t>
      </w:r>
      <w:r>
        <w:t xml:space="preserve">. </w:t>
      </w:r>
    </w:p>
  </w:endnote>
  <w:endnote w:id="102">
    <w:p w14:paraId="21348C45" w14:textId="1187EFFB" w:rsidR="002D0C04" w:rsidRDefault="002D0C04" w:rsidP="00AF4CAA">
      <w:pPr>
        <w:pStyle w:val="refnormal"/>
      </w:pPr>
      <w:r>
        <w:rPr>
          <w:rStyle w:val="EndnoteReference"/>
        </w:rPr>
        <w:endnoteRef/>
      </w:r>
      <w:r>
        <w:t xml:space="preserve"> </w:t>
      </w:r>
      <w:r w:rsidRPr="002D0C04">
        <w:t xml:space="preserve">Morgan, Elias. </w:t>
      </w:r>
      <w:r w:rsidRPr="00A669BB">
        <w:rPr>
          <w:i/>
          <w:iCs/>
        </w:rPr>
        <w:t>The Chain Reforged: The Planter Ascendancy in the Pike Administration</w:t>
      </w:r>
      <w:r w:rsidRPr="002D0C04">
        <w:t>. (</w:t>
      </w:r>
      <w:r>
        <w:t xml:space="preserve">University of </w:t>
      </w:r>
      <w:proofErr w:type="spellStart"/>
      <w:r>
        <w:t>Harrisonopolis</w:t>
      </w:r>
      <w:proofErr w:type="spellEnd"/>
      <w:r>
        <w:t xml:space="preserve"> Press</w:t>
      </w:r>
      <w:r w:rsidRPr="002D0C04">
        <w:t>, 1962).</w:t>
      </w:r>
    </w:p>
  </w:endnote>
  <w:endnote w:id="103">
    <w:p w14:paraId="4494ADED" w14:textId="4F7A7481" w:rsidR="00680816" w:rsidRDefault="00680816" w:rsidP="00AF4CAA">
      <w:pPr>
        <w:pStyle w:val="refnormal"/>
      </w:pPr>
      <w:r>
        <w:rPr>
          <w:rStyle w:val="EndnoteReference"/>
        </w:rPr>
        <w:endnoteRef/>
      </w:r>
      <w:r>
        <w:t xml:space="preserve"> The Upper Canadian government, under Governor Joseph Willcocks and his successor William Lyon Mackenzie, refused to give slave catchers </w:t>
      </w:r>
      <w:r w:rsidR="00B71096">
        <w:t>even the right to enter, much less to take fugitive slaves with them</w:t>
      </w:r>
      <w:r>
        <w:t xml:space="preserve">. </w:t>
      </w:r>
      <w:r w:rsidR="00B71096">
        <w:t>Most of Canada’s modern Colored population is descended from fugitive slaves fleeing northwards, and Canada’s modern</w:t>
      </w:r>
      <w:r w:rsidR="00BD254E">
        <w:t xml:space="preserve"> national</w:t>
      </w:r>
      <w:r w:rsidR="00B71096">
        <w:t xml:space="preserve"> identity, as a nation </w:t>
      </w:r>
      <w:r w:rsidR="0070015C">
        <w:t>embodying the same values of its southern neighbor but at its very best</w:t>
      </w:r>
      <w:r w:rsidR="00B71096">
        <w:t xml:space="preserve">, owes itself to </w:t>
      </w:r>
      <w:r w:rsidR="00BD254E">
        <w:t>the fugitive slave controversy</w:t>
      </w:r>
      <w:r w:rsidR="00B71096">
        <w:t xml:space="preserve">. </w:t>
      </w:r>
      <w:r w:rsidR="004F54B5">
        <w:t xml:space="preserve">See Turnbull, Malcolm. </w:t>
      </w:r>
      <w:r w:rsidR="004F54B5" w:rsidRPr="004F54B5">
        <w:rPr>
          <w:i/>
          <w:iCs/>
        </w:rPr>
        <w:t>From Freedom to Flight: The Colored Exodus to Canada, 1837-1845</w:t>
      </w:r>
      <w:r w:rsidR="004F54B5">
        <w:t xml:space="preserve"> (Toronto University Press, 1989)</w:t>
      </w:r>
      <w:r w:rsidR="002E6661">
        <w:t xml:space="preserve">. </w:t>
      </w:r>
    </w:p>
  </w:endnote>
  <w:endnote w:id="104">
    <w:p w14:paraId="284B5781" w14:textId="09BD4B24" w:rsidR="004F02B1" w:rsidRDefault="004F02B1" w:rsidP="00AF4CAA">
      <w:pPr>
        <w:pStyle w:val="refnormal"/>
      </w:pPr>
      <w:r>
        <w:rPr>
          <w:rStyle w:val="EndnoteReference"/>
        </w:rPr>
        <w:endnoteRef/>
      </w:r>
      <w:r>
        <w:t xml:space="preserve"> Harmon, Elijah. </w:t>
      </w:r>
      <w:r w:rsidRPr="001035D2">
        <w:rPr>
          <w:i/>
          <w:iCs/>
        </w:rPr>
        <w:t xml:space="preserve">The </w:t>
      </w:r>
      <w:r w:rsidR="001035D2" w:rsidRPr="001035D2">
        <w:rPr>
          <w:i/>
          <w:iCs/>
        </w:rPr>
        <w:t>Death</w:t>
      </w:r>
      <w:r w:rsidRPr="001035D2">
        <w:rPr>
          <w:i/>
          <w:iCs/>
        </w:rPr>
        <w:t xml:space="preserve"> of </w:t>
      </w:r>
      <w:r w:rsidR="001035D2" w:rsidRPr="001035D2">
        <w:rPr>
          <w:i/>
          <w:iCs/>
        </w:rPr>
        <w:t>Benjamin Lundy, Holy Martyr for Emancipation</w:t>
      </w:r>
      <w:r>
        <w:t xml:space="preserve"> (firsthand account, serialized in The </w:t>
      </w:r>
      <w:r w:rsidR="00145A2D">
        <w:t>Liberator</w:t>
      </w:r>
      <w:r>
        <w:t>, 1840)</w:t>
      </w:r>
      <w:r w:rsidR="00D85DFF">
        <w:t>.</w:t>
      </w:r>
    </w:p>
  </w:endnote>
  <w:endnote w:id="105">
    <w:p w14:paraId="06753EEE" w14:textId="6AE77ECF" w:rsidR="005E7D98" w:rsidRDefault="005E7D98" w:rsidP="00AF4CAA">
      <w:pPr>
        <w:pStyle w:val="refnormal"/>
      </w:pPr>
      <w:r>
        <w:rPr>
          <w:rStyle w:val="EndnoteReference"/>
        </w:rPr>
        <w:endnoteRef/>
      </w:r>
      <w:r>
        <w:t xml:space="preserve"> </w:t>
      </w:r>
      <w:r w:rsidRPr="005E7D98">
        <w:t xml:space="preserve">Whitmore, Charles. </w:t>
      </w:r>
      <w:r w:rsidR="00E02EAF" w:rsidRPr="00A669BB">
        <w:rPr>
          <w:i/>
          <w:iCs/>
        </w:rPr>
        <w:t>Bonds</w:t>
      </w:r>
      <w:r w:rsidRPr="00A669BB">
        <w:rPr>
          <w:i/>
          <w:iCs/>
        </w:rPr>
        <w:t xml:space="preserve"> of Anxiety: </w:t>
      </w:r>
      <w:proofErr w:type="gramStart"/>
      <w:r w:rsidRPr="00A669BB">
        <w:rPr>
          <w:i/>
          <w:iCs/>
        </w:rPr>
        <w:t>British-American</w:t>
      </w:r>
      <w:proofErr w:type="gramEnd"/>
      <w:r w:rsidRPr="00A669BB">
        <w:rPr>
          <w:i/>
          <w:iCs/>
        </w:rPr>
        <w:t xml:space="preserve"> Relations in the Age of Abolition</w:t>
      </w:r>
      <w:r w:rsidRPr="005E7D98">
        <w:t>. (</w:t>
      </w:r>
      <w:r w:rsidR="00DE6959">
        <w:t xml:space="preserve">2010, </w:t>
      </w:r>
      <w:r>
        <w:t>London</w:t>
      </w:r>
      <w:r w:rsidRPr="005E7D98">
        <w:t xml:space="preserve"> University Press).</w:t>
      </w:r>
    </w:p>
  </w:endnote>
  <w:endnote w:id="106">
    <w:p w14:paraId="4133A197" w14:textId="5515F072" w:rsidR="00BB5773" w:rsidRDefault="00BB5773" w:rsidP="00AF4CAA">
      <w:pPr>
        <w:pStyle w:val="refnormal"/>
      </w:pPr>
      <w:r>
        <w:rPr>
          <w:rStyle w:val="EndnoteReference"/>
        </w:rPr>
        <w:endnoteRef/>
      </w:r>
      <w:r>
        <w:t xml:space="preserve"> For a full treatment of the life of Francisco de Miranda, see Hugo de </w:t>
      </w:r>
      <w:proofErr w:type="spellStart"/>
      <w:r>
        <w:t>los</w:t>
      </w:r>
      <w:proofErr w:type="spellEnd"/>
      <w:r>
        <w:t xml:space="preserve"> Reyes’ </w:t>
      </w:r>
      <w:r w:rsidR="004B0AA4">
        <w:t>four</w:t>
      </w:r>
      <w:r>
        <w:t xml:space="preserve">-volume biography, </w:t>
      </w:r>
      <w:r w:rsidRPr="00BB5773">
        <w:rPr>
          <w:i/>
          <w:iCs/>
        </w:rPr>
        <w:t>The Liberator: The Life of Francisco de Miranda</w:t>
      </w:r>
      <w:r w:rsidR="008E6BC3">
        <w:rPr>
          <w:i/>
          <w:iCs/>
        </w:rPr>
        <w:t>, 1750-1828</w:t>
      </w:r>
      <w:r>
        <w:t xml:space="preserve"> (</w:t>
      </w:r>
      <w:r w:rsidR="008E6BC3" w:rsidRPr="008E6BC3">
        <w:t>Universidad Autónoma Republicana de Ciudad Miranda</w:t>
      </w:r>
      <w:r>
        <w:t>, 1994</w:t>
      </w:r>
      <w:r w:rsidR="008E6BC3">
        <w:t>-20</w:t>
      </w:r>
      <w:r w:rsidR="002218B5">
        <w:t>1</w:t>
      </w:r>
      <w:r w:rsidR="00DA5F6E">
        <w:t>4</w:t>
      </w:r>
      <w:r w:rsidR="008E6BC3">
        <w:t>)</w:t>
      </w:r>
      <w:r w:rsidR="00E87905">
        <w:t>. On his long exile, see</w:t>
      </w:r>
      <w:r w:rsidR="008E6BC3">
        <w:t xml:space="preserve"> </w:t>
      </w:r>
      <w:r w:rsidR="008E6BC3" w:rsidRPr="008E6BC3">
        <w:rPr>
          <w:i/>
          <w:iCs/>
        </w:rPr>
        <w:t>Volume II: The Great Exile, 1771-1</w:t>
      </w:r>
      <w:r w:rsidR="00E87905">
        <w:rPr>
          <w:i/>
          <w:iCs/>
        </w:rPr>
        <w:t>798</w:t>
      </w:r>
      <w:r w:rsidR="008E6BC3">
        <w:t xml:space="preserve"> (200</w:t>
      </w:r>
      <w:r w:rsidR="002218B5">
        <w:t>1</w:t>
      </w:r>
      <w:r w:rsidR="00AC5E77">
        <w:t>, trans. 2005</w:t>
      </w:r>
      <w:r w:rsidR="008E6BC3">
        <w:t>)</w:t>
      </w:r>
      <w:r w:rsidR="00E87905">
        <w:t xml:space="preserve"> and </w:t>
      </w:r>
      <w:r w:rsidR="00E87905" w:rsidRPr="00E87905">
        <w:rPr>
          <w:i/>
          <w:iCs/>
        </w:rPr>
        <w:t>Volume III: The Conspirator of Liberty</w:t>
      </w:r>
      <w:r w:rsidR="00BB503D">
        <w:rPr>
          <w:i/>
          <w:iCs/>
        </w:rPr>
        <w:t>, 1798-1823</w:t>
      </w:r>
      <w:r w:rsidR="00E87905">
        <w:t xml:space="preserve"> (2007</w:t>
      </w:r>
      <w:r w:rsidR="00AC5E77">
        <w:t>, trans. 2010</w:t>
      </w:r>
      <w:r w:rsidR="00E87905">
        <w:t>)</w:t>
      </w:r>
      <w:r w:rsidR="008E6BC3">
        <w:t xml:space="preserve">. </w:t>
      </w:r>
    </w:p>
  </w:endnote>
  <w:endnote w:id="107">
    <w:p w14:paraId="27B48039" w14:textId="6C14B3A0" w:rsidR="00DD1148" w:rsidRDefault="00DD1148" w:rsidP="00AF4CAA">
      <w:pPr>
        <w:pStyle w:val="refnormal"/>
      </w:pPr>
      <w:r>
        <w:rPr>
          <w:rStyle w:val="EndnoteReference"/>
        </w:rPr>
        <w:endnoteRef/>
      </w:r>
      <w:r>
        <w:t xml:space="preserve"> </w:t>
      </w:r>
      <w:r w:rsidRPr="002D0C04">
        <w:t xml:space="preserve">Morgan, Elias. </w:t>
      </w:r>
      <w:r w:rsidRPr="00DD1148">
        <w:t>The Chain Reforged: The Planter Ascendancy in the Pike Administration</w:t>
      </w:r>
      <w:r w:rsidRPr="002D0C04">
        <w:t>. (</w:t>
      </w:r>
      <w:r w:rsidR="00DE6959">
        <w:t xml:space="preserve">1962, </w:t>
      </w:r>
      <w:r>
        <w:t xml:space="preserve">University of </w:t>
      </w:r>
      <w:proofErr w:type="spellStart"/>
      <w:r>
        <w:t>Harrisonopolis</w:t>
      </w:r>
      <w:proofErr w:type="spellEnd"/>
      <w:r>
        <w:t xml:space="preserve"> Press</w:t>
      </w:r>
      <w:r w:rsidRPr="002D0C04">
        <w:t>).</w:t>
      </w:r>
    </w:p>
  </w:endnote>
  <w:endnote w:id="108">
    <w:p w14:paraId="0BC0FC12" w14:textId="27DF2D47" w:rsidR="00224390" w:rsidRDefault="00224390" w:rsidP="00AF4CAA">
      <w:pPr>
        <w:pStyle w:val="refnormal"/>
      </w:pPr>
      <w:r>
        <w:rPr>
          <w:rStyle w:val="EndnoteReference"/>
        </w:rPr>
        <w:endnoteRef/>
      </w:r>
      <w:r>
        <w:t xml:space="preserve"> </w:t>
      </w:r>
      <w:r w:rsidRPr="00224390">
        <w:t xml:space="preserve">Davis, Juliette. </w:t>
      </w:r>
      <w:r w:rsidRPr="0022546E">
        <w:rPr>
          <w:i/>
          <w:iCs/>
        </w:rPr>
        <w:t>Race, Revolution, and Republics: The U.S., Haiti, and Bahia in the 19th Century Imagination</w:t>
      </w:r>
      <w:r w:rsidRPr="00224390">
        <w:t>. (</w:t>
      </w:r>
      <w:r w:rsidR="00DE6959">
        <w:t xml:space="preserve">2022, </w:t>
      </w:r>
      <w:r w:rsidRPr="00224390">
        <w:t xml:space="preserve">University of </w:t>
      </w:r>
      <w:proofErr w:type="spellStart"/>
      <w:r>
        <w:t>Ballyburr</w:t>
      </w:r>
      <w:proofErr w:type="spellEnd"/>
      <w:r w:rsidRPr="00224390">
        <w:t xml:space="preserve"> Press).</w:t>
      </w:r>
    </w:p>
  </w:endnote>
  <w:endnote w:id="109">
    <w:p w14:paraId="7D6990FE" w14:textId="3A7A4143" w:rsidR="00CF1B8B" w:rsidRDefault="00CF1B8B" w:rsidP="00AF4CAA">
      <w:pPr>
        <w:pStyle w:val="refnormal"/>
      </w:pPr>
      <w:r>
        <w:rPr>
          <w:rStyle w:val="EndnoteReference"/>
        </w:rPr>
        <w:endnoteRef/>
      </w:r>
      <w:r>
        <w:t xml:space="preserve"> For a full analysis of Henry Clay’s idea of hemispheric liberty</w:t>
      </w:r>
      <w:r w:rsidR="00DA37B4">
        <w:t>, and its ultimate faltering</w:t>
      </w:r>
      <w:r>
        <w:t xml:space="preserve">, see </w:t>
      </w:r>
      <w:r w:rsidRPr="00CF1B8B">
        <w:t xml:space="preserve">Thompson, Harold. </w:t>
      </w:r>
      <w:r>
        <w:rPr>
          <w:i/>
          <w:iCs/>
        </w:rPr>
        <w:t xml:space="preserve">The </w:t>
      </w:r>
      <w:r w:rsidRPr="00CF1B8B">
        <w:rPr>
          <w:i/>
          <w:iCs/>
        </w:rPr>
        <w:t xml:space="preserve">Pan-American </w:t>
      </w:r>
      <w:r>
        <w:rPr>
          <w:i/>
          <w:iCs/>
        </w:rPr>
        <w:t>Idea</w:t>
      </w:r>
      <w:r w:rsidRPr="00CF1B8B">
        <w:rPr>
          <w:i/>
          <w:iCs/>
        </w:rPr>
        <w:t>: Diplomacy and Disillusionment, 1829–1837</w:t>
      </w:r>
      <w:r w:rsidRPr="00CF1B8B">
        <w:t>. (</w:t>
      </w:r>
      <w:r w:rsidR="00C46554">
        <w:t xml:space="preserve">1988, </w:t>
      </w:r>
      <w:proofErr w:type="spellStart"/>
      <w:r>
        <w:t>Websteropolis</w:t>
      </w:r>
      <w:proofErr w:type="spellEnd"/>
      <w:r w:rsidRPr="00CF1B8B">
        <w:t xml:space="preserve"> University Pres</w:t>
      </w:r>
      <w:r w:rsidR="00C46554">
        <w:t>s</w:t>
      </w:r>
      <w:r w:rsidRPr="00CF1B8B">
        <w:t>).</w:t>
      </w:r>
    </w:p>
  </w:endnote>
  <w:endnote w:id="110">
    <w:p w14:paraId="75E2FE5F" w14:textId="319D3CB8" w:rsidR="00A4172E" w:rsidRDefault="00A4172E" w:rsidP="00AF4CAA">
      <w:pPr>
        <w:pStyle w:val="refnormal"/>
      </w:pPr>
      <w:r>
        <w:rPr>
          <w:rStyle w:val="EndnoteReference"/>
        </w:rPr>
        <w:endnoteRef/>
      </w:r>
      <w:r>
        <w:t xml:space="preserve"> </w:t>
      </w:r>
      <w:r w:rsidRPr="00A4172E">
        <w:t>Belknap, George</w:t>
      </w:r>
      <w:r w:rsidR="002B1791">
        <w:t>,</w:t>
      </w:r>
      <w:r w:rsidRPr="00A4172E">
        <w:t xml:space="preserve"> </w:t>
      </w:r>
      <w:r w:rsidRPr="00A4172E">
        <w:rPr>
          <w:i/>
          <w:iCs/>
        </w:rPr>
        <w:t>The Miserable Little Conflict: The Second Quasi-War, 1839-42</w:t>
      </w:r>
      <w:r w:rsidRPr="00A4172E">
        <w:t>. (</w:t>
      </w:r>
      <w:r w:rsidR="00A668D9">
        <w:t xml:space="preserve">1993, </w:t>
      </w:r>
      <w:r w:rsidRPr="00A4172E">
        <w:t xml:space="preserve">University of </w:t>
      </w:r>
      <w:r w:rsidR="00010D6C">
        <w:t>Wilmington</w:t>
      </w:r>
      <w:r w:rsidRPr="00A4172E">
        <w:t xml:space="preserve"> Press).</w:t>
      </w:r>
    </w:p>
  </w:endnote>
  <w:endnote w:id="111">
    <w:p w14:paraId="1C96071E" w14:textId="6715658C" w:rsidR="00D23CB7" w:rsidRDefault="00D23CB7" w:rsidP="00AF4CAA">
      <w:pPr>
        <w:pStyle w:val="refnormal"/>
      </w:pPr>
      <w:r>
        <w:rPr>
          <w:rStyle w:val="EndnoteReference"/>
        </w:rPr>
        <w:endnoteRef/>
      </w:r>
      <w:r>
        <w:t xml:space="preserve"> </w:t>
      </w:r>
      <w:r w:rsidRPr="00D23CB7">
        <w:t xml:space="preserve">Belknap, George, </w:t>
      </w:r>
      <w:r w:rsidRPr="00D23CB7">
        <w:rPr>
          <w:i/>
          <w:iCs/>
        </w:rPr>
        <w:t>The Miserable Little Conflict: The Second Quasi-War, 1839-42</w:t>
      </w:r>
      <w:r w:rsidRPr="00D23CB7">
        <w:t>. (University of Wilmington Press, 1993).</w:t>
      </w:r>
    </w:p>
  </w:endnote>
  <w:endnote w:id="112">
    <w:p w14:paraId="55B6D44B" w14:textId="7CDAD383" w:rsidR="003126A0" w:rsidRDefault="003126A0" w:rsidP="00AF4CAA">
      <w:pPr>
        <w:pStyle w:val="refnormal"/>
      </w:pPr>
      <w:r>
        <w:rPr>
          <w:rStyle w:val="EndnoteReference"/>
        </w:rPr>
        <w:endnoteRef/>
      </w:r>
      <w:r>
        <w:t xml:space="preserve"> Thompson, Edwin. “Revolution by Ballot: The Legacy of 1800 in American Politics”. (Columbia University Press, 1897).</w:t>
      </w:r>
    </w:p>
  </w:endnote>
  <w:endnote w:id="113">
    <w:p w14:paraId="665CE2C9" w14:textId="4686C253" w:rsidR="00837857" w:rsidRDefault="00837857" w:rsidP="00AF4CAA">
      <w:pPr>
        <w:pStyle w:val="refnormal"/>
      </w:pPr>
      <w:r>
        <w:rPr>
          <w:rStyle w:val="EndnoteReference"/>
        </w:rPr>
        <w:endnoteRef/>
      </w:r>
      <w:r>
        <w:t xml:space="preserve"> </w:t>
      </w:r>
      <w:r w:rsidR="00BB4A46">
        <w:t xml:space="preserve">Palley, Lazare, </w:t>
      </w:r>
      <w:r w:rsidR="00BB4A46" w:rsidRPr="00E76BF4">
        <w:rPr>
          <w:i/>
          <w:iCs/>
        </w:rPr>
        <w:t>The Long, Hard Struggle: Antislavery in the Antebellum Era, 1829-1868</w:t>
      </w:r>
      <w:r w:rsidR="00BB4A46">
        <w:t xml:space="preserve"> (</w:t>
      </w:r>
      <w:proofErr w:type="spellStart"/>
      <w:r w:rsidR="00BB4A46">
        <w:t>Websteropolis</w:t>
      </w:r>
      <w:proofErr w:type="spellEnd"/>
      <w:r w:rsidR="00BB4A46">
        <w:t xml:space="preserve"> University Press, 2001). </w:t>
      </w:r>
    </w:p>
  </w:endnote>
  <w:endnote w:id="114">
    <w:p w14:paraId="5A6DBE22" w14:textId="2B7948AB" w:rsidR="00837857" w:rsidRDefault="00837857" w:rsidP="00AF4CAA">
      <w:pPr>
        <w:pStyle w:val="refnormal"/>
      </w:pPr>
      <w:r>
        <w:rPr>
          <w:rStyle w:val="EndnoteReference"/>
        </w:rPr>
        <w:endnoteRef/>
      </w:r>
      <w:r>
        <w:t xml:space="preserve"> Gurley, Annette</w:t>
      </w:r>
      <w:r w:rsidR="00BB4A46">
        <w:t>,</w:t>
      </w:r>
      <w:r>
        <w:t xml:space="preserve"> “The Equal Rights Man: William Leggett and the Radical Roots of the Free Democratic Party” (Harvard University Press, 1989).</w:t>
      </w:r>
    </w:p>
  </w:endnote>
  <w:endnote w:id="115">
    <w:p w14:paraId="438F0A37" w14:textId="67A98B11" w:rsidR="00F10DA3" w:rsidRDefault="00F10DA3" w:rsidP="00AF4CAA">
      <w:pPr>
        <w:pStyle w:val="refnormal"/>
      </w:pPr>
      <w:r>
        <w:rPr>
          <w:rStyle w:val="EndnoteReference"/>
        </w:rPr>
        <w:endnoteRef/>
      </w:r>
      <w:r>
        <w:t xml:space="preserve"> Leggett, William</w:t>
      </w:r>
      <w:r w:rsidR="00CB0BB5">
        <w:t xml:space="preserve">, </w:t>
      </w:r>
      <w:r w:rsidR="002E6661">
        <w:t>“</w:t>
      </w:r>
      <w:r>
        <w:t xml:space="preserve">Address to the </w:t>
      </w:r>
      <w:r w:rsidR="00CB0BB5">
        <w:t>Voters</w:t>
      </w:r>
      <w:r>
        <w:t xml:space="preserve"> of the North". (Equal Rights Party, September 1840)</w:t>
      </w:r>
      <w:r w:rsidR="00AD4192">
        <w:t xml:space="preserve">. </w:t>
      </w:r>
    </w:p>
  </w:endnote>
  <w:endnote w:id="116">
    <w:p w14:paraId="1A8BCCC3" w14:textId="75DD08B6" w:rsidR="00966D66" w:rsidRDefault="00966D66"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117">
    <w:p w14:paraId="34EB82D9" w14:textId="5D100FCE" w:rsidR="00FE5372" w:rsidRDefault="00FE5372" w:rsidP="00AF4CAA">
      <w:pPr>
        <w:pStyle w:val="refnormal"/>
      </w:pPr>
      <w:r>
        <w:rPr>
          <w:rStyle w:val="EndnoteReference"/>
        </w:rPr>
        <w:endnoteRef/>
      </w:r>
      <w:r>
        <w:t xml:space="preserve"> </w:t>
      </w:r>
      <w:r w:rsidRPr="00FE5372">
        <w:t xml:space="preserve">Delacroix, Jean-Pierre. </w:t>
      </w:r>
      <w:r w:rsidRPr="00FE5372">
        <w:rPr>
          <w:i/>
          <w:iCs/>
        </w:rPr>
        <w:t xml:space="preserve">From Bengal to </w:t>
      </w:r>
      <w:proofErr w:type="spellStart"/>
      <w:r w:rsidRPr="00FE5372">
        <w:rPr>
          <w:i/>
          <w:iCs/>
        </w:rPr>
        <w:t>Arcansa</w:t>
      </w:r>
      <w:proofErr w:type="spellEnd"/>
      <w:r w:rsidRPr="00FE5372">
        <w:rPr>
          <w:i/>
          <w:iCs/>
        </w:rPr>
        <w:t>: Cotton, Empire, and Collapse</w:t>
      </w:r>
      <w:r w:rsidRPr="00FE5372">
        <w:t xml:space="preserve">. </w:t>
      </w:r>
      <w:r>
        <w:t>(</w:t>
      </w:r>
      <w:r w:rsidRPr="00FE5372">
        <w:t>1967</w:t>
      </w:r>
      <w:r>
        <w:t xml:space="preserve">, </w:t>
      </w:r>
      <w:r w:rsidRPr="00FE5372">
        <w:t>Éditions Nouvelle République</w:t>
      </w:r>
      <w:r>
        <w:t>)</w:t>
      </w:r>
      <w:r w:rsidRPr="00FE5372">
        <w:t>.</w:t>
      </w:r>
    </w:p>
  </w:endnote>
  <w:endnote w:id="118">
    <w:p w14:paraId="5B452D5E" w14:textId="25D47BEB" w:rsidR="009176B4" w:rsidRDefault="009176B4" w:rsidP="00AF4CAA">
      <w:pPr>
        <w:pStyle w:val="refnormal"/>
      </w:pPr>
      <w:r>
        <w:rPr>
          <w:rStyle w:val="EndnoteReference"/>
        </w:rPr>
        <w:endnoteRef/>
      </w:r>
      <w:r>
        <w:t xml:space="preserve"> </w:t>
      </w:r>
      <w:r w:rsidRPr="009176B4">
        <w:t>Jacobs, Thomas</w:t>
      </w:r>
      <w:r>
        <w:t>,</w:t>
      </w:r>
      <w:r w:rsidRPr="009176B4">
        <w:t xml:space="preserve"> </w:t>
      </w:r>
      <w:r w:rsidRPr="000D0488">
        <w:rPr>
          <w:i/>
          <w:iCs/>
        </w:rPr>
        <w:t>Broken Nation: Internal Improvements and the Unmaking of Pike’s America</w:t>
      </w:r>
      <w:r w:rsidRPr="009176B4">
        <w:t xml:space="preserve">. </w:t>
      </w:r>
      <w:r>
        <w:t xml:space="preserve">(1979, </w:t>
      </w:r>
      <w:r w:rsidR="008741F6">
        <w:t>Cahokia</w:t>
      </w:r>
      <w:r w:rsidRPr="009176B4">
        <w:t xml:space="preserve"> Historical Press</w:t>
      </w:r>
      <w:r>
        <w:t>)</w:t>
      </w:r>
      <w:r w:rsidRPr="009176B4">
        <w:t>.</w:t>
      </w:r>
    </w:p>
  </w:endnote>
  <w:endnote w:id="119">
    <w:p w14:paraId="35E3D2ED" w14:textId="2259D18C" w:rsidR="007A0416" w:rsidRDefault="007A0416" w:rsidP="00AF4CAA">
      <w:pPr>
        <w:pStyle w:val="refnormal"/>
      </w:pPr>
      <w:r>
        <w:rPr>
          <w:rStyle w:val="EndnoteReference"/>
        </w:rPr>
        <w:endnoteRef/>
      </w:r>
      <w:r>
        <w:t xml:space="preserve"> </w:t>
      </w:r>
      <w:r w:rsidRPr="007A0416">
        <w:t xml:space="preserve">Journal of the Proceedings of the Board of Directors, </w:t>
      </w:r>
      <w:r>
        <w:t xml:space="preserve">Second </w:t>
      </w:r>
      <w:r w:rsidRPr="007A0416">
        <w:t xml:space="preserve">Bank of the United States, Vol. </w:t>
      </w:r>
      <w:r>
        <w:t>8</w:t>
      </w:r>
      <w:r w:rsidRPr="007A0416">
        <w:t xml:space="preserve"> (1842–1844). Internal Records Division.</w:t>
      </w:r>
    </w:p>
  </w:endnote>
  <w:endnote w:id="120">
    <w:p w14:paraId="718DF0CA" w14:textId="17642623" w:rsidR="00447539" w:rsidRDefault="00447539" w:rsidP="00AF4CAA">
      <w:pPr>
        <w:pStyle w:val="refnormal"/>
      </w:pPr>
      <w:r>
        <w:rPr>
          <w:rStyle w:val="EndnoteReference"/>
        </w:rPr>
        <w:endnoteRef/>
      </w:r>
      <w:r>
        <w:t xml:space="preserve"> </w:t>
      </w:r>
      <w:r w:rsidRPr="000208C7">
        <w:t xml:space="preserve">Wainwright, Samuel. </w:t>
      </w:r>
      <w:r w:rsidRPr="000D0488">
        <w:rPr>
          <w:i/>
          <w:iCs/>
        </w:rPr>
        <w:t>A Bank for the Nation: The Second Bank of the United States, 1825–1868</w:t>
      </w:r>
      <w:r w:rsidRPr="000208C7">
        <w:t xml:space="preserve">. </w:t>
      </w:r>
      <w:r>
        <w:t>(1977,</w:t>
      </w:r>
      <w:r w:rsidRPr="000208C7">
        <w:t xml:space="preserve"> </w:t>
      </w:r>
      <w:proofErr w:type="spellStart"/>
      <w:r>
        <w:t>Macror</w:t>
      </w:r>
      <w:proofErr w:type="spellEnd"/>
      <w:r>
        <w:t xml:space="preserve"> Publishing).</w:t>
      </w:r>
    </w:p>
  </w:endnote>
  <w:endnote w:id="121">
    <w:p w14:paraId="1D2C7E3F" w14:textId="48ACDA8B" w:rsidR="008122E9" w:rsidRDefault="008122E9" w:rsidP="00AF4CAA">
      <w:pPr>
        <w:pStyle w:val="refnormal"/>
      </w:pPr>
      <w:r>
        <w:rPr>
          <w:rStyle w:val="EndnoteReference"/>
        </w:rPr>
        <w:endnoteRef/>
      </w:r>
      <w:r>
        <w:t xml:space="preserve"> Gurley, Annette, “The Equal Rights Man: William Leggett and the Radical Roots of the Free Democratic Party” (Harvard University Press, 1989). </w:t>
      </w:r>
    </w:p>
  </w:endnote>
  <w:endnote w:id="122">
    <w:p w14:paraId="315753EF" w14:textId="2A53ED05" w:rsidR="003E2398" w:rsidRDefault="003E2398" w:rsidP="00AF4CAA">
      <w:pPr>
        <w:pStyle w:val="refnormal"/>
      </w:pPr>
      <w:r>
        <w:rPr>
          <w:rStyle w:val="EndnoteReference"/>
        </w:rPr>
        <w:endnoteRef/>
      </w:r>
      <w:r>
        <w:t xml:space="preserve"> </w:t>
      </w:r>
      <w:r w:rsidRPr="003E2398">
        <w:t>Roberts, Sylvia</w:t>
      </w:r>
      <w:r>
        <w:t>,</w:t>
      </w:r>
      <w:r w:rsidRPr="003E2398">
        <w:t xml:space="preserve"> </w:t>
      </w:r>
      <w:r w:rsidRPr="00C51D91">
        <w:rPr>
          <w:i/>
          <w:iCs/>
        </w:rPr>
        <w:t>Blood and Fire: Violence and Resistance in the Antebellum House of Representatives</w:t>
      </w:r>
      <w:r w:rsidRPr="003E2398">
        <w:t>. (</w:t>
      </w:r>
      <w:r>
        <w:t xml:space="preserve">Smithsonian History Press, </w:t>
      </w:r>
      <w:r w:rsidRPr="003E2398">
        <w:t>1998).</w:t>
      </w:r>
    </w:p>
  </w:endnote>
  <w:endnote w:id="123">
    <w:p w14:paraId="05214369" w14:textId="464C6605" w:rsidR="001E3964" w:rsidRDefault="001E3964" w:rsidP="00AF4CAA">
      <w:pPr>
        <w:pStyle w:val="refnormal"/>
      </w:pPr>
      <w:r>
        <w:rPr>
          <w:rStyle w:val="EndnoteReference"/>
        </w:rPr>
        <w:endnoteRef/>
      </w:r>
      <w:r>
        <w:t xml:space="preserve"> </w:t>
      </w:r>
      <w:r w:rsidR="00FD1D4F">
        <w:t xml:space="preserve">“If the Liberty and Union War was our Popular Revolution, then John Quincy Adams was our Charles James Fox – the late, lonely voice of opposition to the </w:t>
      </w:r>
      <w:r w:rsidR="008E4E33">
        <w:t>rise of autocracy</w:t>
      </w:r>
      <w:r w:rsidR="00FE12C7">
        <w:t xml:space="preserve"> that threatened all free institutions of state. And though, like the values of Fox, the values of Adams </w:t>
      </w:r>
      <w:r w:rsidR="00C8363D">
        <w:t>were but a whimper</w:t>
      </w:r>
      <w:r w:rsidR="00FE12C7">
        <w:t xml:space="preserve"> in his lifetime, they would ultimately</w:t>
      </w:r>
      <w:r w:rsidR="00C8363D">
        <w:t xml:space="preserve"> prevail in the fields of battle”. </w:t>
      </w:r>
      <w:r w:rsidR="003D1B86">
        <w:t xml:space="preserve">From </w:t>
      </w:r>
      <w:r w:rsidR="001357A7">
        <w:t>Mercer</w:t>
      </w:r>
      <w:r w:rsidR="003D1B86" w:rsidRPr="003D1B86">
        <w:t>, Elijah</w:t>
      </w:r>
      <w:r w:rsidR="003D1B86">
        <w:t>,</w:t>
      </w:r>
      <w:r w:rsidR="003D1B86" w:rsidRPr="003D1B86">
        <w:t xml:space="preserve"> </w:t>
      </w:r>
      <w:r w:rsidR="003D1B86" w:rsidRPr="003D1B86">
        <w:rPr>
          <w:i/>
          <w:iCs/>
        </w:rPr>
        <w:t>Echoes of Dissent: Republicanism and Resistance in the Liberty and Union War</w:t>
      </w:r>
      <w:r w:rsidR="003D1B86" w:rsidRPr="003D1B86">
        <w:t xml:space="preserve">. </w:t>
      </w:r>
      <w:r w:rsidR="003D1B86">
        <w:t>(Tara</w:t>
      </w:r>
      <w:r w:rsidR="003D1B86" w:rsidRPr="003D1B86">
        <w:t xml:space="preserve"> Hill Press, 1893</w:t>
      </w:r>
      <w:r w:rsidR="003D1B86">
        <w:t xml:space="preserve">). </w:t>
      </w:r>
    </w:p>
  </w:endnote>
  <w:endnote w:id="124">
    <w:p w14:paraId="47D9695C" w14:textId="3AFCE140" w:rsidR="004D6454" w:rsidRDefault="004D6454" w:rsidP="00AF4CAA">
      <w:pPr>
        <w:pStyle w:val="refnormal"/>
      </w:pPr>
      <w:r>
        <w:rPr>
          <w:rStyle w:val="EndnoteReference"/>
        </w:rPr>
        <w:endnoteRef/>
      </w:r>
      <w:r>
        <w:t xml:space="preserve"> </w:t>
      </w:r>
      <w:r w:rsidRPr="004D6454">
        <w:t>Langford, Edwin</w:t>
      </w:r>
      <w:r>
        <w:t>,</w:t>
      </w:r>
      <w:r w:rsidRPr="004D6454">
        <w:t xml:space="preserve"> “Unbending the Arc”: Reform Radicalism and the Political Mainstream, 18</w:t>
      </w:r>
      <w:r>
        <w:t>29</w:t>
      </w:r>
      <w:r w:rsidRPr="004D6454">
        <w:t>–186</w:t>
      </w:r>
      <w:r>
        <w:t>8</w:t>
      </w:r>
      <w:r w:rsidRPr="004D6454">
        <w:t>. Journal of American Political Development 18, no. 2 (2005): 239–274.</w:t>
      </w:r>
    </w:p>
  </w:endnote>
  <w:endnote w:id="125">
    <w:p w14:paraId="0A0476DC" w14:textId="51E47020" w:rsidR="00200665" w:rsidRDefault="00200665" w:rsidP="00AF4CAA">
      <w:pPr>
        <w:pStyle w:val="refnormal"/>
      </w:pPr>
      <w:r>
        <w:rPr>
          <w:rStyle w:val="EndnoteReference"/>
        </w:rPr>
        <w:endnoteRef/>
      </w:r>
      <w:r>
        <w:t xml:space="preserve"> </w:t>
      </w:r>
      <w:r w:rsidRPr="00200665">
        <w:t>Thorne, Caleb</w:t>
      </w:r>
      <w:r>
        <w:t>,</w:t>
      </w:r>
      <w:r w:rsidRPr="00200665">
        <w:t xml:space="preserve"> </w:t>
      </w:r>
      <w:r w:rsidRPr="00C314F8">
        <w:rPr>
          <w:i/>
          <w:iCs/>
        </w:rPr>
        <w:t>Temperance and Tyranny: Vice, Virtue, and the American State</w:t>
      </w:r>
      <w:r w:rsidRPr="00200665">
        <w:t>. (</w:t>
      </w:r>
      <w:r>
        <w:t xml:space="preserve">Gracchi Institute, </w:t>
      </w:r>
      <w:r w:rsidRPr="00200665">
        <w:t>1993</w:t>
      </w:r>
      <w:r>
        <w:t>).</w:t>
      </w:r>
    </w:p>
  </w:endnote>
  <w:endnote w:id="126">
    <w:p w14:paraId="6ED58EBF" w14:textId="3EFB074A" w:rsidR="003027D6" w:rsidRDefault="003027D6" w:rsidP="00AF4CAA">
      <w:pPr>
        <w:pStyle w:val="refnormal"/>
      </w:pPr>
      <w:r>
        <w:rPr>
          <w:rStyle w:val="EndnoteReference"/>
        </w:rPr>
        <w:endnoteRef/>
      </w:r>
      <w:r>
        <w:t xml:space="preserve"> </w:t>
      </w:r>
      <w:proofErr w:type="spellStart"/>
      <w:r>
        <w:t>Forfanah</w:t>
      </w:r>
      <w:proofErr w:type="spellEnd"/>
      <w:r w:rsidRPr="003027D6">
        <w:t xml:space="preserve">, Delilah. </w:t>
      </w:r>
      <w:r w:rsidRPr="00C314F8">
        <w:rPr>
          <w:i/>
          <w:iCs/>
        </w:rPr>
        <w:t>Gendered Liberty: Women’s Rights and the Political Economy of Reform</w:t>
      </w:r>
      <w:r w:rsidRPr="003027D6">
        <w:t xml:space="preserve">. </w:t>
      </w:r>
      <w:r>
        <w:t>(Mackintosh</w:t>
      </w:r>
      <w:r w:rsidRPr="003027D6">
        <w:t xml:space="preserve"> University Press, 1994</w:t>
      </w:r>
      <w:r>
        <w:t>).</w:t>
      </w:r>
    </w:p>
  </w:endnote>
  <w:endnote w:id="127">
    <w:p w14:paraId="7F03C04E" w14:textId="6A17AD09" w:rsidR="0060301A" w:rsidRDefault="0060301A" w:rsidP="00AF4CAA">
      <w:pPr>
        <w:pStyle w:val="refnormal"/>
      </w:pPr>
      <w:r>
        <w:rPr>
          <w:rStyle w:val="EndnoteReference"/>
        </w:rPr>
        <w:endnoteRef/>
      </w:r>
      <w:r>
        <w:t xml:space="preserve"> </w:t>
      </w:r>
      <w:proofErr w:type="spellStart"/>
      <w:r w:rsidRPr="0060301A">
        <w:t>I</w:t>
      </w:r>
      <w:r>
        <w:t>ch</w:t>
      </w:r>
      <w:r w:rsidRPr="0060301A">
        <w:t>i</w:t>
      </w:r>
      <w:r>
        <w:t>c</w:t>
      </w:r>
      <w:r w:rsidRPr="0060301A">
        <w:t>a</w:t>
      </w:r>
      <w:r>
        <w:t>hu</w:t>
      </w:r>
      <w:r w:rsidRPr="0060301A">
        <w:t>a</w:t>
      </w:r>
      <w:proofErr w:type="spellEnd"/>
      <w:r w:rsidRPr="0060301A">
        <w:t xml:space="preserve">, </w:t>
      </w:r>
      <w:r>
        <w:t>Heliodoro</w:t>
      </w:r>
      <w:r w:rsidRPr="0060301A">
        <w:t xml:space="preserve">. </w:t>
      </w:r>
      <w:r w:rsidRPr="0060301A">
        <w:rPr>
          <w:i/>
          <w:iCs/>
        </w:rPr>
        <w:t>Chains Within Chains: Gender, Race, and the Abolitionist Conscience</w:t>
      </w:r>
      <w:r w:rsidRPr="0060301A">
        <w:t xml:space="preserve">. </w:t>
      </w:r>
      <w:r>
        <w:t>(Republican University of San Francisco</w:t>
      </w:r>
      <w:r w:rsidRPr="0060301A">
        <w:t>, 2007</w:t>
      </w:r>
      <w:r>
        <w:t>)</w:t>
      </w:r>
      <w:r w:rsidR="0025105D">
        <w:t>.</w:t>
      </w:r>
    </w:p>
  </w:endnote>
  <w:endnote w:id="128">
    <w:p w14:paraId="1B412668" w14:textId="206B529E" w:rsidR="003E3B59" w:rsidRDefault="003E3B59" w:rsidP="00AF4CAA">
      <w:pPr>
        <w:pStyle w:val="refnormal"/>
      </w:pPr>
      <w:r>
        <w:rPr>
          <w:rStyle w:val="EndnoteReference"/>
        </w:rPr>
        <w:endnoteRef/>
      </w:r>
      <w:r>
        <w:t xml:space="preserve"> </w:t>
      </w:r>
      <w:r w:rsidRPr="003E3B59">
        <w:t xml:space="preserve">de la Torre, Esperanza. </w:t>
      </w:r>
      <w:r w:rsidRPr="009056A3">
        <w:rPr>
          <w:i/>
          <w:iCs/>
        </w:rPr>
        <w:t>A New Republic of Sisters: Women’s Political Networks and Radical Reform, 1838–1855</w:t>
      </w:r>
      <w:r w:rsidRPr="003E3B59">
        <w:t xml:space="preserve">. </w:t>
      </w:r>
      <w:r>
        <w:t>(Broderick</w:t>
      </w:r>
      <w:r w:rsidRPr="003E3B59">
        <w:t xml:space="preserve"> University Press, 2020</w:t>
      </w:r>
      <w:r>
        <w:t>)</w:t>
      </w:r>
      <w:r w:rsidR="00DC6FF8">
        <w:t xml:space="preserve">. </w:t>
      </w:r>
    </w:p>
  </w:endnote>
  <w:endnote w:id="129">
    <w:p w14:paraId="69D88A7C" w14:textId="46453142" w:rsidR="001500F7" w:rsidRDefault="001500F7" w:rsidP="00AF4CAA">
      <w:pPr>
        <w:pStyle w:val="refnormal"/>
      </w:pPr>
      <w:r>
        <w:rPr>
          <w:rStyle w:val="EndnoteReference"/>
        </w:rPr>
        <w:endnoteRef/>
      </w:r>
      <w:r>
        <w:t xml:space="preserve"> In particular, the famed radical William Blake was briefly a part of the New Church, although his esoteric views on religion were too esoteric even for them and he drifted away. See Ridley</w:t>
      </w:r>
      <w:r w:rsidR="008B2AFE">
        <w:t>, Benjamin</w:t>
      </w:r>
      <w:r>
        <w:t xml:space="preserve">, </w:t>
      </w:r>
      <w:r w:rsidRPr="001500F7">
        <w:rPr>
          <w:i/>
          <w:iCs/>
        </w:rPr>
        <w:t>Celestial Hierarchies and Radical Bodies: Mystical Christianity in Revolutionary Britain</w:t>
      </w:r>
      <w:r>
        <w:t xml:space="preserve"> (Cambridge University Press, 2003). </w:t>
      </w:r>
    </w:p>
  </w:endnote>
  <w:endnote w:id="130">
    <w:p w14:paraId="06579F11" w14:textId="2C17FF0C" w:rsidR="00791BB4" w:rsidRDefault="00791BB4" w:rsidP="00AF4CAA">
      <w:pPr>
        <w:pStyle w:val="refnormal"/>
      </w:pPr>
      <w:r>
        <w:rPr>
          <w:rStyle w:val="EndnoteReference"/>
        </w:rPr>
        <w:endnoteRef/>
      </w:r>
      <w:r>
        <w:t xml:space="preserve"> This </w:t>
      </w:r>
      <w:r w:rsidR="00E31353">
        <w:t xml:space="preserve">mob </w:t>
      </w:r>
      <w:r>
        <w:t xml:space="preserve">attack may also be considered a result of </w:t>
      </w:r>
      <w:r w:rsidR="00FA7CA1">
        <w:t xml:space="preserve">there being a large </w:t>
      </w:r>
      <w:r w:rsidR="00E31353">
        <w:t xml:space="preserve">unemployed population after the Panic of 1842, which needed a scapegoat. See </w:t>
      </w:r>
      <w:r w:rsidR="00DF2F26">
        <w:t xml:space="preserve">Brickley, F.M., </w:t>
      </w:r>
      <w:r w:rsidR="00DF2F26" w:rsidRPr="00DF2F26">
        <w:rPr>
          <w:i/>
          <w:iCs/>
        </w:rPr>
        <w:t>Banking, Booms, and Busts: American Finances in the Antebellum Years</w:t>
      </w:r>
      <w:r w:rsidR="00DF2F26">
        <w:t xml:space="preserve"> (Library of Alexander Publishing, 2023)</w:t>
      </w:r>
    </w:p>
  </w:endnote>
  <w:endnote w:id="131">
    <w:p w14:paraId="6AB11482" w14:textId="160448E8" w:rsidR="00A3363E" w:rsidRDefault="00A3363E" w:rsidP="00AF4CAA">
      <w:pPr>
        <w:pStyle w:val="refnormal"/>
      </w:pPr>
      <w:r>
        <w:rPr>
          <w:rStyle w:val="EndnoteReference"/>
        </w:rPr>
        <w:endnoteRef/>
      </w:r>
      <w:r>
        <w:t xml:space="preserve"> Vance, Catherine, </w:t>
      </w:r>
      <w:r w:rsidRPr="00CD66D3">
        <w:rPr>
          <w:i/>
          <w:iCs/>
        </w:rPr>
        <w:t xml:space="preserve">From Erie to Eternity: </w:t>
      </w:r>
      <w:r w:rsidR="00D97046" w:rsidRPr="00CD66D3">
        <w:rPr>
          <w:i/>
          <w:iCs/>
        </w:rPr>
        <w:t xml:space="preserve">The Great March of the </w:t>
      </w:r>
      <w:proofErr w:type="spellStart"/>
      <w:r w:rsidR="00D97046" w:rsidRPr="00CD66D3">
        <w:rPr>
          <w:i/>
          <w:iCs/>
        </w:rPr>
        <w:t>Sophians</w:t>
      </w:r>
      <w:proofErr w:type="spellEnd"/>
      <w:r>
        <w:t xml:space="preserve"> (</w:t>
      </w:r>
      <w:r w:rsidR="00F312FA">
        <w:t>Mackintosh University</w:t>
      </w:r>
      <w:r>
        <w:t>, 1989).</w:t>
      </w:r>
    </w:p>
  </w:endnote>
  <w:endnote w:id="132">
    <w:p w14:paraId="6E5CFD0C" w14:textId="79B8FE69" w:rsidR="00A12D99" w:rsidRDefault="00A12D99" w:rsidP="00AF4CAA">
      <w:pPr>
        <w:pStyle w:val="refnormal"/>
      </w:pPr>
      <w:r>
        <w:rPr>
          <w:rStyle w:val="EndnoteReference"/>
        </w:rPr>
        <w:endnoteRef/>
      </w:r>
      <w:r>
        <w:t xml:space="preserve"> From an 1823 speech: “</w:t>
      </w:r>
      <w:r w:rsidRPr="00A12D99">
        <w:t xml:space="preserve">He smote the rock of the national resources, and abundant streams of revenue gushed forth. He touched the dead corpse of the Public Credit, and it sprung upon its feet. The fabled birth of Minerva, from the brain of Jove, was hardly more sudden or more perfect than the ﬁnancial system of the United States, as it burst forth from the conceptions of </w:t>
      </w:r>
      <w:r w:rsidR="00A46AA5">
        <w:t>Alexander Hamilton</w:t>
      </w:r>
      <w:r>
        <w:t xml:space="preserve">”. From </w:t>
      </w:r>
      <w:r w:rsidRPr="00A12D99">
        <w:rPr>
          <w:i/>
          <w:iCs/>
        </w:rPr>
        <w:t>Speeches of Daniel Webster</w:t>
      </w:r>
      <w:r w:rsidR="00C6797B">
        <w:rPr>
          <w:i/>
          <w:iCs/>
        </w:rPr>
        <w:t>:</w:t>
      </w:r>
      <w:r w:rsidRPr="00A12D99">
        <w:rPr>
          <w:i/>
          <w:iCs/>
        </w:rPr>
        <w:t xml:space="preserve"> Vol I: 1800-1825</w:t>
      </w:r>
      <w:r>
        <w:t xml:space="preserve"> (1988, Library of Alexandria Publishing)</w:t>
      </w:r>
      <w:r w:rsidR="00C6797B">
        <w:t xml:space="preserve">. </w:t>
      </w:r>
    </w:p>
  </w:endnote>
  <w:endnote w:id="133">
    <w:p w14:paraId="45A427D4" w14:textId="5420EECA" w:rsidR="00A6256B" w:rsidRDefault="00A6256B" w:rsidP="00AF4CAA">
      <w:pPr>
        <w:pStyle w:val="refnormal"/>
      </w:pPr>
      <w:r>
        <w:rPr>
          <w:rStyle w:val="EndnoteReference"/>
        </w:rPr>
        <w:endnoteRef/>
      </w:r>
      <w:r>
        <w:t xml:space="preserve"> Webster was, at the time, frequently compared to </w:t>
      </w:r>
      <w:r w:rsidR="003C7807">
        <w:t xml:space="preserve">Edmund Burke, </w:t>
      </w:r>
      <w:r w:rsidR="00180A9B">
        <w:t>an</w:t>
      </w:r>
      <w:r w:rsidR="003C7807">
        <w:t xml:space="preserve"> </w:t>
      </w:r>
      <w:r w:rsidR="00B807C7">
        <w:t>eighteenth-century</w:t>
      </w:r>
      <w:r w:rsidR="00180A9B">
        <w:t xml:space="preserve"> </w:t>
      </w:r>
      <w:r w:rsidR="003C7807">
        <w:t xml:space="preserve">Anglo-Irish politician frequently </w:t>
      </w:r>
      <w:r w:rsidR="00A36A0E">
        <w:t>regarded</w:t>
      </w:r>
      <w:r w:rsidR="003C7807">
        <w:t xml:space="preserve"> as </w:t>
      </w:r>
      <w:r w:rsidR="00A36A0E">
        <w:t xml:space="preserve">the founder of moderate ideology. </w:t>
      </w:r>
      <w:r w:rsidR="00180A9B">
        <w:t>O’Connell had a special enmity for Burke, who he regarded</w:t>
      </w:r>
      <w:r w:rsidR="004105F0">
        <w:t xml:space="preserve"> as a traitor to Ireland</w:t>
      </w:r>
      <w:r w:rsidR="00D219D3">
        <w:t xml:space="preserve">. See Kirk, Racine, </w:t>
      </w:r>
      <w:r w:rsidR="00D219D3" w:rsidRPr="00D219D3">
        <w:rPr>
          <w:i/>
          <w:iCs/>
        </w:rPr>
        <w:t>The Moderate Mind: From Burke to Webster</w:t>
      </w:r>
      <w:r w:rsidR="00D219D3">
        <w:t xml:space="preserve"> (1949, University of Laurentia Press). </w:t>
      </w:r>
    </w:p>
  </w:endnote>
  <w:endnote w:id="134">
    <w:p w14:paraId="5B66351A" w14:textId="15151975" w:rsidR="00125289" w:rsidRDefault="00125289" w:rsidP="00AF4CAA">
      <w:pPr>
        <w:pStyle w:val="refnormal"/>
      </w:pPr>
      <w:r>
        <w:rPr>
          <w:rStyle w:val="EndnoteReference"/>
        </w:rPr>
        <w:endnoteRef/>
      </w:r>
      <w:r>
        <w:t xml:space="preserve"> </w:t>
      </w:r>
      <w:r w:rsidRPr="002C77E2">
        <w:t xml:space="preserve">Foster, Abigail. </w:t>
      </w:r>
      <w:r w:rsidRPr="000F0A84">
        <w:rPr>
          <w:i/>
          <w:iCs/>
        </w:rPr>
        <w:t>The Second Nullification Crisis: Webster, Clay, Calhoun, and the Preservation of the Union</w:t>
      </w:r>
      <w:r w:rsidRPr="002C77E2">
        <w:t xml:space="preserve"> </w:t>
      </w:r>
      <w:r>
        <w:t>(</w:t>
      </w:r>
      <w:r w:rsidRPr="002C77E2">
        <w:t>Atlantic &amp; Sons, 1890</w:t>
      </w:r>
      <w:r>
        <w:t>).</w:t>
      </w:r>
    </w:p>
  </w:endnote>
  <w:endnote w:id="135">
    <w:p w14:paraId="4B290902" w14:textId="4A5DCC6B" w:rsidR="004C3798" w:rsidRDefault="004C3798" w:rsidP="00AF4CAA">
      <w:pPr>
        <w:pStyle w:val="refnormal"/>
      </w:pPr>
      <w:r>
        <w:rPr>
          <w:rStyle w:val="EndnoteReference"/>
        </w:rPr>
        <w:endnoteRef/>
      </w:r>
      <w:r>
        <w:t xml:space="preserve"> </w:t>
      </w:r>
      <w:r w:rsidRPr="002D4E17">
        <w:t>Randall,</w:t>
      </w:r>
      <w:r>
        <w:t xml:space="preserve"> Judith,</w:t>
      </w:r>
      <w:r w:rsidRPr="002D4E17">
        <w:t xml:space="preserve"> </w:t>
      </w:r>
      <w:r w:rsidRPr="000F0A84">
        <w:rPr>
          <w:i/>
          <w:iCs/>
        </w:rPr>
        <w:t>The Last Stand of Nullification: South Carolina and the Force Act</w:t>
      </w:r>
      <w:r w:rsidRPr="002D4E17">
        <w:t xml:space="preserve"> (</w:t>
      </w:r>
      <w:r>
        <w:t>2024, Orleans State</w:t>
      </w:r>
      <w:r w:rsidRPr="002D4E17">
        <w:t xml:space="preserve"> University Press)</w:t>
      </w:r>
      <w:r>
        <w:t>.</w:t>
      </w:r>
    </w:p>
  </w:endnote>
  <w:endnote w:id="136">
    <w:p w14:paraId="37F6EAD4" w14:textId="0640853D" w:rsidR="00B65369" w:rsidRDefault="00B65369" w:rsidP="00AF4CAA">
      <w:pPr>
        <w:pStyle w:val="refnormal"/>
      </w:pPr>
      <w:r>
        <w:rPr>
          <w:rStyle w:val="EndnoteReference"/>
        </w:rPr>
        <w:endnoteRef/>
      </w:r>
      <w:r>
        <w:t xml:space="preserve"> </w:t>
      </w:r>
      <w:r w:rsidRPr="000208C7">
        <w:t xml:space="preserve">Wainwright, Samuel. </w:t>
      </w:r>
      <w:r w:rsidRPr="000F0A84">
        <w:rPr>
          <w:i/>
          <w:iCs/>
        </w:rPr>
        <w:t>A Bank for the Nation: The Second Bank of the United States, 1825–1868</w:t>
      </w:r>
      <w:r w:rsidRPr="000208C7">
        <w:t xml:space="preserve">. </w:t>
      </w:r>
      <w:r>
        <w:t>(1977,</w:t>
      </w:r>
      <w:r w:rsidRPr="000208C7">
        <w:t xml:space="preserve"> </w:t>
      </w:r>
      <w:proofErr w:type="spellStart"/>
      <w:r>
        <w:t>Macror</w:t>
      </w:r>
      <w:proofErr w:type="spellEnd"/>
      <w:r>
        <w:t xml:space="preserve"> Publishing).</w:t>
      </w:r>
    </w:p>
  </w:endnote>
  <w:endnote w:id="137">
    <w:p w14:paraId="37437BEC" w14:textId="787FA9FA" w:rsidR="003A66F7" w:rsidRDefault="003A66F7" w:rsidP="00AF4CAA">
      <w:pPr>
        <w:pStyle w:val="refnormal"/>
      </w:pPr>
      <w:r>
        <w:rPr>
          <w:rStyle w:val="EndnoteReference"/>
        </w:rPr>
        <w:endnoteRef/>
      </w:r>
      <w:r>
        <w:t xml:space="preserve"> </w:t>
      </w:r>
      <w:r w:rsidR="005D6886">
        <w:t>At the time</w:t>
      </w:r>
      <w:r>
        <w:t xml:space="preserve">, the Bank was headed by James Gadsden, </w:t>
      </w:r>
      <w:r w:rsidR="005D6886">
        <w:t>who was a South Carolinian and a member of the Planter Ascendancy</w:t>
      </w:r>
      <w:r w:rsidR="00A46AA5">
        <w:t>. Webster kept him out</w:t>
      </w:r>
      <w:r w:rsidR="009B371A">
        <w:t xml:space="preserve"> of the deal – but Gadsden’s term was due to expire, and Webster had Appleton selected as his successor. </w:t>
      </w:r>
      <w:r w:rsidR="000208C7">
        <w:t xml:space="preserve">See </w:t>
      </w:r>
      <w:r w:rsidR="000208C7" w:rsidRPr="000208C7">
        <w:t>Wainwright</w:t>
      </w:r>
      <w:r w:rsidR="00B65369">
        <w:t>,</w:t>
      </w:r>
      <w:r w:rsidR="000208C7" w:rsidRPr="000208C7">
        <w:t xml:space="preserve"> </w:t>
      </w:r>
      <w:r w:rsidR="000208C7" w:rsidRPr="000208C7">
        <w:rPr>
          <w:i/>
          <w:iCs/>
        </w:rPr>
        <w:t>A Bank for the Nation</w:t>
      </w:r>
      <w:r w:rsidR="000208C7" w:rsidRPr="000208C7">
        <w:t xml:space="preserve">. </w:t>
      </w:r>
      <w:r w:rsidR="000208C7">
        <w:t>(1977)</w:t>
      </w:r>
      <w:r w:rsidR="00784E54">
        <w:t xml:space="preserve">. </w:t>
      </w:r>
    </w:p>
  </w:endnote>
  <w:endnote w:id="138">
    <w:p w14:paraId="047F1DF3" w14:textId="585AB3DE" w:rsidR="00F47217" w:rsidRDefault="00190A1C" w:rsidP="00AF4CAA">
      <w:pPr>
        <w:pStyle w:val="refnormal"/>
      </w:pPr>
      <w:r>
        <w:rPr>
          <w:rStyle w:val="EndnoteReference"/>
        </w:rPr>
        <w:endnoteRef/>
      </w:r>
      <w:r>
        <w:t xml:space="preserve"> Though Webster </w:t>
      </w:r>
      <w:r w:rsidR="00BC35BE">
        <w:t>is, along with Burr and Washington, one of the most beloved presidents of the antebellum era</w:t>
      </w:r>
      <w:r w:rsidR="00186500">
        <w:t xml:space="preserve">, then and now the decision to send freed slaves to Fredonia is </w:t>
      </w:r>
      <w:r w:rsidR="00BC35BE">
        <w:t xml:space="preserve">either placed in a context of antebellum </w:t>
      </w:r>
      <w:proofErr w:type="gramStart"/>
      <w:r w:rsidR="00BC35BE">
        <w:t>colorphobia, or</w:t>
      </w:r>
      <w:proofErr w:type="gramEnd"/>
      <w:r w:rsidR="00BC35BE">
        <w:t xml:space="preserve"> </w:t>
      </w:r>
      <w:r w:rsidR="00F47217">
        <w:t xml:space="preserve">condemned for entrenching colorphobia in contemporary institutions. </w:t>
      </w:r>
      <w:r w:rsidR="000C0CE6" w:rsidRPr="000C0CE6">
        <w:t xml:space="preserve">For the former view, see Julius R. Manning, "Pragmatism and Prejudice: The Politics of Colonization in the Webster Presidency," </w:t>
      </w:r>
      <w:r w:rsidR="000C0CE6">
        <w:t>Massachusetts Historical</w:t>
      </w:r>
      <w:r w:rsidR="000C0CE6" w:rsidRPr="000C0CE6">
        <w:t xml:space="preserve"> Review </w:t>
      </w:r>
      <w:r w:rsidR="000C0CE6">
        <w:t>68</w:t>
      </w:r>
      <w:r w:rsidR="000C0CE6" w:rsidRPr="000C0CE6">
        <w:t xml:space="preserve">, no. 1 (1913): 25–61. For the latter, see Danielle </w:t>
      </w:r>
      <w:r w:rsidR="00C350A9">
        <w:t>Volkov</w:t>
      </w:r>
      <w:r w:rsidR="000C0CE6" w:rsidRPr="000C0CE6">
        <w:t>, "Colorphobia Enshrined: Fredonia and the Myth of Benevolent Segregation," in Rewriting Freedom: Critical Essays on Slavery and the American Republic, ed. T</w:t>
      </w:r>
      <w:r w:rsidR="00EE75C3">
        <w:t xml:space="preserve">heodore </w:t>
      </w:r>
      <w:r w:rsidR="000C0CE6" w:rsidRPr="000C0CE6">
        <w:t>Clarke (University</w:t>
      </w:r>
      <w:r w:rsidR="006D4594">
        <w:t xml:space="preserve"> of New Jersey</w:t>
      </w:r>
      <w:r w:rsidR="000C0CE6" w:rsidRPr="000C0CE6">
        <w:t xml:space="preserve"> Press, 1987), 201–233.</w:t>
      </w:r>
    </w:p>
  </w:endnote>
  <w:endnote w:id="139">
    <w:p w14:paraId="0DEC9ED1" w14:textId="27E8AF4F" w:rsidR="00860AAC" w:rsidRPr="00860AAC" w:rsidRDefault="00860AAC" w:rsidP="00AF4CAA">
      <w:pPr>
        <w:pStyle w:val="refnormal"/>
      </w:pPr>
      <w:r>
        <w:rPr>
          <w:rStyle w:val="EndnoteReference"/>
        </w:rPr>
        <w:endnoteRef/>
      </w:r>
      <w:r>
        <w:t xml:space="preserve"> </w:t>
      </w:r>
      <w:r w:rsidRPr="00860AAC">
        <w:t xml:space="preserve">Matthews, Henry. </w:t>
      </w:r>
      <w:r w:rsidRPr="00E116EC">
        <w:t xml:space="preserve">Collateral Dreams: </w:t>
      </w:r>
      <w:r w:rsidR="00A267CB" w:rsidRPr="00E116EC">
        <w:t>The Butlerian Crusade</w:t>
      </w:r>
      <w:r w:rsidRPr="00E116EC">
        <w:t xml:space="preserve"> and the Founding of Modern Fredonia</w:t>
      </w:r>
      <w:r w:rsidRPr="00860AAC">
        <w:t xml:space="preserve">. </w:t>
      </w:r>
      <w:r w:rsidR="00D63A11">
        <w:t>(</w:t>
      </w:r>
      <w:r w:rsidR="00D63A11" w:rsidRPr="00860AAC">
        <w:t>1912</w:t>
      </w:r>
      <w:r w:rsidR="00D63A11">
        <w:t xml:space="preserve">, </w:t>
      </w:r>
      <w:r w:rsidRPr="00860AAC">
        <w:t xml:space="preserve">University of </w:t>
      </w:r>
      <w:proofErr w:type="spellStart"/>
      <w:r w:rsidR="00D63A11">
        <w:t>Libertopolis</w:t>
      </w:r>
      <w:proofErr w:type="spellEnd"/>
      <w:r w:rsidRPr="00860AAC">
        <w:t xml:space="preserve"> Press</w:t>
      </w:r>
      <w:r w:rsidR="00D63A11">
        <w:t>)</w:t>
      </w:r>
      <w:r w:rsidR="00E116EC">
        <w:t xml:space="preserve">. </w:t>
      </w:r>
    </w:p>
  </w:endnote>
  <w:endnote w:id="140">
    <w:p w14:paraId="507E30D5" w14:textId="3657D715" w:rsidR="00460A0B" w:rsidRDefault="00460A0B" w:rsidP="00AF4CAA">
      <w:pPr>
        <w:pStyle w:val="refnormal"/>
      </w:pPr>
      <w:r>
        <w:rPr>
          <w:rStyle w:val="EndnoteReference"/>
        </w:rPr>
        <w:endnoteRef/>
      </w:r>
      <w:r>
        <w:t xml:space="preserve"> </w:t>
      </w:r>
      <w:r w:rsidRPr="000208C7">
        <w:t>Wainwright</w:t>
      </w:r>
      <w:r>
        <w:t xml:space="preserve">, </w:t>
      </w:r>
      <w:r w:rsidRPr="000208C7">
        <w:rPr>
          <w:i/>
          <w:iCs/>
        </w:rPr>
        <w:t>A Bank for the Nation</w:t>
      </w:r>
      <w:r>
        <w:t xml:space="preserve"> (1977). </w:t>
      </w:r>
    </w:p>
  </w:endnote>
  <w:endnote w:id="141">
    <w:p w14:paraId="404EA5AA" w14:textId="148CBA92" w:rsidR="00115A68" w:rsidRDefault="00115A68" w:rsidP="00AF4CAA">
      <w:pPr>
        <w:pStyle w:val="refnormal"/>
      </w:pPr>
      <w:r>
        <w:rPr>
          <w:rStyle w:val="EndnoteReference"/>
        </w:rPr>
        <w:endnoteRef/>
      </w:r>
      <w:r>
        <w:t xml:space="preserve"> </w:t>
      </w:r>
      <w:r w:rsidRPr="00C769EA">
        <w:t>Dawson, Ellen</w:t>
      </w:r>
      <w:r>
        <w:t>,</w:t>
      </w:r>
      <w:r w:rsidRPr="00C769EA">
        <w:t xml:space="preserve"> </w:t>
      </w:r>
      <w:r w:rsidRPr="007B3911">
        <w:rPr>
          <w:i/>
          <w:iCs/>
        </w:rPr>
        <w:t xml:space="preserve">Canals to Railroads, Semaphores to Telegraphs: Technology in High </w:t>
      </w:r>
      <w:proofErr w:type="spellStart"/>
      <w:r w:rsidRPr="007B3911">
        <w:rPr>
          <w:i/>
          <w:iCs/>
        </w:rPr>
        <w:t>Websterism</w:t>
      </w:r>
      <w:proofErr w:type="spellEnd"/>
      <w:r w:rsidRPr="00C769EA">
        <w:t xml:space="preserve"> </w:t>
      </w:r>
      <w:r>
        <w:t>(</w:t>
      </w:r>
      <w:r w:rsidRPr="00C769EA">
        <w:t>North Atlantic Press, 1894</w:t>
      </w:r>
      <w:r>
        <w:t xml:space="preserve">). </w:t>
      </w:r>
    </w:p>
  </w:endnote>
  <w:endnote w:id="142">
    <w:p w14:paraId="6F6842E3" w14:textId="0DDAE7D1" w:rsidR="00180A9B" w:rsidRDefault="00F94AC1" w:rsidP="00AF4CAA">
      <w:pPr>
        <w:pStyle w:val="refnormal"/>
      </w:pPr>
      <w:r>
        <w:rPr>
          <w:rStyle w:val="EndnoteReference"/>
        </w:rPr>
        <w:endnoteRef/>
      </w:r>
      <w:r>
        <w:t xml:space="preserve"> This is a controversial thesis, but one which has some scholarship behind it. </w:t>
      </w:r>
      <w:r w:rsidR="004B1885">
        <w:t>Russia’s</w:t>
      </w:r>
      <w:r w:rsidR="00792BB8">
        <w:t xml:space="preserve"> High Council of Sociocracy</w:t>
      </w:r>
      <w:r w:rsidR="00506819">
        <w:t xml:space="preserve"> gave it its stamp of approval</w:t>
      </w:r>
      <w:r w:rsidR="00DB643B">
        <w:t xml:space="preserve">: Before being named Chief High </w:t>
      </w:r>
      <w:proofErr w:type="spellStart"/>
      <w:r w:rsidR="00DB643B">
        <w:t>Sociocrat</w:t>
      </w:r>
      <w:proofErr w:type="spellEnd"/>
      <w:r w:rsidR="00DB643B">
        <w:t xml:space="preserve">, Isaak </w:t>
      </w:r>
      <w:proofErr w:type="spellStart"/>
      <w:r w:rsidR="00DB643B">
        <w:t>Ozimov</w:t>
      </w:r>
      <w:proofErr w:type="spellEnd"/>
      <w:r w:rsidR="00DB643B">
        <w:t xml:space="preserve"> wrote an entry in the </w:t>
      </w:r>
      <w:proofErr w:type="spellStart"/>
      <w:r w:rsidR="00DB643B" w:rsidRPr="009D1965">
        <w:rPr>
          <w:i/>
          <w:iCs/>
        </w:rPr>
        <w:t>Sociocratic</w:t>
      </w:r>
      <w:proofErr w:type="spellEnd"/>
      <w:r w:rsidR="00DB643B" w:rsidRPr="009D1965">
        <w:rPr>
          <w:i/>
          <w:iCs/>
        </w:rPr>
        <w:t xml:space="preserve"> Encyclopedia</w:t>
      </w:r>
      <w:r w:rsidR="004F1E20">
        <w:t xml:space="preserve">, 5ed. (1948) praising the Second National Bank for giving the United States the benefit of </w:t>
      </w:r>
      <w:proofErr w:type="spellStart"/>
      <w:r w:rsidR="004F1E20">
        <w:t>sociocratic</w:t>
      </w:r>
      <w:proofErr w:type="spellEnd"/>
      <w:r w:rsidR="004F1E20">
        <w:t xml:space="preserve"> organization; however, in the United States, this thesis is chiefly associated with the Radical critique of </w:t>
      </w:r>
      <w:r w:rsidR="009D1965">
        <w:t xml:space="preserve">the Belle Epoch. See </w:t>
      </w:r>
      <w:proofErr w:type="spellStart"/>
      <w:r w:rsidR="009D1965">
        <w:t>Kuskov</w:t>
      </w:r>
      <w:proofErr w:type="spellEnd"/>
      <w:r w:rsidR="009D1965">
        <w:t xml:space="preserve">, Alexandria, </w:t>
      </w:r>
      <w:r w:rsidR="00233829" w:rsidRPr="00AE0BAF">
        <w:rPr>
          <w:i/>
          <w:iCs/>
        </w:rPr>
        <w:t xml:space="preserve">For Autonomy and Freedom: The </w:t>
      </w:r>
      <w:r w:rsidR="00AE0BAF" w:rsidRPr="00AE0BAF">
        <w:rPr>
          <w:i/>
          <w:iCs/>
        </w:rPr>
        <w:t>Birth and Rise of the Radical Party, 1894-1916</w:t>
      </w:r>
      <w:r w:rsidR="00AE0BAF">
        <w:t xml:space="preserve"> (2004, Yale University Publishing). </w:t>
      </w:r>
    </w:p>
  </w:endnote>
  <w:endnote w:id="143">
    <w:p w14:paraId="08FE49E2" w14:textId="16B07327" w:rsidR="00C769EA" w:rsidRPr="00C769EA" w:rsidRDefault="00C769EA" w:rsidP="00AF4CAA">
      <w:pPr>
        <w:pStyle w:val="refnormal"/>
      </w:pPr>
      <w:r>
        <w:rPr>
          <w:rStyle w:val="EndnoteReference"/>
        </w:rPr>
        <w:endnoteRef/>
      </w:r>
      <w:r>
        <w:t xml:space="preserve"> </w:t>
      </w:r>
      <w:r w:rsidR="00115A68">
        <w:t xml:space="preserve">Dawson, </w:t>
      </w:r>
      <w:r w:rsidR="00115A68" w:rsidRPr="00115A68">
        <w:rPr>
          <w:i/>
          <w:iCs/>
        </w:rPr>
        <w:t>Canals to Railroads</w:t>
      </w:r>
      <w:r w:rsidR="00115A68">
        <w:t xml:space="preserve"> (1894). </w:t>
      </w:r>
    </w:p>
  </w:endnote>
  <w:endnote w:id="144">
    <w:p w14:paraId="245314DC" w14:textId="2FE4E7D3" w:rsidR="00AB0298" w:rsidRDefault="00AB0298">
      <w:pPr>
        <w:pStyle w:val="EndnoteText"/>
      </w:pPr>
      <w:r>
        <w:rPr>
          <w:rStyle w:val="EndnoteReference"/>
        </w:rPr>
        <w:endnoteRef/>
      </w:r>
      <w:r>
        <w:t xml:space="preserve"> This is the handicap of the first mover, where the adoption and widespread dissimulation of a technology, which may allow for an efficient and effective system, prevents the adoption of a superior technology because the costs of replacement may exceed whatever short-term advantages may be obtained. The problem of an effective network of inland waterways preventing the adoption of the railroad is most famously observed in China, although there at least the revolutionary changes of the 1850s, be it the downfall of the Qing dynasty or the 1850s floods of the Yellow River, were enough of a shock to force a gradual adoption of the railroad. See Li, </w:t>
      </w:r>
      <w:r w:rsidR="00A71E82">
        <w:t xml:space="preserve">Guiyang, </w:t>
      </w:r>
      <w:r w:rsidR="00A71E82" w:rsidRPr="00A71E82">
        <w:rPr>
          <w:i/>
          <w:iCs/>
        </w:rPr>
        <w:t>The Problem of Modernity: Bai China between Revolution and Reunification, 1854-1898</w:t>
      </w:r>
      <w:r w:rsidR="00A71E82">
        <w:t xml:space="preserve"> (2023, </w:t>
      </w:r>
      <w:proofErr w:type="spellStart"/>
      <w:r w:rsidR="00A71E82">
        <w:t>Guozijan</w:t>
      </w:r>
      <w:proofErr w:type="spellEnd"/>
      <w:r w:rsidR="00A71E82">
        <w:t xml:space="preserve"> Press). </w:t>
      </w:r>
    </w:p>
  </w:endnote>
  <w:endnote w:id="145">
    <w:p w14:paraId="2554C4A3" w14:textId="055D5A95" w:rsidR="0081070B" w:rsidRDefault="0081070B" w:rsidP="00AF4CAA">
      <w:pPr>
        <w:pStyle w:val="refnormal"/>
      </w:pPr>
      <w:r>
        <w:rPr>
          <w:rStyle w:val="EndnoteReference"/>
        </w:rPr>
        <w:endnoteRef/>
      </w:r>
      <w:r>
        <w:t xml:space="preserve"> </w:t>
      </w:r>
      <w:r w:rsidR="00CE071F">
        <w:t xml:space="preserve">Klein, </w:t>
      </w:r>
      <w:r w:rsidRPr="0081070B">
        <w:t xml:space="preserve">Friedrich, </w:t>
      </w:r>
      <w:r w:rsidRPr="00332E09">
        <w:rPr>
          <w:i/>
          <w:iCs/>
        </w:rPr>
        <w:t>The Crisis of the Thrones: Correspondence from Europe, 1847–1853</w:t>
      </w:r>
      <w:r w:rsidRPr="0081070B">
        <w:t xml:space="preserve"> (</w:t>
      </w:r>
      <w:proofErr w:type="spellStart"/>
      <w:r w:rsidRPr="0081070B">
        <w:t>Schwäbische</w:t>
      </w:r>
      <w:proofErr w:type="spellEnd"/>
      <w:r w:rsidRPr="0081070B">
        <w:t xml:space="preserve"> Zeitung, 185</w:t>
      </w:r>
      <w:r w:rsidR="00DE5AF5">
        <w:t>9</w:t>
      </w:r>
      <w:r w:rsidRPr="0081070B">
        <w:t>).</w:t>
      </w:r>
    </w:p>
  </w:endnote>
  <w:endnote w:id="146">
    <w:p w14:paraId="64DE91C3" w14:textId="29F42881" w:rsidR="002A38E5" w:rsidRDefault="002A38E5" w:rsidP="00AF4CAA">
      <w:pPr>
        <w:pStyle w:val="refnormal"/>
      </w:pPr>
      <w:r>
        <w:rPr>
          <w:rStyle w:val="EndnoteReference"/>
        </w:rPr>
        <w:endnoteRef/>
      </w:r>
      <w:r>
        <w:t xml:space="preserve"> </w:t>
      </w:r>
      <w:r w:rsidR="00C56628">
        <w:t>Schmitt</w:t>
      </w:r>
      <w:r>
        <w:t>, Angela</w:t>
      </w:r>
      <w:r w:rsidRPr="002A38E5">
        <w:t xml:space="preserve">, </w:t>
      </w:r>
      <w:r w:rsidRPr="00332E09">
        <w:rPr>
          <w:i/>
          <w:iCs/>
        </w:rPr>
        <w:t>The Southern Diaspora North: Class, Race, and Migration in Antebellum America</w:t>
      </w:r>
      <w:r w:rsidRPr="002A38E5">
        <w:t xml:space="preserve"> (</w:t>
      </w:r>
      <w:r>
        <w:t>Transylvania University</w:t>
      </w:r>
      <w:r w:rsidRPr="002A38E5">
        <w:t xml:space="preserve"> Press, 2003).</w:t>
      </w:r>
    </w:p>
  </w:endnote>
  <w:endnote w:id="147">
    <w:p w14:paraId="540B6989" w14:textId="24DD9F8A" w:rsidR="00B2752C" w:rsidRDefault="00B2752C" w:rsidP="00AF4CAA">
      <w:pPr>
        <w:pStyle w:val="refnormal"/>
      </w:pPr>
      <w:r>
        <w:rPr>
          <w:rStyle w:val="EndnoteReference"/>
        </w:rPr>
        <w:endnoteRef/>
      </w:r>
      <w:r>
        <w:t xml:space="preserve"> Torres, </w:t>
      </w:r>
      <w:r w:rsidRPr="00B2752C">
        <w:t xml:space="preserve">Ramon, </w:t>
      </w:r>
      <w:r w:rsidRPr="00332E09">
        <w:rPr>
          <w:i/>
          <w:iCs/>
        </w:rPr>
        <w:t>The Lost Empire: Spain, Britain, and the Collapse of Bourbon Power in the Americas</w:t>
      </w:r>
      <w:r w:rsidRPr="00B2752C">
        <w:t xml:space="preserve"> (Complutense University, 2021).</w:t>
      </w:r>
    </w:p>
  </w:endnote>
  <w:endnote w:id="148">
    <w:p w14:paraId="0C16ED0F" w14:textId="7A855BFF" w:rsidR="006E2F17" w:rsidRDefault="006E2F17" w:rsidP="00AF4CAA">
      <w:pPr>
        <w:pStyle w:val="refnormal"/>
      </w:pPr>
      <w:r>
        <w:rPr>
          <w:rStyle w:val="EndnoteReference"/>
        </w:rPr>
        <w:endnoteRef/>
      </w:r>
      <w:r>
        <w:t xml:space="preserve"> </w:t>
      </w:r>
      <w:proofErr w:type="spellStart"/>
      <w:r w:rsidR="00AA6104">
        <w:t>Chou</w:t>
      </w:r>
      <w:r w:rsidR="00C15F29">
        <w:t>a</w:t>
      </w:r>
      <w:r w:rsidR="00AA6104">
        <w:t>r</w:t>
      </w:r>
      <w:r w:rsidR="00C15F29">
        <w:t>s</w:t>
      </w:r>
      <w:proofErr w:type="spellEnd"/>
      <w:r w:rsidR="00045309">
        <w:t xml:space="preserve">, </w:t>
      </w:r>
      <w:r w:rsidR="00AA6104">
        <w:t>Boris</w:t>
      </w:r>
      <w:r w:rsidRPr="006E2F17">
        <w:t xml:space="preserve">, </w:t>
      </w:r>
      <w:r w:rsidRPr="00332E09">
        <w:rPr>
          <w:i/>
          <w:iCs/>
        </w:rPr>
        <w:t xml:space="preserve">Cochrane’s Empire: The People’s Admiral </w:t>
      </w:r>
      <w:r w:rsidR="00D37366" w:rsidRPr="00332E09">
        <w:rPr>
          <w:i/>
          <w:iCs/>
        </w:rPr>
        <w:t>in</w:t>
      </w:r>
      <w:r w:rsidRPr="00332E09">
        <w:rPr>
          <w:i/>
          <w:iCs/>
        </w:rPr>
        <w:t xml:space="preserve"> the </w:t>
      </w:r>
      <w:r w:rsidR="00831B4B" w:rsidRPr="00332E09">
        <w:rPr>
          <w:i/>
          <w:iCs/>
        </w:rPr>
        <w:t xml:space="preserve">New </w:t>
      </w:r>
      <w:proofErr w:type="spellStart"/>
      <w:r w:rsidR="00831B4B" w:rsidRPr="00332E09">
        <w:rPr>
          <w:i/>
          <w:iCs/>
        </w:rPr>
        <w:t>Granadine</w:t>
      </w:r>
      <w:proofErr w:type="spellEnd"/>
      <w:r w:rsidRPr="00332E09">
        <w:rPr>
          <w:i/>
          <w:iCs/>
        </w:rPr>
        <w:t xml:space="preserve"> War of Independence</w:t>
      </w:r>
      <w:r w:rsidRPr="006E2F17">
        <w:t xml:space="preserve"> (</w:t>
      </w:r>
      <w:r w:rsidR="00045309">
        <w:t xml:space="preserve">University </w:t>
      </w:r>
      <w:r w:rsidR="00D37366">
        <w:t>of Geneva</w:t>
      </w:r>
      <w:r w:rsidRPr="006E2F17">
        <w:t>, 2011).</w:t>
      </w:r>
    </w:p>
  </w:endnote>
  <w:endnote w:id="149">
    <w:p w14:paraId="713D8233" w14:textId="05992B84" w:rsidR="00B2752C" w:rsidRDefault="00B2752C" w:rsidP="00AF4CAA">
      <w:pPr>
        <w:pStyle w:val="refnormal"/>
      </w:pPr>
      <w:r>
        <w:rPr>
          <w:rStyle w:val="EndnoteReference"/>
        </w:rPr>
        <w:endnoteRef/>
      </w:r>
      <w:r>
        <w:t xml:space="preserve"> </w:t>
      </w:r>
      <w:r w:rsidRPr="00B2752C">
        <w:t>Holcomb</w:t>
      </w:r>
      <w:r>
        <w:t>,</w:t>
      </w:r>
      <w:r w:rsidRPr="00B2752C">
        <w:t xml:space="preserve"> Calvin, </w:t>
      </w:r>
      <w:r w:rsidRPr="00332E09">
        <w:rPr>
          <w:i/>
          <w:iCs/>
        </w:rPr>
        <w:t>Slavery, Bonds, and Panic: American Finance and the Collapse of the Caribbean Trade</w:t>
      </w:r>
      <w:r w:rsidRPr="00B2752C">
        <w:t xml:space="preserve"> (University of </w:t>
      </w:r>
      <w:proofErr w:type="spellStart"/>
      <w:r>
        <w:t>Millewackie</w:t>
      </w:r>
      <w:proofErr w:type="spellEnd"/>
      <w:r w:rsidRPr="00B2752C">
        <w:t xml:space="preserve"> Press, 1987).</w:t>
      </w:r>
    </w:p>
  </w:endnote>
  <w:endnote w:id="150">
    <w:p w14:paraId="09F3953D" w14:textId="7BB97FCE" w:rsidR="001518D2" w:rsidRDefault="001518D2" w:rsidP="00AF4CAA">
      <w:pPr>
        <w:pStyle w:val="refnormal"/>
      </w:pPr>
      <w:r>
        <w:rPr>
          <w:rStyle w:val="EndnoteReference"/>
        </w:rPr>
        <w:endnoteRef/>
      </w:r>
      <w:r>
        <w:t xml:space="preserve"> Miller, Zenobia, </w:t>
      </w:r>
      <w:r w:rsidRPr="001518D2">
        <w:rPr>
          <w:i/>
          <w:iCs/>
        </w:rPr>
        <w:t>America’s Satan: The Life and Times of John C. Calhoun</w:t>
      </w:r>
      <w:r>
        <w:t xml:space="preserve"> (1998, Library of Alexandria Publishing). </w:t>
      </w:r>
    </w:p>
  </w:endnote>
  <w:endnote w:id="151">
    <w:p w14:paraId="5A982B95" w14:textId="2186282E" w:rsidR="00F05296" w:rsidRDefault="00F05296" w:rsidP="00AF4CAA">
      <w:pPr>
        <w:pStyle w:val="refnormal"/>
      </w:pPr>
      <w:r>
        <w:rPr>
          <w:rStyle w:val="EndnoteReference"/>
        </w:rPr>
        <w:endnoteRef/>
      </w:r>
      <w:r>
        <w:t xml:space="preserve"> </w:t>
      </w:r>
      <w:r w:rsidR="007C0CF5">
        <w:t>Ibid.</w:t>
      </w:r>
      <w:r>
        <w:t xml:space="preserve"> </w:t>
      </w:r>
    </w:p>
  </w:endnote>
  <w:endnote w:id="152">
    <w:p w14:paraId="44A59F23" w14:textId="512E6C7C" w:rsidR="007C0CF5" w:rsidRDefault="007C0CF5" w:rsidP="00AF4CAA">
      <w:pPr>
        <w:pStyle w:val="refnormal"/>
      </w:pPr>
      <w:r>
        <w:rPr>
          <w:rStyle w:val="EndnoteReference"/>
        </w:rPr>
        <w:endnoteRef/>
      </w:r>
      <w:r>
        <w:t xml:space="preserve"> Ibid.</w:t>
      </w:r>
    </w:p>
  </w:endnote>
  <w:endnote w:id="153">
    <w:p w14:paraId="6BD99722" w14:textId="1820B7A6" w:rsidR="00310C9F" w:rsidRPr="00310C9F" w:rsidRDefault="00310C9F" w:rsidP="00AF4CAA">
      <w:pPr>
        <w:pStyle w:val="refnormal"/>
      </w:pPr>
      <w:r>
        <w:rPr>
          <w:rStyle w:val="EndnoteReference"/>
        </w:rPr>
        <w:endnoteRef/>
      </w:r>
      <w:r>
        <w:t xml:space="preserve"> Agu</w:t>
      </w:r>
      <w:r w:rsidRPr="00310C9F">
        <w:t xml:space="preserve">, </w:t>
      </w:r>
      <w:r>
        <w:t>Isaie</w:t>
      </w:r>
      <w:r w:rsidRPr="00310C9F">
        <w:t>. "Rails, Rivers, and Republicanism: John C. Calhoun’s Memphis Strategy." American Historical Quarterly, Vol. 55, No. 3 (Fall 1989), pp. 212–239.</w:t>
      </w:r>
    </w:p>
  </w:endnote>
  <w:endnote w:id="154">
    <w:p w14:paraId="6EE120F5" w14:textId="5F34405A" w:rsidR="00656779" w:rsidRDefault="00656779" w:rsidP="00AF4CAA">
      <w:pPr>
        <w:pStyle w:val="refnormal"/>
      </w:pPr>
      <w:r>
        <w:rPr>
          <w:rStyle w:val="EndnoteReference"/>
        </w:rPr>
        <w:endnoteRef/>
      </w:r>
      <w:r>
        <w:t xml:space="preserve"> </w:t>
      </w:r>
      <w:proofErr w:type="spellStart"/>
      <w:r w:rsidR="00F37D39">
        <w:t>Pantakrov</w:t>
      </w:r>
      <w:proofErr w:type="spellEnd"/>
      <w:r>
        <w:t xml:space="preserve">, Sidney, </w:t>
      </w:r>
      <w:r w:rsidRPr="00332E09">
        <w:rPr>
          <w:i/>
          <w:iCs/>
        </w:rPr>
        <w:t>The Mudsills of the North: The Mechanics of the North and the Peculiar Institution, 1789-1868</w:t>
      </w:r>
      <w:r>
        <w:t xml:space="preserve"> (</w:t>
      </w:r>
      <w:r w:rsidR="00F37D39">
        <w:t xml:space="preserve">1968, </w:t>
      </w:r>
      <w:proofErr w:type="spellStart"/>
      <w:r w:rsidR="00F37D39">
        <w:t>Websteropolis</w:t>
      </w:r>
      <w:proofErr w:type="spellEnd"/>
      <w:r w:rsidR="00F37D39">
        <w:t xml:space="preserve"> University Press). </w:t>
      </w:r>
    </w:p>
  </w:endnote>
  <w:endnote w:id="155">
    <w:p w14:paraId="52A5DCB0" w14:textId="20D12759" w:rsidR="00A836AF" w:rsidRDefault="00A836AF" w:rsidP="00AF4CAA">
      <w:pPr>
        <w:pStyle w:val="refnormal"/>
      </w:pPr>
      <w:r>
        <w:rPr>
          <w:rStyle w:val="EndnoteReference"/>
        </w:rPr>
        <w:endnoteRef/>
      </w:r>
      <w:r>
        <w:t xml:space="preserve"> Miller, </w:t>
      </w:r>
      <w:r w:rsidRPr="00F05296">
        <w:rPr>
          <w:i/>
          <w:iCs/>
        </w:rPr>
        <w:t>America’s Satan</w:t>
      </w:r>
      <w:r>
        <w:t xml:space="preserve"> (1998).</w:t>
      </w:r>
    </w:p>
  </w:endnote>
  <w:endnote w:id="156">
    <w:p w14:paraId="6FDC4936" w14:textId="0958C167" w:rsidR="00C30211" w:rsidRDefault="00C30211" w:rsidP="00AF4CAA">
      <w:pPr>
        <w:pStyle w:val="refnormal"/>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157">
    <w:p w14:paraId="1B8B2C2B" w14:textId="65A9C565" w:rsidR="0088742C" w:rsidRDefault="0088742C" w:rsidP="00AF4CAA">
      <w:pPr>
        <w:pStyle w:val="refnormal"/>
      </w:pPr>
      <w:r>
        <w:rPr>
          <w:rStyle w:val="EndnoteReference"/>
        </w:rPr>
        <w:endnoteRef/>
      </w:r>
      <w:r>
        <w:t xml:space="preserve"> Bryant, Timothy, </w:t>
      </w:r>
      <w:r w:rsidRPr="00332E09">
        <w:rPr>
          <w:i/>
          <w:iCs/>
        </w:rPr>
        <w:t>The Devil Against Daniel Webster: Webster, Calhoun, and the Election of 1848</w:t>
      </w:r>
      <w:r>
        <w:t xml:space="preserve"> (2012, Yale University Press). </w:t>
      </w:r>
    </w:p>
  </w:endnote>
  <w:endnote w:id="158">
    <w:p w14:paraId="30027DA7" w14:textId="0553FEC8" w:rsidR="002B3E5F" w:rsidRDefault="002B3E5F" w:rsidP="00AF4CAA">
      <w:pPr>
        <w:pStyle w:val="refnormal"/>
      </w:pPr>
      <w:r>
        <w:rPr>
          <w:rStyle w:val="EndnoteReference"/>
        </w:rPr>
        <w:endnoteRef/>
      </w:r>
      <w:r>
        <w:t xml:space="preserve"> </w:t>
      </w:r>
      <w:r w:rsidRPr="00765972">
        <w:t>Bryant, Timothy</w:t>
      </w:r>
      <w:r>
        <w:t>,</w:t>
      </w:r>
      <w:r w:rsidRPr="00765972">
        <w:t xml:space="preserve"> </w:t>
      </w:r>
      <w:r w:rsidRPr="00332E09">
        <w:rPr>
          <w:i/>
          <w:iCs/>
        </w:rPr>
        <w:t>Tariffs, Territories, and Treason: The Political Economy of the Webster Era</w:t>
      </w:r>
      <w:r w:rsidRPr="00765972">
        <w:t xml:space="preserve"> </w:t>
      </w:r>
      <w:r>
        <w:t xml:space="preserve">(2005, </w:t>
      </w:r>
      <w:r w:rsidRPr="00765972">
        <w:t>Yale University Press</w:t>
      </w:r>
      <w:r>
        <w:t>).</w:t>
      </w:r>
    </w:p>
  </w:endnote>
  <w:endnote w:id="159">
    <w:p w14:paraId="2696042E" w14:textId="6628E803" w:rsidR="001370C9" w:rsidRDefault="001370C9" w:rsidP="00AF4CAA">
      <w:pPr>
        <w:pStyle w:val="refnormal"/>
      </w:pPr>
      <w:r>
        <w:rPr>
          <w:rStyle w:val="EndnoteReference"/>
        </w:rPr>
        <w:endnoteRef/>
      </w:r>
      <w:r>
        <w:t xml:space="preserve"> </w:t>
      </w:r>
      <w:r w:rsidRPr="002D4E17">
        <w:t>Randall,</w:t>
      </w:r>
      <w:r>
        <w:t xml:space="preserve"> Judith,</w:t>
      </w:r>
      <w:r w:rsidRPr="002D4E17">
        <w:t xml:space="preserve"> </w:t>
      </w:r>
      <w:r w:rsidRPr="00332E09">
        <w:rPr>
          <w:i/>
          <w:iCs/>
        </w:rPr>
        <w:t>The Last Stand of Nullification: South Carolina and the Force Act</w:t>
      </w:r>
      <w:r w:rsidRPr="002D4E17">
        <w:t xml:space="preserve"> (</w:t>
      </w:r>
      <w:r w:rsidR="00656779">
        <w:t xml:space="preserve">2024, </w:t>
      </w:r>
      <w:r>
        <w:t>Orleans State</w:t>
      </w:r>
      <w:r w:rsidRPr="002D4E17">
        <w:t xml:space="preserve"> University Press)</w:t>
      </w:r>
      <w:r w:rsidR="004C3798">
        <w:t xml:space="preserve">. </w:t>
      </w:r>
    </w:p>
  </w:endnote>
  <w:endnote w:id="160">
    <w:p w14:paraId="1562243C" w14:textId="3592124F" w:rsidR="00CB4A13" w:rsidRDefault="00CB4A13" w:rsidP="00AF4CAA">
      <w:pPr>
        <w:pStyle w:val="refnormal"/>
      </w:pPr>
      <w:r>
        <w:rPr>
          <w:rStyle w:val="EndnoteReference"/>
        </w:rPr>
        <w:endnoteRef/>
      </w:r>
      <w:r>
        <w:t xml:space="preserve"> </w:t>
      </w:r>
      <w:r w:rsidRPr="00CB4A13">
        <w:t xml:space="preserve">McPherson, Harold. "The Secession Oak and the Bluffton Movement: </w:t>
      </w:r>
      <w:r>
        <w:t xml:space="preserve">Planting the </w:t>
      </w:r>
      <w:r w:rsidRPr="00CB4A13">
        <w:t xml:space="preserve">Seeds of </w:t>
      </w:r>
      <w:proofErr w:type="spellStart"/>
      <w:r>
        <w:t>Richmondism</w:t>
      </w:r>
      <w:proofErr w:type="spellEnd"/>
      <w:r w:rsidRPr="00CB4A13">
        <w:t>." Southern Historical Quarterly 42, no. 3 (1975): 215–239.</w:t>
      </w:r>
    </w:p>
  </w:endnote>
  <w:endnote w:id="161">
    <w:p w14:paraId="270B7E77" w14:textId="59CE5852" w:rsidR="002C77E2" w:rsidRDefault="002C77E2" w:rsidP="00AF4CAA">
      <w:pPr>
        <w:pStyle w:val="refnormal"/>
      </w:pPr>
      <w:r>
        <w:rPr>
          <w:rStyle w:val="EndnoteReference"/>
        </w:rPr>
        <w:endnoteRef/>
      </w:r>
      <w:r>
        <w:t xml:space="preserve"> For this, I am indebted to </w:t>
      </w:r>
      <w:r w:rsidRPr="002C77E2">
        <w:t xml:space="preserve">Foster, Abigail. </w:t>
      </w:r>
      <w:r w:rsidRPr="00371F27">
        <w:rPr>
          <w:i/>
          <w:iCs/>
        </w:rPr>
        <w:t>The Second Nullification Crisis: Webster,</w:t>
      </w:r>
      <w:r w:rsidR="00E443AB" w:rsidRPr="00371F27">
        <w:rPr>
          <w:i/>
          <w:iCs/>
        </w:rPr>
        <w:t xml:space="preserve"> Clay,</w:t>
      </w:r>
      <w:r w:rsidRPr="00371F27">
        <w:rPr>
          <w:i/>
          <w:iCs/>
        </w:rPr>
        <w:t xml:space="preserve"> Calhoun, and the Preservation of the Union</w:t>
      </w:r>
      <w:r w:rsidRPr="002C77E2">
        <w:t xml:space="preserve"> </w:t>
      </w:r>
      <w:r>
        <w:t>(</w:t>
      </w:r>
      <w:r w:rsidRPr="002C77E2">
        <w:t>Atlantic &amp; Sons, 1890</w:t>
      </w:r>
      <w:r>
        <w:t>)</w:t>
      </w:r>
      <w:r w:rsidR="00AD470A">
        <w:t xml:space="preserve">. </w:t>
      </w:r>
    </w:p>
  </w:endnote>
  <w:endnote w:id="162">
    <w:p w14:paraId="350D8BA2" w14:textId="4A0B946F" w:rsidR="00AA4845" w:rsidRDefault="00AA4845" w:rsidP="00AF4CAA">
      <w:pPr>
        <w:pStyle w:val="refnormal"/>
      </w:pPr>
      <w:r>
        <w:rPr>
          <w:rStyle w:val="EndnoteReference"/>
        </w:rPr>
        <w:endnoteRef/>
      </w:r>
      <w:r>
        <w:t xml:space="preserve"> </w:t>
      </w:r>
      <w:r w:rsidRPr="00AA4845">
        <w:t xml:space="preserve">Everett, Edward. </w:t>
      </w:r>
      <w:r w:rsidRPr="00371F27">
        <w:rPr>
          <w:i/>
          <w:iCs/>
        </w:rPr>
        <w:t>Report of the Everett Commission on the Tariff and Public Lands</w:t>
      </w:r>
      <w:r w:rsidRPr="00AA4845">
        <w:t>. Government Printing Office, 1849.</w:t>
      </w:r>
    </w:p>
  </w:endnote>
  <w:endnote w:id="163">
    <w:p w14:paraId="694303F9" w14:textId="49BC2AA2" w:rsidR="002D4E17" w:rsidRDefault="002D4E17" w:rsidP="00AF4CAA">
      <w:pPr>
        <w:pStyle w:val="refnormal"/>
      </w:pPr>
      <w:r>
        <w:rPr>
          <w:rStyle w:val="EndnoteReference"/>
        </w:rPr>
        <w:endnoteRef/>
      </w:r>
      <w:r>
        <w:t xml:space="preserve"> </w:t>
      </w:r>
      <w:r w:rsidRPr="002D4E17">
        <w:t>Randall,</w:t>
      </w:r>
      <w:r>
        <w:t xml:space="preserve"> Judith,</w:t>
      </w:r>
      <w:r w:rsidRPr="002D4E17">
        <w:t xml:space="preserve"> </w:t>
      </w:r>
      <w:r w:rsidRPr="002D4E17">
        <w:rPr>
          <w:i/>
          <w:iCs/>
        </w:rPr>
        <w:t>The Last Stand of Nullification: South Carolina and the Force Act</w:t>
      </w:r>
      <w:r w:rsidRPr="002D4E17">
        <w:t xml:space="preserve"> (</w:t>
      </w:r>
      <w:r>
        <w:t>Orleans State</w:t>
      </w:r>
      <w:r w:rsidRPr="002D4E17">
        <w:t xml:space="preserve"> University Press, </w:t>
      </w:r>
      <w:r>
        <w:t>2024</w:t>
      </w:r>
      <w:r w:rsidRPr="002D4E17">
        <w:t>), 88–90.</w:t>
      </w:r>
    </w:p>
  </w:endnote>
  <w:endnote w:id="164">
    <w:p w14:paraId="7D962BE7" w14:textId="40DFDA4D" w:rsidR="00E21C28" w:rsidRDefault="00E21C28" w:rsidP="00AF4CAA">
      <w:pPr>
        <w:pStyle w:val="refnormal"/>
      </w:pPr>
      <w:r>
        <w:rPr>
          <w:rStyle w:val="EndnoteReference"/>
        </w:rPr>
        <w:endnoteRef/>
      </w:r>
      <w:r>
        <w:t xml:space="preserve"> </w:t>
      </w:r>
      <w:r w:rsidR="006A7FCE">
        <w:t xml:space="preserve">Webster, </w:t>
      </w:r>
      <w:r w:rsidR="00D00B1A" w:rsidRPr="00D00B1A">
        <w:t>Daniel, "</w:t>
      </w:r>
      <w:r w:rsidR="00BC5F80">
        <w:t>A Proclamation to the State of South Carolina</w:t>
      </w:r>
      <w:r w:rsidR="00D00B1A" w:rsidRPr="00D00B1A">
        <w:t>," A</w:t>
      </w:r>
      <w:r w:rsidR="00C65B2A">
        <w:t>ugust</w:t>
      </w:r>
      <w:r w:rsidR="00D00B1A" w:rsidRPr="00D00B1A">
        <w:t xml:space="preserve"> 1849.</w:t>
      </w:r>
      <w:r w:rsidR="00D00B1A">
        <w:t xml:space="preserve"> From </w:t>
      </w:r>
      <w:r w:rsidR="00D00B1A" w:rsidRPr="00A12D99">
        <w:rPr>
          <w:i/>
          <w:iCs/>
        </w:rPr>
        <w:t>Speeches of Daniel Webster</w:t>
      </w:r>
      <w:r w:rsidR="00D00B1A">
        <w:rPr>
          <w:i/>
          <w:iCs/>
        </w:rPr>
        <w:t>:</w:t>
      </w:r>
      <w:r w:rsidR="00D00B1A" w:rsidRPr="00A12D99">
        <w:rPr>
          <w:i/>
          <w:iCs/>
        </w:rPr>
        <w:t xml:space="preserve"> Vol I</w:t>
      </w:r>
      <w:r w:rsidR="00D00B1A">
        <w:rPr>
          <w:i/>
          <w:iCs/>
        </w:rPr>
        <w:t>II</w:t>
      </w:r>
      <w:r w:rsidR="00D00B1A" w:rsidRPr="00A12D99">
        <w:rPr>
          <w:i/>
          <w:iCs/>
        </w:rPr>
        <w:t>: 18</w:t>
      </w:r>
      <w:r w:rsidR="00D00B1A">
        <w:rPr>
          <w:i/>
          <w:iCs/>
        </w:rPr>
        <w:t>45</w:t>
      </w:r>
      <w:r w:rsidR="00D00B1A" w:rsidRPr="00A12D99">
        <w:rPr>
          <w:i/>
          <w:iCs/>
        </w:rPr>
        <w:t>-185</w:t>
      </w:r>
      <w:r w:rsidR="00D00B1A">
        <w:rPr>
          <w:i/>
          <w:iCs/>
        </w:rPr>
        <w:t>2</w:t>
      </w:r>
      <w:r w:rsidR="00D00B1A">
        <w:t xml:space="preserve"> (1998, Library of Alexandria Publishing).</w:t>
      </w:r>
    </w:p>
  </w:endnote>
  <w:endnote w:id="165">
    <w:p w14:paraId="7FF99B04" w14:textId="7854CE3B" w:rsidR="003F6DCF" w:rsidRDefault="003F6DCF" w:rsidP="00AF4CAA">
      <w:pPr>
        <w:pStyle w:val="refnormal"/>
      </w:pPr>
      <w:r>
        <w:rPr>
          <w:rStyle w:val="EndnoteReference"/>
        </w:rPr>
        <w:endnoteRef/>
      </w:r>
      <w:r>
        <w:t xml:space="preserve"> </w:t>
      </w:r>
      <w:r w:rsidRPr="00765972">
        <w:t>Bryant, Timothy</w:t>
      </w:r>
      <w:r w:rsidR="00C523AE">
        <w:t>,</w:t>
      </w:r>
      <w:r w:rsidRPr="00765972">
        <w:t xml:space="preserve"> </w:t>
      </w:r>
      <w:r w:rsidRPr="00371F27">
        <w:rPr>
          <w:i/>
          <w:iCs/>
        </w:rPr>
        <w:t>Tariffs, Territories, and Treason: The Political Economy of the Webster Era</w:t>
      </w:r>
      <w:r w:rsidRPr="00765972">
        <w:t xml:space="preserve"> </w:t>
      </w:r>
      <w:r>
        <w:t xml:space="preserve">(2005, </w:t>
      </w:r>
      <w:r w:rsidRPr="00765972">
        <w:t>Yale University Press</w:t>
      </w:r>
      <w:r>
        <w:t>).</w:t>
      </w:r>
    </w:p>
  </w:endnote>
  <w:endnote w:id="166">
    <w:p w14:paraId="1856D638" w14:textId="373B28B1" w:rsidR="00ED6D85" w:rsidRDefault="00ED6D85" w:rsidP="00AF4CAA">
      <w:pPr>
        <w:pStyle w:val="refnormal"/>
      </w:pPr>
      <w:r>
        <w:rPr>
          <w:rStyle w:val="EndnoteReference"/>
        </w:rPr>
        <w:endnoteRef/>
      </w:r>
      <w:r>
        <w:t xml:space="preserve"> </w:t>
      </w:r>
      <w:r w:rsidR="00845E7B">
        <w:t>T</w:t>
      </w:r>
      <w:r>
        <w:t xml:space="preserve">he idea of </w:t>
      </w:r>
      <w:r w:rsidR="00845E7B">
        <w:t xml:space="preserve">South Carolina as a Caribbean-oriented oligarchical republic is deep-seated and ultimately derived from its very origin as an outpost of Barbados and </w:t>
      </w:r>
      <w:r w:rsidR="003D1D4B">
        <w:t xml:space="preserve">ultimately under the </w:t>
      </w:r>
      <w:r w:rsidR="009263D2">
        <w:t xml:space="preserve">old </w:t>
      </w:r>
      <w:r w:rsidR="00101565">
        <w:t xml:space="preserve">British monarchy. See </w:t>
      </w:r>
      <w:r w:rsidR="001738DA">
        <w:t>Blanchet</w:t>
      </w:r>
      <w:r w:rsidR="009263D2">
        <w:t xml:space="preserve">, </w:t>
      </w:r>
      <w:r w:rsidR="003A4FB8">
        <w:t>Bess</w:t>
      </w:r>
      <w:r w:rsidR="009263D2">
        <w:t xml:space="preserve">, </w:t>
      </w:r>
      <w:r w:rsidR="009263D2" w:rsidRPr="001738DA">
        <w:rPr>
          <w:i/>
          <w:iCs/>
        </w:rPr>
        <w:t>Too Large for an Insane Asylum: Antebellum South Carolina</w:t>
      </w:r>
      <w:r w:rsidR="001738DA" w:rsidRPr="001738DA">
        <w:rPr>
          <w:i/>
          <w:iCs/>
        </w:rPr>
        <w:t xml:space="preserve"> and Her Society</w:t>
      </w:r>
      <w:r w:rsidR="001738DA">
        <w:t xml:space="preserve"> (2013, </w:t>
      </w:r>
      <w:r w:rsidR="00547A64">
        <w:t xml:space="preserve">Library of Alexandria Publishing). </w:t>
      </w:r>
    </w:p>
  </w:endnote>
  <w:endnote w:id="167">
    <w:p w14:paraId="2D6A5B28" w14:textId="5AE6C43A" w:rsidR="003B4677" w:rsidRDefault="003B4677" w:rsidP="00AF4CAA">
      <w:pPr>
        <w:pStyle w:val="refnormal"/>
      </w:pPr>
      <w:r>
        <w:rPr>
          <w:rStyle w:val="EndnoteReference"/>
        </w:rPr>
        <w:endnoteRef/>
      </w:r>
      <w:r>
        <w:t xml:space="preserve"> </w:t>
      </w:r>
      <w:r w:rsidRPr="003B4677">
        <w:t xml:space="preserve">Henry Clay, </w:t>
      </w:r>
      <w:r w:rsidR="00E21C28">
        <w:t>“</w:t>
      </w:r>
      <w:r w:rsidRPr="00E21C28">
        <w:t>Remarks on the Necessity of Compromise</w:t>
      </w:r>
      <w:r w:rsidR="00E21C28">
        <w:t>”</w:t>
      </w:r>
      <w:r w:rsidRPr="00E21C28">
        <w:t>, Senate Speech</w:t>
      </w:r>
      <w:r w:rsidRPr="003B4677">
        <w:t>, Ma</w:t>
      </w:r>
      <w:r w:rsidR="00933A3E">
        <w:t>y</w:t>
      </w:r>
      <w:r w:rsidRPr="003B4677">
        <w:t xml:space="preserve"> 18</w:t>
      </w:r>
      <w:r w:rsidR="00933A3E">
        <w:t>49</w:t>
      </w:r>
      <w:r w:rsidRPr="003B4677">
        <w:t>.</w:t>
      </w:r>
      <w:r>
        <w:t xml:space="preserve"> From </w:t>
      </w:r>
      <w:r w:rsidR="009B700D" w:rsidRPr="009B700D">
        <w:rPr>
          <w:i/>
          <w:iCs/>
        </w:rPr>
        <w:t xml:space="preserve">Speeches of </w:t>
      </w:r>
      <w:r w:rsidR="009B700D">
        <w:rPr>
          <w:i/>
          <w:iCs/>
        </w:rPr>
        <w:t>Henry Clay</w:t>
      </w:r>
      <w:r w:rsidR="009B700D" w:rsidRPr="009B700D">
        <w:rPr>
          <w:i/>
          <w:iCs/>
        </w:rPr>
        <w:t xml:space="preserve">: Vol </w:t>
      </w:r>
      <w:r w:rsidR="009B700D">
        <w:rPr>
          <w:i/>
          <w:iCs/>
        </w:rPr>
        <w:t>II</w:t>
      </w:r>
      <w:r w:rsidR="009B700D" w:rsidRPr="009B700D">
        <w:rPr>
          <w:i/>
          <w:iCs/>
        </w:rPr>
        <w:t>I: 18</w:t>
      </w:r>
      <w:r w:rsidR="009B700D">
        <w:rPr>
          <w:i/>
          <w:iCs/>
        </w:rPr>
        <w:t>37</w:t>
      </w:r>
      <w:r w:rsidR="009B700D" w:rsidRPr="009B700D">
        <w:rPr>
          <w:i/>
          <w:iCs/>
        </w:rPr>
        <w:t>-18</w:t>
      </w:r>
      <w:r w:rsidR="009B700D">
        <w:rPr>
          <w:i/>
          <w:iCs/>
        </w:rPr>
        <w:t>52</w:t>
      </w:r>
      <w:r w:rsidR="009B700D" w:rsidRPr="009B700D">
        <w:t xml:space="preserve"> (19</w:t>
      </w:r>
      <w:r w:rsidR="00D00B1A">
        <w:t>94</w:t>
      </w:r>
      <w:r w:rsidR="009B700D" w:rsidRPr="009B700D">
        <w:t>, Library of Alexandria Publishing).</w:t>
      </w:r>
    </w:p>
  </w:endnote>
  <w:endnote w:id="168">
    <w:p w14:paraId="780AEA69" w14:textId="5A32626F" w:rsidR="00274B7F" w:rsidRDefault="00274B7F" w:rsidP="00AF4CAA">
      <w:pPr>
        <w:pStyle w:val="refnormal"/>
      </w:pPr>
      <w:r>
        <w:rPr>
          <w:rStyle w:val="EndnoteReference"/>
        </w:rPr>
        <w:endnoteRef/>
      </w:r>
      <w:r>
        <w:t xml:space="preserve"> </w:t>
      </w:r>
      <w:r w:rsidRPr="002C77E2">
        <w:t>Foster</w:t>
      </w:r>
      <w:r>
        <w:t xml:space="preserve">, </w:t>
      </w:r>
      <w:r w:rsidRPr="004369A5">
        <w:rPr>
          <w:i/>
          <w:iCs/>
        </w:rPr>
        <w:t>The Second Nullification Crisis</w:t>
      </w:r>
      <w:r>
        <w:t xml:space="preserve"> (1890).</w:t>
      </w:r>
    </w:p>
  </w:endnote>
  <w:endnote w:id="169">
    <w:p w14:paraId="3567A503" w14:textId="12D66CF9" w:rsidR="000B0C70" w:rsidRDefault="000B0C70" w:rsidP="00AF4CAA">
      <w:pPr>
        <w:pStyle w:val="refnormal"/>
      </w:pPr>
      <w:r>
        <w:rPr>
          <w:rStyle w:val="EndnoteReference"/>
        </w:rPr>
        <w:endnoteRef/>
      </w:r>
      <w:r>
        <w:t xml:space="preserve"> </w:t>
      </w:r>
      <w:r w:rsidRPr="000B0C70">
        <w:t>The National Intelligencer, September 2, 1850, "The Collapse of Nullification: Webster Triumphs."</w:t>
      </w:r>
    </w:p>
  </w:endnote>
  <w:endnote w:id="170">
    <w:p w14:paraId="5250BE39" w14:textId="619551E1" w:rsidR="00765972" w:rsidRDefault="00765972" w:rsidP="00AF4CAA">
      <w:pPr>
        <w:pStyle w:val="refnormal"/>
      </w:pPr>
      <w:r>
        <w:rPr>
          <w:rStyle w:val="EndnoteReference"/>
        </w:rPr>
        <w:endnoteRef/>
      </w:r>
      <w:r>
        <w:t xml:space="preserve"> </w:t>
      </w:r>
      <w:r w:rsidR="003F6DCF">
        <w:t xml:space="preserve">Bryant, </w:t>
      </w:r>
      <w:r w:rsidR="003F6DCF" w:rsidRPr="003F6DCF">
        <w:t xml:space="preserve">Tariffs, </w:t>
      </w:r>
      <w:r w:rsidR="003F6DCF" w:rsidRPr="00256813">
        <w:rPr>
          <w:i/>
          <w:iCs/>
        </w:rPr>
        <w:t>Territories, and Treason</w:t>
      </w:r>
      <w:r w:rsidR="003F6DCF">
        <w:t xml:space="preserve"> (2005). </w:t>
      </w:r>
    </w:p>
  </w:endnote>
  <w:endnote w:id="171">
    <w:p w14:paraId="56206E5A" w14:textId="1FFB215B" w:rsidR="00152A38" w:rsidRDefault="00152A38" w:rsidP="00AF4CAA">
      <w:pPr>
        <w:pStyle w:val="refnormal"/>
      </w:pPr>
      <w:r>
        <w:rPr>
          <w:rStyle w:val="EndnoteReference"/>
        </w:rPr>
        <w:endnoteRef/>
      </w:r>
      <w:r>
        <w:t xml:space="preserve"> </w:t>
      </w:r>
      <w:r w:rsidRPr="00152A38">
        <w:t>Jackson, Everett</w:t>
      </w:r>
      <w:r>
        <w:t>,</w:t>
      </w:r>
      <w:r w:rsidRPr="00152A38">
        <w:t xml:space="preserve"> </w:t>
      </w:r>
      <w:r w:rsidRPr="00152A38">
        <w:rPr>
          <w:i/>
          <w:iCs/>
        </w:rPr>
        <w:t>The Birth of a Capital: Washington</w:t>
      </w:r>
      <w:r w:rsidR="00BB7F92">
        <w:rPr>
          <w:i/>
          <w:iCs/>
        </w:rPr>
        <w:t xml:space="preserve"> City</w:t>
      </w:r>
      <w:r w:rsidRPr="00152A38">
        <w:rPr>
          <w:i/>
          <w:iCs/>
        </w:rPr>
        <w:t>, 1789–18</w:t>
      </w:r>
      <w:r w:rsidR="00945092">
        <w:rPr>
          <w:i/>
          <w:iCs/>
        </w:rPr>
        <w:t>68</w:t>
      </w:r>
      <w:r w:rsidRPr="00152A38">
        <w:t xml:space="preserve"> </w:t>
      </w:r>
      <w:r w:rsidR="0085430E">
        <w:t>(</w:t>
      </w:r>
      <w:r w:rsidRPr="00152A38">
        <w:t>Yale University Press, 1957</w:t>
      </w:r>
      <w:r w:rsidR="0085430E">
        <w:t>)</w:t>
      </w:r>
      <w:r>
        <w:t xml:space="preserve"> </w:t>
      </w:r>
    </w:p>
  </w:endnote>
  <w:endnote w:id="172">
    <w:p w14:paraId="7030CF5F" w14:textId="242D5AB7" w:rsidR="00365494" w:rsidRDefault="00365494" w:rsidP="00AF4CAA">
      <w:pPr>
        <w:pStyle w:val="refnormal"/>
      </w:pPr>
      <w:r>
        <w:rPr>
          <w:rStyle w:val="EndnoteReference"/>
        </w:rPr>
        <w:endnoteRef/>
      </w:r>
      <w:r>
        <w:t xml:space="preserve"> </w:t>
      </w:r>
      <w:r w:rsidRPr="00365494">
        <w:t>Miller, Diana</w:t>
      </w:r>
      <w:r w:rsidR="00163D51">
        <w:t>,</w:t>
      </w:r>
      <w:r w:rsidRPr="00365494">
        <w:t xml:space="preserve"> </w:t>
      </w:r>
      <w:r w:rsidRPr="00163D51">
        <w:rPr>
          <w:i/>
          <w:iCs/>
        </w:rPr>
        <w:t>Urban Expansion and Institutional Development in Antebellum Washington</w:t>
      </w:r>
      <w:r w:rsidRPr="00365494">
        <w:t>. (Smithsonian Institution</w:t>
      </w:r>
      <w:r w:rsidR="00163D51">
        <w:t xml:space="preserve"> Journal of History</w:t>
      </w:r>
      <w:r w:rsidRPr="00365494">
        <w:t xml:space="preserve"> No. 24, 1989</w:t>
      </w:r>
      <w:r w:rsidR="00163D51">
        <w:t>)</w:t>
      </w:r>
      <w:r w:rsidRPr="00365494">
        <w:t>.</w:t>
      </w:r>
    </w:p>
  </w:endnote>
  <w:endnote w:id="173">
    <w:p w14:paraId="4CC9BBFA" w14:textId="67400502" w:rsidR="00580AF2" w:rsidRDefault="00580AF2" w:rsidP="00AF4CAA">
      <w:pPr>
        <w:pStyle w:val="refnormal"/>
      </w:pPr>
      <w:r>
        <w:rPr>
          <w:rStyle w:val="EndnoteReference"/>
        </w:rPr>
        <w:endnoteRef/>
      </w:r>
      <w:r>
        <w:t xml:space="preserve"> </w:t>
      </w:r>
      <w:r w:rsidRPr="00580AF2">
        <w:t>Harrington, Melissa</w:t>
      </w:r>
      <w:r w:rsidR="005D41FF">
        <w:t>,</w:t>
      </w:r>
      <w:r w:rsidRPr="00580AF2">
        <w:t xml:space="preserve"> </w:t>
      </w:r>
      <w:r w:rsidR="000B7F49" w:rsidRPr="00AD17F0">
        <w:rPr>
          <w:i/>
          <w:iCs/>
        </w:rPr>
        <w:t>Empire of Trade: How t</w:t>
      </w:r>
      <w:r w:rsidRPr="00AD17F0">
        <w:rPr>
          <w:i/>
          <w:iCs/>
        </w:rPr>
        <w:t xml:space="preserve">he </w:t>
      </w:r>
      <w:r w:rsidR="000B7F49" w:rsidRPr="00AD17F0">
        <w:rPr>
          <w:i/>
          <w:iCs/>
        </w:rPr>
        <w:t>Union Canal Shaped Early Washingto</w:t>
      </w:r>
      <w:r w:rsidRPr="00AD17F0">
        <w:rPr>
          <w:i/>
          <w:iCs/>
        </w:rPr>
        <w:t>n</w:t>
      </w:r>
      <w:r w:rsidRPr="00580AF2">
        <w:t xml:space="preserve">. </w:t>
      </w:r>
      <w:r w:rsidR="0085430E">
        <w:t>(T</w:t>
      </w:r>
      <w:r>
        <w:t>ammany</w:t>
      </w:r>
      <w:r w:rsidRPr="00580AF2">
        <w:t xml:space="preserve"> Books, 1981</w:t>
      </w:r>
      <w:r w:rsidR="0085430E">
        <w:t>)</w:t>
      </w:r>
      <w:r w:rsidR="00BB7F92">
        <w:t xml:space="preserve">. </w:t>
      </w:r>
    </w:p>
  </w:endnote>
  <w:endnote w:id="174">
    <w:p w14:paraId="3AF338AE" w14:textId="716782DE" w:rsidR="00BF7223" w:rsidRDefault="00BF7223" w:rsidP="00AF4CAA">
      <w:pPr>
        <w:pStyle w:val="refnormal"/>
      </w:pPr>
      <w:r>
        <w:rPr>
          <w:rStyle w:val="EndnoteReference"/>
        </w:rPr>
        <w:endnoteRef/>
      </w:r>
      <w:r>
        <w:t xml:space="preserve"> </w:t>
      </w:r>
      <w:r w:rsidRPr="00BF7223">
        <w:t>Foster, Leonard "The Fiscal Bank of Washington: A Study in Regional Banking." American Economic History Revie</w:t>
      </w:r>
      <w:r>
        <w:t>w</w:t>
      </w:r>
      <w:r w:rsidRPr="00BF7223">
        <w:t>, no. 4 (1967): 501–525.</w:t>
      </w:r>
    </w:p>
  </w:endnote>
  <w:endnote w:id="175">
    <w:p w14:paraId="2ACE24B2" w14:textId="4BC11BFC" w:rsidR="005A0051" w:rsidRDefault="005A0051" w:rsidP="00AF4CAA">
      <w:pPr>
        <w:pStyle w:val="refnormal"/>
      </w:pPr>
      <w:r>
        <w:rPr>
          <w:rStyle w:val="EndnoteReference"/>
        </w:rPr>
        <w:endnoteRef/>
      </w:r>
      <w:r>
        <w:t xml:space="preserve"> </w:t>
      </w:r>
      <w:r w:rsidRPr="005A0051">
        <w:t>Foster</w:t>
      </w:r>
      <w:r w:rsidR="00F512AC">
        <w:t xml:space="preserve">, </w:t>
      </w:r>
      <w:r w:rsidRPr="005A0051">
        <w:t>"The Fiscal Bank of Washington" (1967</w:t>
      </w:r>
      <w:r w:rsidR="005874C7">
        <w:t>)</w:t>
      </w:r>
      <w:r w:rsidRPr="005A0051">
        <w:t>.</w:t>
      </w:r>
    </w:p>
  </w:endnote>
  <w:endnote w:id="176">
    <w:p w14:paraId="052BD84C" w14:textId="62B9ABF4" w:rsidR="002156A5" w:rsidRDefault="002156A5" w:rsidP="00AF4CAA">
      <w:pPr>
        <w:pStyle w:val="refnormal"/>
      </w:pPr>
      <w:r>
        <w:rPr>
          <w:rStyle w:val="EndnoteReference"/>
        </w:rPr>
        <w:endnoteRef/>
      </w:r>
      <w:r>
        <w:t xml:space="preserve"> </w:t>
      </w:r>
      <w:r w:rsidRPr="002156A5">
        <w:t>Hayes, Carolyn "Clark v. Illinois and the Centralization of American Credit." Economic Review, no. 1 (2005): 88–115.</w:t>
      </w:r>
    </w:p>
  </w:endnote>
  <w:endnote w:id="177">
    <w:p w14:paraId="5CD37602" w14:textId="7D264F29" w:rsidR="004473E8" w:rsidRDefault="004473E8" w:rsidP="00AF4CAA">
      <w:pPr>
        <w:pStyle w:val="refnormal"/>
      </w:pPr>
      <w:r>
        <w:rPr>
          <w:rStyle w:val="EndnoteReference"/>
        </w:rPr>
        <w:endnoteRef/>
      </w:r>
      <w:r>
        <w:t xml:space="preserve"> </w:t>
      </w:r>
      <w:r w:rsidRPr="004473E8">
        <w:t xml:space="preserve">Samuels, Roger "The Rise of </w:t>
      </w:r>
      <w:r>
        <w:t>the Washington</w:t>
      </w:r>
      <w:r w:rsidRPr="004473E8">
        <w:t xml:space="preserve"> </w:t>
      </w:r>
      <w:r>
        <w:t>Board of Brokers</w:t>
      </w:r>
      <w:r w:rsidRPr="004473E8">
        <w:t>: 1800–18</w:t>
      </w:r>
      <w:r>
        <w:t>4</w:t>
      </w:r>
      <w:r w:rsidRPr="004473E8">
        <w:t xml:space="preserve">0." Journal of </w:t>
      </w:r>
      <w:r>
        <w:t>Washington</w:t>
      </w:r>
      <w:r w:rsidRPr="004473E8">
        <w:t xml:space="preserve"> Studies 7, no. 1 (2011): 34–59.</w:t>
      </w:r>
    </w:p>
  </w:endnote>
  <w:endnote w:id="178">
    <w:p w14:paraId="0ABB4BFB" w14:textId="093BCBE9" w:rsidR="00F63B42" w:rsidRDefault="00F63B42" w:rsidP="00AF4CAA">
      <w:pPr>
        <w:pStyle w:val="refnormal"/>
      </w:pPr>
      <w:r>
        <w:rPr>
          <w:rStyle w:val="EndnoteReference"/>
        </w:rPr>
        <w:endnoteRef/>
      </w:r>
      <w:r>
        <w:t xml:space="preserve"> </w:t>
      </w:r>
      <w:r w:rsidR="001206A0">
        <w:t xml:space="preserve">For a more thorough look at the expansion of Washington into its hinterland, see </w:t>
      </w:r>
      <w:r w:rsidRPr="00F63B42">
        <w:t>Miller</w:t>
      </w:r>
      <w:r>
        <w:t>,</w:t>
      </w:r>
      <w:r w:rsidRPr="00F63B42">
        <w:t xml:space="preserve"> </w:t>
      </w:r>
      <w:r w:rsidRPr="00F63B42">
        <w:rPr>
          <w:i/>
          <w:iCs/>
        </w:rPr>
        <w:t>Urban Expansion</w:t>
      </w:r>
      <w:r w:rsidRPr="00F63B42">
        <w:t>. (199</w:t>
      </w:r>
      <w:r>
        <w:t>4)</w:t>
      </w:r>
      <w:r w:rsidRPr="00F63B42">
        <w:t>.</w:t>
      </w:r>
    </w:p>
  </w:endnote>
  <w:endnote w:id="179">
    <w:p w14:paraId="048A3453" w14:textId="766AE45C" w:rsidR="00704EF3" w:rsidRDefault="00704EF3" w:rsidP="00AF4CAA">
      <w:pPr>
        <w:pStyle w:val="refnormal"/>
      </w:pPr>
      <w:r>
        <w:rPr>
          <w:rStyle w:val="EndnoteReference"/>
        </w:rPr>
        <w:endnoteRef/>
      </w:r>
      <w:r>
        <w:t xml:space="preserve"> Porterfield, Isaac. </w:t>
      </w:r>
      <w:r w:rsidRPr="007A0F46">
        <w:rPr>
          <w:i/>
          <w:iCs/>
        </w:rPr>
        <w:t>Semaphore Republic: America’s First Communications Revolution</w:t>
      </w:r>
      <w:r>
        <w:t>. (</w:t>
      </w:r>
      <w:r w:rsidR="00153FD2">
        <w:t>Library of Alexandria Publishing</w:t>
      </w:r>
      <w:r>
        <w:t>, 2020)</w:t>
      </w:r>
      <w:r w:rsidR="002D3B3A">
        <w:t xml:space="preserve">. </w:t>
      </w:r>
    </w:p>
  </w:endnote>
  <w:endnote w:id="180">
    <w:p w14:paraId="6EB6A7A8" w14:textId="300EBE96" w:rsidR="002D74CF" w:rsidRDefault="002D74CF" w:rsidP="00AF4CAA">
      <w:pPr>
        <w:pStyle w:val="refnormal"/>
      </w:pPr>
      <w:r>
        <w:rPr>
          <w:rStyle w:val="EndnoteReference"/>
        </w:rPr>
        <w:endnoteRef/>
      </w:r>
      <w:r>
        <w:t xml:space="preserve"> C</w:t>
      </w:r>
      <w:r w:rsidRPr="002D74CF">
        <w:t>artwright</w:t>
      </w:r>
      <w:r>
        <w:t xml:space="preserve">, </w:t>
      </w:r>
      <w:r w:rsidRPr="002D74CF">
        <w:t xml:space="preserve">A. W., </w:t>
      </w:r>
      <w:r w:rsidRPr="009C65FE">
        <w:rPr>
          <w:i/>
          <w:iCs/>
        </w:rPr>
        <w:t>The Collapse of Canal Mania: Financial Panic and Infrastructure Retrenchment, 1839–1844</w:t>
      </w:r>
      <w:r w:rsidRPr="002D74CF">
        <w:t xml:space="preserve"> (</w:t>
      </w:r>
      <w:r>
        <w:t>Mackintosh</w:t>
      </w:r>
      <w:r w:rsidRPr="002D74CF">
        <w:t xml:space="preserve"> University Press, 19</w:t>
      </w:r>
      <w:r w:rsidR="00695D18">
        <w:t>9</w:t>
      </w:r>
      <w:r w:rsidRPr="002D74CF">
        <w:t>4).</w:t>
      </w:r>
    </w:p>
  </w:endnote>
  <w:endnote w:id="181">
    <w:p w14:paraId="2E806606" w14:textId="15D0543A" w:rsidR="00EA1D61" w:rsidRDefault="00EA1D61">
      <w:pPr>
        <w:pStyle w:val="EndnoteText"/>
      </w:pPr>
      <w:r>
        <w:rPr>
          <w:rStyle w:val="EndnoteReference"/>
        </w:rPr>
        <w:endnoteRef/>
      </w:r>
      <w:r>
        <w:t xml:space="preserve"> </w:t>
      </w:r>
      <w:proofErr w:type="spellStart"/>
      <w:r>
        <w:t>Mansoure</w:t>
      </w:r>
      <w:proofErr w:type="spellEnd"/>
      <w:r>
        <w:t xml:space="preserve">, </w:t>
      </w:r>
      <w:r w:rsidR="00E973C8">
        <w:t xml:space="preserve">Louis. </w:t>
      </w:r>
      <w:r w:rsidR="00BB78F1" w:rsidRPr="008D631F">
        <w:rPr>
          <w:i/>
          <w:iCs/>
        </w:rPr>
        <w:t>The Locomotive: The Rise of the Railroad and the Dawn of Modernity</w:t>
      </w:r>
      <w:r w:rsidR="00BB78F1">
        <w:t xml:space="preserve"> (</w:t>
      </w:r>
      <w:r w:rsidR="00E937BA" w:rsidRPr="00E937BA">
        <w:t>Éditions</w:t>
      </w:r>
      <w:r w:rsidR="00E937BA">
        <w:t xml:space="preserve"> </w:t>
      </w:r>
      <w:proofErr w:type="spellStart"/>
      <w:r w:rsidR="00E937BA">
        <w:t>Wosniac</w:t>
      </w:r>
      <w:proofErr w:type="spellEnd"/>
      <w:r w:rsidR="00BB78F1">
        <w:t xml:space="preserve">, 2011). </w:t>
      </w:r>
    </w:p>
  </w:endnote>
  <w:endnote w:id="182">
    <w:p w14:paraId="654AF641" w14:textId="410A840D" w:rsidR="003A332C" w:rsidRDefault="003A332C" w:rsidP="00AF4CAA">
      <w:pPr>
        <w:pStyle w:val="refnormal"/>
      </w:pPr>
      <w:r>
        <w:rPr>
          <w:rStyle w:val="EndnoteReference"/>
        </w:rPr>
        <w:endnoteRef/>
      </w:r>
      <w:r>
        <w:t xml:space="preserve"> </w:t>
      </w:r>
      <w:r w:rsidRPr="003A332C">
        <w:t>Pruitt</w:t>
      </w:r>
      <w:r>
        <w:t>,</w:t>
      </w:r>
      <w:r w:rsidRPr="003A332C">
        <w:t xml:space="preserve"> Nathaniel, </w:t>
      </w:r>
      <w:r w:rsidRPr="009C65FE">
        <w:rPr>
          <w:i/>
          <w:iCs/>
        </w:rPr>
        <w:t>The National Bank and the Arc of Iron: State Commercialism and the Railroad Revolution, 1830–1868</w:t>
      </w:r>
      <w:r w:rsidRPr="003A332C">
        <w:t xml:space="preserve"> (</w:t>
      </w:r>
      <w:r w:rsidR="00251EB5">
        <w:t xml:space="preserve">Curran Emmet </w:t>
      </w:r>
      <w:r w:rsidRPr="003A332C">
        <w:t>University, 2006).</w:t>
      </w:r>
    </w:p>
  </w:endnote>
  <w:endnote w:id="183">
    <w:p w14:paraId="2E37E34F" w14:textId="3851C788" w:rsidR="00923293" w:rsidRDefault="00923293" w:rsidP="00AF4CAA">
      <w:pPr>
        <w:pStyle w:val="refnormal"/>
      </w:pPr>
      <w:r>
        <w:rPr>
          <w:rStyle w:val="EndnoteReference"/>
        </w:rPr>
        <w:endnoteRef/>
      </w:r>
      <w:r>
        <w:t xml:space="preserve"> </w:t>
      </w:r>
      <w:r w:rsidRPr="00923293">
        <w:t>McNeil</w:t>
      </w:r>
      <w:r>
        <w:t>,</w:t>
      </w:r>
      <w:r w:rsidRPr="00923293">
        <w:t xml:space="preserve"> </w:t>
      </w:r>
      <w:r>
        <w:t>Webster.</w:t>
      </w:r>
      <w:r w:rsidRPr="00923293">
        <w:t xml:space="preserve"> </w:t>
      </w:r>
      <w:r w:rsidRPr="009C65FE">
        <w:rPr>
          <w:i/>
          <w:iCs/>
        </w:rPr>
        <w:t>Corruption on the Rails: Banking, Bribery, and the Bidding War for the West</w:t>
      </w:r>
      <w:r w:rsidRPr="00923293">
        <w:t xml:space="preserve"> (</w:t>
      </w:r>
      <w:r w:rsidR="004814FC">
        <w:t>Middle Western</w:t>
      </w:r>
      <w:r w:rsidRPr="00923293">
        <w:t xml:space="preserve"> Studies in Transport, 1936).</w:t>
      </w:r>
    </w:p>
  </w:endnote>
  <w:endnote w:id="184">
    <w:p w14:paraId="6B2C7390" w14:textId="521E2F56" w:rsidR="003F5EEA" w:rsidRDefault="003F5EEA">
      <w:pPr>
        <w:pStyle w:val="EndnoteText"/>
      </w:pPr>
      <w:r>
        <w:rPr>
          <w:rStyle w:val="EndnoteReference"/>
        </w:rPr>
        <w:endnoteRef/>
      </w:r>
      <w:r>
        <w:t xml:space="preserve"> Gauss code</w:t>
      </w:r>
      <w:r w:rsidR="00963C15">
        <w:t xml:space="preserve"> </w:t>
      </w:r>
      <w:r w:rsidR="0077179E">
        <w:t>could</w:t>
      </w:r>
      <w:r w:rsidR="0075007A">
        <w:t xml:space="preserve"> be</w:t>
      </w:r>
      <w:r w:rsidR="00963C15">
        <w:t xml:space="preserve"> </w:t>
      </w:r>
      <w:r w:rsidR="003420DE">
        <w:t>transmitted</w:t>
      </w:r>
      <w:r w:rsidR="00963C15">
        <w:t xml:space="preserve"> quicker than the </w:t>
      </w:r>
      <w:r w:rsidR="0077179E">
        <w:t>Chappe</w:t>
      </w:r>
      <w:r w:rsidR="00AC1452">
        <w:t xml:space="preserve"> system, and many talked about conversion over to it almost as soon as </w:t>
      </w:r>
      <w:r w:rsidR="0075007A">
        <w:t>the electric telegraph system</w:t>
      </w:r>
      <w:r w:rsidR="00AC1452">
        <w:t xml:space="preserve"> came; it</w:t>
      </w:r>
      <w:r>
        <w:t xml:space="preserve"> would only be adopted over the 1860s, at first slowly, and then quickly</w:t>
      </w:r>
      <w:r w:rsidR="00D518B8">
        <w:t xml:space="preserve">, after the creation of the </w:t>
      </w:r>
      <w:r w:rsidR="00F83952">
        <w:t>Trans-Russian telegraph</w:t>
      </w:r>
      <w:r w:rsidR="00572580">
        <w:t xml:space="preserve"> and especially with the need for communication with the </w:t>
      </w:r>
      <w:r w:rsidR="00E91394">
        <w:t xml:space="preserve">Liberty and Union War. </w:t>
      </w:r>
      <w:r w:rsidR="003C250B">
        <w:t xml:space="preserve">See </w:t>
      </w:r>
      <w:r w:rsidR="001A3EE9">
        <w:t xml:space="preserve">Sutter, Sidney, </w:t>
      </w:r>
      <w:r w:rsidR="00C95521" w:rsidRPr="003420DE">
        <w:rPr>
          <w:i/>
          <w:iCs/>
        </w:rPr>
        <w:t>The First</w:t>
      </w:r>
      <w:r w:rsidR="00802B1F" w:rsidRPr="003420DE">
        <w:rPr>
          <w:i/>
          <w:iCs/>
        </w:rPr>
        <w:t xml:space="preserve"> Telecommunications Revolution: The Rise of the Electric Telegraph</w:t>
      </w:r>
      <w:r w:rsidR="00802B1F">
        <w:t xml:space="preserve"> (</w:t>
      </w:r>
      <w:r w:rsidR="003420DE" w:rsidRPr="003420DE">
        <w:t>Cambridge University Press</w:t>
      </w:r>
      <w:r w:rsidR="00616E07">
        <w:t xml:space="preserve">, 2021). </w:t>
      </w:r>
    </w:p>
  </w:endnote>
  <w:endnote w:id="185">
    <w:p w14:paraId="36802C28" w14:textId="0E8FDFCE" w:rsidR="00197321" w:rsidRDefault="00197321" w:rsidP="00AF4CAA">
      <w:pPr>
        <w:pStyle w:val="refnormal"/>
      </w:pPr>
      <w:r>
        <w:rPr>
          <w:rStyle w:val="EndnoteReference"/>
        </w:rPr>
        <w:endnoteRef/>
      </w:r>
      <w:r>
        <w:t xml:space="preserve"> </w:t>
      </w:r>
      <w:r w:rsidRPr="00197321">
        <w:t>Stoddard</w:t>
      </w:r>
      <w:r>
        <w:t>,</w:t>
      </w:r>
      <w:r w:rsidRPr="00197321">
        <w:t xml:space="preserve"> Hortense, </w:t>
      </w:r>
      <w:r w:rsidRPr="00197321">
        <w:rPr>
          <w:i/>
          <w:iCs/>
        </w:rPr>
        <w:t>Genius in the Tower: The Science and Statesmanship of Joseph Henry</w:t>
      </w:r>
      <w:r w:rsidRPr="00197321">
        <w:t xml:space="preserve"> (</w:t>
      </w:r>
      <w:r>
        <w:t>Society for the Diffusion of Useful Knowledge</w:t>
      </w:r>
      <w:r w:rsidRPr="00197321">
        <w:t>, 1952).</w:t>
      </w:r>
    </w:p>
  </w:endnote>
  <w:endnote w:id="186">
    <w:p w14:paraId="7CAB57AC" w14:textId="0DE4BA78" w:rsidR="00DE6CD9" w:rsidRDefault="00DE6CD9" w:rsidP="00AF4CAA">
      <w:pPr>
        <w:pStyle w:val="refnormal"/>
      </w:pPr>
      <w:r>
        <w:rPr>
          <w:rStyle w:val="EndnoteReference"/>
        </w:rPr>
        <w:endnoteRef/>
      </w:r>
      <w:r>
        <w:t xml:space="preserve"> Burgh, </w:t>
      </w:r>
      <w:r w:rsidRPr="00DE6CD9">
        <w:t xml:space="preserve">Clara, </w:t>
      </w:r>
      <w:r w:rsidRPr="009C65FE">
        <w:rPr>
          <w:i/>
          <w:iCs/>
        </w:rPr>
        <w:t>The Wires of Empire: Telegraphy, Territory, and Technology in Antebellum America</w:t>
      </w:r>
      <w:r w:rsidRPr="00DE6CD9">
        <w:t xml:space="preserve"> (</w:t>
      </w:r>
      <w:r>
        <w:t>Burr University</w:t>
      </w:r>
      <w:r w:rsidRPr="00DE6CD9">
        <w:t>, 1911).</w:t>
      </w:r>
    </w:p>
  </w:endnote>
  <w:endnote w:id="187">
    <w:p w14:paraId="35F0806C" w14:textId="398A449D" w:rsidR="00D40422" w:rsidRDefault="00D40422">
      <w:pPr>
        <w:pStyle w:val="EndnoteText"/>
      </w:pPr>
      <w:r>
        <w:rPr>
          <w:rStyle w:val="EndnoteReference"/>
        </w:rPr>
        <w:endnoteRef/>
      </w:r>
      <w:r>
        <w:t xml:space="preserve"> </w:t>
      </w:r>
      <w:r w:rsidRPr="00D40422">
        <w:t xml:space="preserve">Douglas, Reed. </w:t>
      </w:r>
      <w:r w:rsidRPr="00DB721B">
        <w:rPr>
          <w:i/>
          <w:iCs/>
        </w:rPr>
        <w:t>From Frontier to Furnace: Industrial Development in the Western States, 1825–1868</w:t>
      </w:r>
      <w:r w:rsidRPr="00D40422">
        <w:t xml:space="preserve"> </w:t>
      </w:r>
      <w:r>
        <w:t>(</w:t>
      </w:r>
      <w:r w:rsidRPr="00D40422">
        <w:t>2001</w:t>
      </w:r>
      <w:r>
        <w:t xml:space="preserve">, </w:t>
      </w:r>
      <w:r w:rsidRPr="00D40422">
        <w:t xml:space="preserve">University of </w:t>
      </w:r>
      <w:proofErr w:type="spellStart"/>
      <w:r w:rsidRPr="00D40422">
        <w:t>Ballyburr</w:t>
      </w:r>
      <w:proofErr w:type="spellEnd"/>
      <w:r w:rsidRPr="00D40422">
        <w:t xml:space="preserve"> Press</w:t>
      </w:r>
      <w:r>
        <w:t xml:space="preserve">). </w:t>
      </w:r>
    </w:p>
  </w:endnote>
  <w:endnote w:id="188">
    <w:p w14:paraId="65B9BEB0" w14:textId="01FEBA2B" w:rsidR="00ED16EC" w:rsidRDefault="00ED16EC">
      <w:pPr>
        <w:pStyle w:val="EndnoteText"/>
      </w:pPr>
      <w:r>
        <w:rPr>
          <w:rStyle w:val="EndnoteReference"/>
        </w:rPr>
        <w:endnoteRef/>
      </w:r>
      <w:r>
        <w:t xml:space="preserve"> Note that </w:t>
      </w:r>
      <w:r w:rsidR="009E3DAF">
        <w:t xml:space="preserve">a few cities in the Upper South, </w:t>
      </w:r>
      <w:r>
        <w:t>St. Louis in particular</w:t>
      </w:r>
      <w:r w:rsidR="009E3DAF">
        <w:t>,</w:t>
      </w:r>
      <w:r>
        <w:t xml:space="preserve"> contained</w:t>
      </w:r>
      <w:r w:rsidR="009E3DAF">
        <w:t xml:space="preserve"> large white working classes</w:t>
      </w:r>
      <w:r w:rsidR="00C46BA3">
        <w:t xml:space="preserve"> which frequently coexisted with slavery which they regarded as an economic competitor. </w:t>
      </w:r>
      <w:r w:rsidR="009906AD">
        <w:t xml:space="preserve">See </w:t>
      </w:r>
      <w:proofErr w:type="spellStart"/>
      <w:r w:rsidR="009906AD">
        <w:t>Acrement</w:t>
      </w:r>
      <w:proofErr w:type="spellEnd"/>
      <w:r w:rsidR="009906AD">
        <w:t xml:space="preserve">, Anastace, </w:t>
      </w:r>
      <w:r w:rsidR="009906AD" w:rsidRPr="00A35B53">
        <w:rPr>
          <w:i/>
          <w:iCs/>
        </w:rPr>
        <w:t xml:space="preserve">The Origins of the </w:t>
      </w:r>
      <w:r w:rsidR="00BF35FD" w:rsidRPr="00A35B53">
        <w:rPr>
          <w:i/>
          <w:iCs/>
        </w:rPr>
        <w:t>St. Louis Mechanics’ Uprising</w:t>
      </w:r>
      <w:r w:rsidR="00C76179">
        <w:t xml:space="preserve"> (2012, University of St. Louis). </w:t>
      </w:r>
    </w:p>
  </w:endnote>
  <w:endnote w:id="189">
    <w:p w14:paraId="5CD913B3" w14:textId="243422B4" w:rsidR="00417EE5" w:rsidRDefault="00417EE5">
      <w:pPr>
        <w:pStyle w:val="EndnoteText"/>
      </w:pPr>
      <w:r>
        <w:rPr>
          <w:rStyle w:val="EndnoteReference"/>
        </w:rPr>
        <w:endnoteRef/>
      </w:r>
      <w:r>
        <w:t xml:space="preserve"> This was also a result of </w:t>
      </w:r>
      <w:r w:rsidR="005E6232">
        <w:t xml:space="preserve">Louisville being on the Ohio River, which meant slavery was necessarily unstable as slaves could make their way across the river. </w:t>
      </w:r>
      <w:r w:rsidR="00B266CB">
        <w:t xml:space="preserve">To be sure, </w:t>
      </w:r>
      <w:r w:rsidR="002F1083">
        <w:t xml:space="preserve">much of the territory </w:t>
      </w:r>
      <w:r w:rsidR="00CB0D37">
        <w:t>just north of</w:t>
      </w:r>
      <w:r w:rsidR="004B0532">
        <w:t xml:space="preserve"> the Ohio was part of the “Lower North”, where juries</w:t>
      </w:r>
      <w:r w:rsidR="0011153B">
        <w:t xml:space="preserve"> reliably ruled accused fugitive</w:t>
      </w:r>
      <w:r w:rsidR="00D4086B">
        <w:t>s</w:t>
      </w:r>
      <w:r w:rsidR="0011153B">
        <w:t xml:space="preserve"> </w:t>
      </w:r>
      <w:r w:rsidR="00D4086B">
        <w:t>as indeed being slaves</w:t>
      </w:r>
      <w:r w:rsidR="001D634C">
        <w:t xml:space="preserve"> – but if slaves travelled just beyond that, they could rely on juries to nullify the Fugitive Slave Act</w:t>
      </w:r>
      <w:r w:rsidR="00D67BCF">
        <w:t xml:space="preserve">. For this reason, slavery in Louisville was smaller-scale relative to </w:t>
      </w:r>
      <w:r w:rsidR="003F7B27">
        <w:t>the norm</w:t>
      </w:r>
      <w:r w:rsidR="00D67BCF">
        <w:t xml:space="preserve"> in the state, </w:t>
      </w:r>
      <w:r w:rsidR="003F7B27">
        <w:t>often relegated to domestic help; there was also something of a hostage system, as many slaves in Louisville were part of families further</w:t>
      </w:r>
      <w:r w:rsidR="005F7238">
        <w:t xml:space="preserve"> south, and the specter of retaliation against them was</w:t>
      </w:r>
      <w:r w:rsidR="005E0E61">
        <w:t xml:space="preserve"> a powerful incentive against escaping</w:t>
      </w:r>
      <w:r w:rsidR="00D4086B">
        <w:t xml:space="preserve">. See </w:t>
      </w:r>
      <w:r w:rsidR="00956F88">
        <w:t xml:space="preserve">Beavers, James, </w:t>
      </w:r>
      <w:r w:rsidR="00956F88" w:rsidRPr="00A05559">
        <w:rPr>
          <w:i/>
          <w:iCs/>
        </w:rPr>
        <w:t xml:space="preserve">The </w:t>
      </w:r>
      <w:r w:rsidR="00CE0578" w:rsidRPr="00A05559">
        <w:rPr>
          <w:i/>
          <w:iCs/>
        </w:rPr>
        <w:t>City of the Falls: A History of Louisville, 1778 to Present</w:t>
      </w:r>
      <w:r w:rsidR="00CE0578">
        <w:t xml:space="preserve"> (1999, University of Louisville). </w:t>
      </w:r>
    </w:p>
  </w:endnote>
  <w:endnote w:id="190">
    <w:p w14:paraId="62BBCE9A" w14:textId="4C4A72B2" w:rsidR="00B95C9B" w:rsidRDefault="00B95C9B" w:rsidP="00AF4CAA">
      <w:pPr>
        <w:pStyle w:val="refnormal"/>
      </w:pPr>
      <w:r>
        <w:rPr>
          <w:rStyle w:val="EndnoteReference"/>
        </w:rPr>
        <w:endnoteRef/>
      </w:r>
      <w:r>
        <w:t xml:space="preserve"> </w:t>
      </w:r>
      <w:r w:rsidRPr="00B95C9B">
        <w:t xml:space="preserve">Stanton, Clara. </w:t>
      </w:r>
      <w:r w:rsidRPr="00D60AD4">
        <w:rPr>
          <w:i/>
          <w:iCs/>
        </w:rPr>
        <w:t>The Websterian Moment: Nationalism and Order in Antebellum America</w:t>
      </w:r>
      <w:r w:rsidRPr="00B95C9B">
        <w:t xml:space="preserve">. </w:t>
      </w:r>
      <w:r>
        <w:t>(</w:t>
      </w:r>
      <w:r w:rsidRPr="00B95C9B">
        <w:t>Columbia University Press, 1988</w:t>
      </w:r>
      <w:r>
        <w:t>)</w:t>
      </w:r>
      <w:r w:rsidRPr="00B95C9B">
        <w:t>.</w:t>
      </w:r>
    </w:p>
  </w:endnote>
  <w:endnote w:id="191">
    <w:p w14:paraId="5125AA8E" w14:textId="7C766236" w:rsidR="008F1133" w:rsidRPr="008F1133" w:rsidRDefault="008F1133" w:rsidP="00AF4CAA">
      <w:pPr>
        <w:pStyle w:val="refnormal"/>
      </w:pPr>
      <w:r>
        <w:rPr>
          <w:rStyle w:val="EndnoteReference"/>
        </w:rPr>
        <w:endnoteRef/>
      </w:r>
      <w:r>
        <w:t xml:space="preserve"> </w:t>
      </w:r>
      <w:r w:rsidRPr="008F1133">
        <w:t xml:space="preserve">O’Callaghan, Judith. </w:t>
      </w:r>
      <w:r w:rsidR="00A47B59" w:rsidRPr="00D60AD4">
        <w:rPr>
          <w:i/>
          <w:iCs/>
        </w:rPr>
        <w:t>The West</w:t>
      </w:r>
      <w:r w:rsidRPr="00D60AD4">
        <w:rPr>
          <w:i/>
          <w:iCs/>
        </w:rPr>
        <w:t xml:space="preserve"> and the Canal Revolution: Trade, Transport, and Regional Hubs in the Webster Era</w:t>
      </w:r>
      <w:r w:rsidRPr="008F1133">
        <w:t xml:space="preserve">. </w:t>
      </w:r>
      <w:r>
        <w:t>(</w:t>
      </w:r>
      <w:r w:rsidRPr="008F1133">
        <w:t>Great Lakes Historical Society, 2015</w:t>
      </w:r>
      <w:r>
        <w:t>)</w:t>
      </w:r>
      <w:r w:rsidRPr="008F1133">
        <w:t>.</w:t>
      </w:r>
    </w:p>
  </w:endnote>
  <w:endnote w:id="192">
    <w:p w14:paraId="294F9D20" w14:textId="41DCB843" w:rsidR="00375B41" w:rsidRPr="00375B41" w:rsidRDefault="00375B41" w:rsidP="00AF4CAA">
      <w:pPr>
        <w:pStyle w:val="refnormal"/>
      </w:pPr>
      <w:r>
        <w:rPr>
          <w:rStyle w:val="EndnoteReference"/>
        </w:rPr>
        <w:endnoteRef/>
      </w:r>
      <w:r>
        <w:t xml:space="preserve"> </w:t>
      </w:r>
      <w:r w:rsidRPr="00375B41">
        <w:t>Douglas, Reed</w:t>
      </w:r>
      <w:r w:rsidR="00967A3B">
        <w:t>,</w:t>
      </w:r>
      <w:r w:rsidRPr="00375B41">
        <w:t xml:space="preserve"> </w:t>
      </w:r>
      <w:r w:rsidRPr="00D60AD4">
        <w:rPr>
          <w:i/>
          <w:iCs/>
        </w:rPr>
        <w:t>From Frontier to Furnace: Industrial Development in the Western States, 1825–1868</w:t>
      </w:r>
      <w:r w:rsidRPr="00375B41">
        <w:t xml:space="preserve">. </w:t>
      </w:r>
      <w:r w:rsidR="00DA3EDE">
        <w:t>(</w:t>
      </w:r>
      <w:r w:rsidRPr="00375B41">
        <w:t xml:space="preserve">University of </w:t>
      </w:r>
      <w:proofErr w:type="spellStart"/>
      <w:r w:rsidR="00DA3EDE">
        <w:t>Ballyburr</w:t>
      </w:r>
      <w:proofErr w:type="spellEnd"/>
      <w:r w:rsidRPr="00375B41">
        <w:t xml:space="preserve"> Press, 2001</w:t>
      </w:r>
      <w:r w:rsidR="00DA3EDE">
        <w:t>)</w:t>
      </w:r>
      <w:r w:rsidRPr="00375B41">
        <w:t>.</w:t>
      </w:r>
    </w:p>
  </w:endnote>
  <w:endnote w:id="193">
    <w:p w14:paraId="3EA0E48A" w14:textId="5A8DD685" w:rsidR="00EA58B7" w:rsidRDefault="00EA58B7">
      <w:pPr>
        <w:pStyle w:val="EndnoteText"/>
      </w:pPr>
      <w:r>
        <w:rPr>
          <w:rStyle w:val="EndnoteReference"/>
        </w:rPr>
        <w:endnoteRef/>
      </w:r>
      <w:r>
        <w:t xml:space="preserve"> Webster, </w:t>
      </w:r>
      <w:r w:rsidRPr="00D00B1A">
        <w:t>Daniel, "</w:t>
      </w:r>
      <w:r>
        <w:t xml:space="preserve">A Proclamation to the State of </w:t>
      </w:r>
      <w:r w:rsidR="00B343A2">
        <w:t>Missouri and Territory of Juniper</w:t>
      </w:r>
      <w:r w:rsidRPr="00D00B1A">
        <w:t>," A</w:t>
      </w:r>
      <w:r>
        <w:t>ugust</w:t>
      </w:r>
      <w:r w:rsidRPr="00D00B1A">
        <w:t xml:space="preserve"> 1849.</w:t>
      </w:r>
      <w:r>
        <w:t xml:space="preserve"> From </w:t>
      </w:r>
      <w:r w:rsidRPr="00A12D99">
        <w:rPr>
          <w:i/>
          <w:iCs/>
        </w:rPr>
        <w:t>Speeches of Daniel Webster</w:t>
      </w:r>
      <w:r>
        <w:rPr>
          <w:i/>
          <w:iCs/>
        </w:rPr>
        <w:t>:</w:t>
      </w:r>
      <w:r w:rsidRPr="00A12D99">
        <w:rPr>
          <w:i/>
          <w:iCs/>
        </w:rPr>
        <w:t xml:space="preserve"> Vol I</w:t>
      </w:r>
      <w:r>
        <w:rPr>
          <w:i/>
          <w:iCs/>
        </w:rPr>
        <w:t>II</w:t>
      </w:r>
      <w:r w:rsidRPr="00A12D99">
        <w:rPr>
          <w:i/>
          <w:iCs/>
        </w:rPr>
        <w:t>: 18</w:t>
      </w:r>
      <w:r>
        <w:rPr>
          <w:i/>
          <w:iCs/>
        </w:rPr>
        <w:t>45</w:t>
      </w:r>
      <w:r w:rsidRPr="00A12D99">
        <w:rPr>
          <w:i/>
          <w:iCs/>
        </w:rPr>
        <w:t>-185</w:t>
      </w:r>
      <w:r>
        <w:rPr>
          <w:i/>
          <w:iCs/>
        </w:rPr>
        <w:t>2</w:t>
      </w:r>
      <w:r>
        <w:t xml:space="preserve"> (1998, Library of Alexandria Publishing). </w:t>
      </w:r>
    </w:p>
  </w:endnote>
  <w:endnote w:id="194">
    <w:p w14:paraId="5B3EEF11" w14:textId="3FC94DDF" w:rsidR="005F752F" w:rsidRDefault="005F752F" w:rsidP="00AF4CAA">
      <w:pPr>
        <w:pStyle w:val="refnormal"/>
      </w:pPr>
      <w:r>
        <w:rPr>
          <w:rStyle w:val="EndnoteReference"/>
        </w:rPr>
        <w:endnoteRef/>
      </w:r>
      <w:r>
        <w:t xml:space="preserve"> </w:t>
      </w:r>
      <w:r w:rsidR="006B7279">
        <w:t>Juniper’s legalization of women’s suffrage was, beyond being lobbied by the women’s rights movement</w:t>
      </w:r>
      <w:r w:rsidR="00010553">
        <w:t xml:space="preserve">, also an effort to attract women into the territory, to alleviate the huge gender disparity created by the </w:t>
      </w:r>
      <w:r w:rsidR="00033AC2">
        <w:t>sudden land rush. See</w:t>
      </w:r>
      <w:r>
        <w:t xml:space="preserve"> </w:t>
      </w:r>
      <w:proofErr w:type="spellStart"/>
      <w:r w:rsidRPr="005F752F">
        <w:t>Forfanah</w:t>
      </w:r>
      <w:proofErr w:type="spellEnd"/>
      <w:r w:rsidRPr="005F752F">
        <w:t xml:space="preserve">, Delilah. </w:t>
      </w:r>
      <w:r w:rsidRPr="005F752F">
        <w:rPr>
          <w:i/>
          <w:iCs/>
        </w:rPr>
        <w:t>Gendered Liberty: Women’s Rights and the Political Economy of Reform</w:t>
      </w:r>
      <w:r w:rsidRPr="005F752F">
        <w:t>. (Mackintosh University Press, 1994).</w:t>
      </w:r>
    </w:p>
  </w:endnote>
  <w:endnote w:id="195">
    <w:p w14:paraId="31AD406F" w14:textId="04CE3F0D" w:rsidR="00E725FA" w:rsidRDefault="00E725FA" w:rsidP="00AF4CAA">
      <w:pPr>
        <w:pStyle w:val="refnormal"/>
      </w:pPr>
      <w:r>
        <w:rPr>
          <w:rStyle w:val="EndnoteReference"/>
        </w:rPr>
        <w:endnoteRef/>
      </w:r>
      <w:r>
        <w:t xml:space="preserve"> Carver, Milton. “Patronage or Plunder? The Post Office and the Selling of State in the Webster Years”. Journal of Early American Institutions, Vol. 42, No. 3 (2011). </w:t>
      </w:r>
    </w:p>
  </w:endnote>
  <w:endnote w:id="196">
    <w:p w14:paraId="75190BF2" w14:textId="3449B591" w:rsidR="0017704F" w:rsidRPr="0017704F" w:rsidRDefault="0017704F" w:rsidP="00AF4CAA">
      <w:pPr>
        <w:pStyle w:val="refnormal"/>
      </w:pPr>
      <w:r>
        <w:rPr>
          <w:rStyle w:val="EndnoteReference"/>
        </w:rPr>
        <w:endnoteRef/>
      </w:r>
      <w:r>
        <w:t xml:space="preserve"> </w:t>
      </w:r>
      <w:r w:rsidRPr="0017704F">
        <w:t>Eastlake</w:t>
      </w:r>
      <w:r>
        <w:t xml:space="preserve">, </w:t>
      </w:r>
      <w:r w:rsidRPr="0017704F">
        <w:t>Henry</w:t>
      </w:r>
      <w:r>
        <w:t>.</w:t>
      </w:r>
      <w:r w:rsidRPr="0017704F">
        <w:t xml:space="preserve"> </w:t>
      </w:r>
      <w:r w:rsidRPr="00ED4ED8">
        <w:rPr>
          <w:i/>
          <w:iCs/>
        </w:rPr>
        <w:t>Corruption and the Constitution: The Webster Presidency, 1845–1852</w:t>
      </w:r>
      <w:r w:rsidRPr="0017704F">
        <w:t xml:space="preserve"> (</w:t>
      </w:r>
      <w:r>
        <w:t>Gracchi Institute</w:t>
      </w:r>
      <w:r w:rsidRPr="0017704F">
        <w:t>, 1</w:t>
      </w:r>
      <w:r>
        <w:t>9</w:t>
      </w:r>
      <w:r w:rsidRPr="0017704F">
        <w:t>71).</w:t>
      </w:r>
    </w:p>
  </w:endnote>
  <w:endnote w:id="197">
    <w:p w14:paraId="6DC611CD" w14:textId="71C99269" w:rsidR="00F675C4" w:rsidRDefault="00F675C4" w:rsidP="00AF4CAA">
      <w:pPr>
        <w:pStyle w:val="refnormal"/>
      </w:pPr>
      <w:r>
        <w:rPr>
          <w:rStyle w:val="EndnoteReference"/>
        </w:rPr>
        <w:endnoteRef/>
      </w:r>
      <w:r>
        <w:t xml:space="preserve"> Bellamy, Simone. “From Black Dan to the Bank Scandal: Race, Reputation, and Political Collapse”. American Historical Quarterly, Vol. 89, No. 2 (2004). </w:t>
      </w:r>
    </w:p>
  </w:endnote>
  <w:endnote w:id="198">
    <w:p w14:paraId="28B959FA" w14:textId="0369A777" w:rsidR="005068D5" w:rsidRPr="005068D5" w:rsidRDefault="005068D5" w:rsidP="00AF4CAA">
      <w:pPr>
        <w:pStyle w:val="refnormal"/>
      </w:pPr>
      <w:r>
        <w:rPr>
          <w:rStyle w:val="EndnoteReference"/>
        </w:rPr>
        <w:endnoteRef/>
      </w:r>
      <w:r>
        <w:t xml:space="preserve"> </w:t>
      </w:r>
      <w:r w:rsidRPr="005068D5">
        <w:t xml:space="preserve">Hollis, Gerald. </w:t>
      </w:r>
      <w:r w:rsidRPr="00667672">
        <w:rPr>
          <w:i/>
          <w:iCs/>
        </w:rPr>
        <w:t xml:space="preserve">A Hemisphere Divided: American Sectionalism and the New </w:t>
      </w:r>
      <w:proofErr w:type="spellStart"/>
      <w:r w:rsidRPr="00667672">
        <w:rPr>
          <w:i/>
          <w:iCs/>
        </w:rPr>
        <w:t>Granadine</w:t>
      </w:r>
      <w:proofErr w:type="spellEnd"/>
      <w:r w:rsidRPr="00667672">
        <w:rPr>
          <w:i/>
          <w:iCs/>
        </w:rPr>
        <w:t xml:space="preserve"> War</w:t>
      </w:r>
      <w:r w:rsidRPr="005068D5">
        <w:t xml:space="preserve">. </w:t>
      </w:r>
      <w:r>
        <w:t>(Middle Western</w:t>
      </w:r>
      <w:r w:rsidRPr="005068D5">
        <w:t xml:space="preserve"> Historical Review, 1933</w:t>
      </w:r>
      <w:r>
        <w:t>)</w:t>
      </w:r>
      <w:r w:rsidRPr="005068D5">
        <w:t>.</w:t>
      </w:r>
    </w:p>
  </w:endnote>
  <w:endnote w:id="199">
    <w:p w14:paraId="66EA27B9" w14:textId="2B820969" w:rsidR="009E05AA" w:rsidRDefault="009E05AA" w:rsidP="00AF4CAA">
      <w:pPr>
        <w:pStyle w:val="refnormal"/>
      </w:pPr>
      <w:r>
        <w:rPr>
          <w:rStyle w:val="EndnoteReference"/>
        </w:rPr>
        <w:endnoteRef/>
      </w:r>
      <w:r>
        <w:t xml:space="preserve"> </w:t>
      </w:r>
      <w:r w:rsidRPr="009E05AA">
        <w:t xml:space="preserve">Sutherland, Christine. </w:t>
      </w:r>
      <w:r w:rsidRPr="009E05AA">
        <w:rPr>
          <w:i/>
          <w:iCs/>
        </w:rPr>
        <w:t>Henry Clay and the Empire of Liberty</w:t>
      </w:r>
      <w:r w:rsidRPr="009E05AA">
        <w:t xml:space="preserve">. </w:t>
      </w:r>
      <w:r>
        <w:t>(</w:t>
      </w:r>
      <w:r w:rsidRPr="009E05AA">
        <w:t>Smithsonian History Press</w:t>
      </w:r>
      <w:r>
        <w:t>, 2012)</w:t>
      </w:r>
      <w:r w:rsidRPr="009E05AA">
        <w:t>.</w:t>
      </w:r>
    </w:p>
  </w:endnote>
  <w:endnote w:id="200">
    <w:p w14:paraId="42B9EB4E" w14:textId="6B2B2B31" w:rsidR="00433DCC" w:rsidRPr="00433DCC" w:rsidRDefault="00433DCC" w:rsidP="00AF4CAA">
      <w:pPr>
        <w:pStyle w:val="refnormal"/>
      </w:pPr>
      <w:r>
        <w:rPr>
          <w:rStyle w:val="EndnoteReference"/>
        </w:rPr>
        <w:endnoteRef/>
      </w:r>
      <w:r>
        <w:t xml:space="preserve"> </w:t>
      </w:r>
      <w:r w:rsidRPr="00433DCC">
        <w:t xml:space="preserve">Ferguson, </w:t>
      </w:r>
      <w:r w:rsidR="00F75877">
        <w:t>D.W</w:t>
      </w:r>
      <w:r>
        <w:t>.</w:t>
      </w:r>
      <w:r w:rsidR="00F75877">
        <w:t>,</w:t>
      </w:r>
      <w:r w:rsidRPr="00433DCC">
        <w:t xml:space="preserve"> </w:t>
      </w:r>
      <w:r w:rsidRPr="00433DCC">
        <w:rPr>
          <w:i/>
          <w:iCs/>
        </w:rPr>
        <w:t>The Webster Doctrine: America, Mediation, and Empire</w:t>
      </w:r>
      <w:r w:rsidRPr="00433DCC">
        <w:t xml:space="preserve">. </w:t>
      </w:r>
      <w:r>
        <w:t>(Williamsburg University Press</w:t>
      </w:r>
      <w:r w:rsidRPr="00433DCC">
        <w:t>, 19</w:t>
      </w:r>
      <w:r w:rsidR="00F75877">
        <w:t>7</w:t>
      </w:r>
      <w:r w:rsidRPr="00433DCC">
        <w:t>4</w:t>
      </w:r>
      <w:r>
        <w:t>)</w:t>
      </w:r>
      <w:r w:rsidRPr="00433DCC">
        <w:t>.</w:t>
      </w:r>
    </w:p>
  </w:endnote>
  <w:endnote w:id="201">
    <w:p w14:paraId="29131753" w14:textId="6E475B0C" w:rsidR="00B41F9C" w:rsidRDefault="00B41F9C" w:rsidP="00AF4CAA">
      <w:pPr>
        <w:pStyle w:val="refnormal"/>
      </w:pPr>
      <w:r>
        <w:rPr>
          <w:rStyle w:val="EndnoteReference"/>
        </w:rPr>
        <w:endnoteRef/>
      </w:r>
      <w:r>
        <w:t xml:space="preserve"> </w:t>
      </w:r>
      <w:r w:rsidR="00784FA1">
        <w:t>While Daniel Webster, then and now, is</w:t>
      </w:r>
      <w:r w:rsidR="00EE5E2A">
        <w:t xml:space="preserve"> primarily an icon of British moderates</w:t>
      </w:r>
      <w:r w:rsidR="00946AEE">
        <w:t>, a direct result of his time as</w:t>
      </w:r>
      <w:r w:rsidR="009876D9">
        <w:t xml:space="preserve"> Consul-General, his successful arbitration of the Treaty of Washington led </w:t>
      </w:r>
      <w:r w:rsidR="00B77AA9">
        <w:t>to the</w:t>
      </w:r>
      <w:r w:rsidR="009876D9">
        <w:t xml:space="preserve"> </w:t>
      </w:r>
      <w:r w:rsidR="00B77AA9">
        <w:t xml:space="preserve">British peace movement praising him as a hero; </w:t>
      </w:r>
      <w:r w:rsidR="00451A3B">
        <w:t>the establishment of the International Tribunal was</w:t>
      </w:r>
      <w:r w:rsidR="00B77AA9">
        <w:t xml:space="preserve"> </w:t>
      </w:r>
      <w:r w:rsidR="00451A3B">
        <w:t xml:space="preserve">a direct attempt to bring this sort of arbitration to the table and make it a permanent part of the international system. See </w:t>
      </w:r>
      <w:r w:rsidR="00451A3B" w:rsidRPr="00451A3B">
        <w:t xml:space="preserve">Bourke, Maurice. </w:t>
      </w:r>
      <w:r w:rsidR="00451A3B" w:rsidRPr="00451A3B">
        <w:rPr>
          <w:i/>
          <w:iCs/>
        </w:rPr>
        <w:t>Towards the Abolition of War: The British Peace Movement, 1793-1940</w:t>
      </w:r>
      <w:r w:rsidR="00451A3B" w:rsidRPr="00451A3B">
        <w:t xml:space="preserve">. </w:t>
      </w:r>
      <w:r w:rsidR="00451A3B">
        <w:t>(</w:t>
      </w:r>
      <w:r w:rsidR="00451A3B" w:rsidRPr="00451A3B">
        <w:t>Dublin Historical Studies</w:t>
      </w:r>
      <w:r w:rsidR="00451A3B">
        <w:t>, 20</w:t>
      </w:r>
      <w:r w:rsidR="002B75C1">
        <w:t>02</w:t>
      </w:r>
      <w:r w:rsidR="00451A3B">
        <w:t>)</w:t>
      </w:r>
      <w:r w:rsidR="00451A3B" w:rsidRPr="00451A3B">
        <w:t>.</w:t>
      </w:r>
    </w:p>
  </w:endnote>
  <w:endnote w:id="202">
    <w:p w14:paraId="49A271BD" w14:textId="0CAAFB92" w:rsidR="00255DBE" w:rsidRPr="00255DBE" w:rsidRDefault="00255DBE" w:rsidP="00AF4CAA">
      <w:pPr>
        <w:pStyle w:val="refnormal"/>
      </w:pPr>
      <w:r>
        <w:rPr>
          <w:rStyle w:val="EndnoteReference"/>
        </w:rPr>
        <w:endnoteRef/>
      </w:r>
      <w:r>
        <w:t xml:space="preserve"> </w:t>
      </w:r>
      <w:r w:rsidR="000E2B56" w:rsidRPr="000E2B56">
        <w:t>Waters, Penelope</w:t>
      </w:r>
      <w:r w:rsidR="000E2B56">
        <w:t>.</w:t>
      </w:r>
      <w:r w:rsidRPr="00255DBE">
        <w:t xml:space="preserve"> </w:t>
      </w:r>
      <w:r w:rsidRPr="00E014C9">
        <w:rPr>
          <w:i/>
          <w:iCs/>
        </w:rPr>
        <w:t>In the Shadow of Calhoun: The Republican Party and the Burdens of Industrialization, 1835–1868</w:t>
      </w:r>
      <w:r w:rsidRPr="00255DBE">
        <w:t xml:space="preserve">. </w:t>
      </w:r>
      <w:r w:rsidR="000E2B56">
        <w:t>(New Ireland</w:t>
      </w:r>
      <w:r w:rsidRPr="00255DBE">
        <w:t xml:space="preserve"> </w:t>
      </w:r>
      <w:r w:rsidR="002A47CF">
        <w:t>Historical</w:t>
      </w:r>
      <w:r w:rsidRPr="00255DBE">
        <w:t xml:space="preserve"> Press, 2006</w:t>
      </w:r>
      <w:r w:rsidR="000E2B56">
        <w:t>)</w:t>
      </w:r>
      <w:r w:rsidRPr="00255DBE">
        <w:t>.</w:t>
      </w:r>
    </w:p>
  </w:endnote>
  <w:endnote w:id="203">
    <w:p w14:paraId="0A09BC29" w14:textId="5C99EE1D" w:rsidR="001A3408" w:rsidRDefault="001A3408">
      <w:pPr>
        <w:pStyle w:val="EndnoteText"/>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204">
    <w:p w14:paraId="0C24B77F" w14:textId="216A7534" w:rsidR="00672E52" w:rsidRDefault="00672E52" w:rsidP="00AF4CAA">
      <w:pPr>
        <w:pStyle w:val="refnormal"/>
      </w:pPr>
      <w:r>
        <w:rPr>
          <w:rStyle w:val="EndnoteReference"/>
        </w:rPr>
        <w:endnoteRef/>
      </w:r>
      <w:r>
        <w:t xml:space="preserve"> </w:t>
      </w:r>
      <w:r w:rsidR="00D162EF">
        <w:t xml:space="preserve">Russell, Henry. </w:t>
      </w:r>
      <w:r w:rsidR="00D162EF" w:rsidRPr="00C47AAA">
        <w:rPr>
          <w:i/>
          <w:iCs/>
        </w:rPr>
        <w:t>Steel and Sovereignty: The Railroad Age and the Fall of the Antebellum Republic</w:t>
      </w:r>
      <w:r w:rsidR="00D162EF">
        <w:t xml:space="preserve"> (University of New Jersey Press, 2011).</w:t>
      </w:r>
      <w:r>
        <w:t xml:space="preserve"> </w:t>
      </w:r>
    </w:p>
  </w:endnote>
  <w:endnote w:id="205">
    <w:p w14:paraId="19B79B48" w14:textId="0CA5BC74" w:rsidR="00D760A5" w:rsidRDefault="00D760A5" w:rsidP="00AF4CAA">
      <w:pPr>
        <w:pStyle w:val="refnormal"/>
      </w:pPr>
      <w:r>
        <w:rPr>
          <w:rStyle w:val="EndnoteReference"/>
        </w:rPr>
        <w:endnoteRef/>
      </w:r>
      <w:r>
        <w:t xml:space="preserve"> This nickname is sometimes </w:t>
      </w:r>
      <w:r w:rsidR="00E405A1">
        <w:t xml:space="preserve">attributed to Frederick Bauer’s </w:t>
      </w:r>
      <w:proofErr w:type="gramStart"/>
      <w:r w:rsidR="00BC0EE4" w:rsidRPr="0042356D">
        <w:rPr>
          <w:i/>
          <w:iCs/>
        </w:rPr>
        <w:t>On</w:t>
      </w:r>
      <w:proofErr w:type="gramEnd"/>
      <w:r w:rsidR="00BC0EE4" w:rsidRPr="0042356D">
        <w:rPr>
          <w:i/>
          <w:iCs/>
        </w:rPr>
        <w:t xml:space="preserve"> the Planter Ascendancy</w:t>
      </w:r>
      <w:r w:rsidR="00BC0EE4">
        <w:t xml:space="preserve"> (Cincinnati Gazette, 1859-1882), especially </w:t>
      </w:r>
      <w:r w:rsidR="00BC0EE4" w:rsidRPr="0042356D">
        <w:rPr>
          <w:i/>
          <w:iCs/>
        </w:rPr>
        <w:t>Volume I</w:t>
      </w:r>
      <w:r w:rsidR="00BC0EE4">
        <w:rPr>
          <w:i/>
          <w:iCs/>
        </w:rPr>
        <w:t>I</w:t>
      </w:r>
      <w:r w:rsidR="00BC0EE4" w:rsidRPr="0042356D">
        <w:rPr>
          <w:i/>
          <w:iCs/>
        </w:rPr>
        <w:t xml:space="preserve">: </w:t>
      </w:r>
      <w:r w:rsidR="00BC0EE4">
        <w:rPr>
          <w:i/>
          <w:iCs/>
        </w:rPr>
        <w:t>The Rise of the Robber Knights</w:t>
      </w:r>
      <w:r w:rsidR="00BC0EE4">
        <w:t xml:space="preserve"> (1864). Though it certainly played a role in popularizing the term, and though Bauer may have been </w:t>
      </w:r>
      <w:r w:rsidR="00EC688B">
        <w:t xml:space="preserve">influenced by his German roots in looking at the term, it was already </w:t>
      </w:r>
      <w:proofErr w:type="gramStart"/>
      <w:r w:rsidR="00EC688B">
        <w:t>fairly common</w:t>
      </w:r>
      <w:proofErr w:type="gramEnd"/>
      <w:r w:rsidR="00EC688B">
        <w:t xml:space="preserve"> by the time he published it. </w:t>
      </w:r>
    </w:p>
  </w:endnote>
  <w:endnote w:id="206">
    <w:p w14:paraId="0B40C9BD" w14:textId="27141375" w:rsidR="00D162EF" w:rsidRDefault="00D162EF" w:rsidP="00AF4CAA">
      <w:pPr>
        <w:pStyle w:val="refnormal"/>
      </w:pPr>
      <w:r>
        <w:rPr>
          <w:rStyle w:val="EndnoteReference"/>
        </w:rPr>
        <w:endnoteRef/>
      </w:r>
      <w:r>
        <w:t xml:space="preserve"> Stein, Karl. </w:t>
      </w:r>
      <w:r w:rsidRPr="00301E78">
        <w:rPr>
          <w:i/>
          <w:iCs/>
        </w:rPr>
        <w:t>The Farmers’ Leagues: Reform and Rail in the Antebellum Era</w:t>
      </w:r>
      <w:r>
        <w:t xml:space="preserve"> (Smithsonian History Press, 1968). </w:t>
      </w:r>
    </w:p>
  </w:endnote>
  <w:endnote w:id="207">
    <w:p w14:paraId="7AAFE90D" w14:textId="4EA6B9A5" w:rsidR="00D162EF" w:rsidRDefault="00D162EF" w:rsidP="00AF4CAA">
      <w:pPr>
        <w:pStyle w:val="refnormal"/>
      </w:pPr>
      <w:r>
        <w:rPr>
          <w:rStyle w:val="EndnoteReference"/>
        </w:rPr>
        <w:endnoteRef/>
      </w:r>
      <w:r>
        <w:t xml:space="preserve"> </w:t>
      </w:r>
      <w:r w:rsidR="003F1C6D">
        <w:t xml:space="preserve">Russell, Henry. </w:t>
      </w:r>
      <w:r w:rsidR="003F1C6D">
        <w:rPr>
          <w:i/>
          <w:iCs/>
        </w:rPr>
        <w:t xml:space="preserve">The Rise of the </w:t>
      </w:r>
      <w:r w:rsidR="00C475DF">
        <w:rPr>
          <w:i/>
          <w:iCs/>
        </w:rPr>
        <w:t>Corporate</w:t>
      </w:r>
      <w:r w:rsidR="003F1C6D">
        <w:rPr>
          <w:i/>
          <w:iCs/>
        </w:rPr>
        <w:t xml:space="preserve"> State, 1845-1910 </w:t>
      </w:r>
      <w:r w:rsidR="003F1C6D">
        <w:t>(Gracchi Institute, 2018).</w:t>
      </w:r>
    </w:p>
  </w:endnote>
  <w:endnote w:id="208">
    <w:p w14:paraId="15676CE7" w14:textId="6DBC5D5C" w:rsidR="00E0132D" w:rsidRDefault="00E0132D" w:rsidP="00AF4CAA">
      <w:pPr>
        <w:pStyle w:val="refnormal"/>
      </w:pPr>
      <w:r>
        <w:rPr>
          <w:rStyle w:val="EndnoteReference"/>
        </w:rPr>
        <w:endnoteRef/>
      </w:r>
      <w:r>
        <w:t xml:space="preserve"> Golding, </w:t>
      </w:r>
      <w:r w:rsidR="007C64BF">
        <w:t xml:space="preserve">Tim. </w:t>
      </w:r>
      <w:r w:rsidR="002E20AB" w:rsidRPr="00AF4CAA">
        <w:rPr>
          <w:i/>
          <w:iCs/>
        </w:rPr>
        <w:t xml:space="preserve">The </w:t>
      </w:r>
      <w:r w:rsidR="004464F9" w:rsidRPr="00AF4CAA">
        <w:rPr>
          <w:i/>
          <w:iCs/>
        </w:rPr>
        <w:t xml:space="preserve">Residue of </w:t>
      </w:r>
      <w:r w:rsidR="00023D86" w:rsidRPr="00AF4CAA">
        <w:rPr>
          <w:i/>
          <w:iCs/>
        </w:rPr>
        <w:t>the Plantocracy</w:t>
      </w:r>
      <w:r w:rsidR="002E20AB" w:rsidRPr="00AF4CAA">
        <w:rPr>
          <w:i/>
          <w:iCs/>
        </w:rPr>
        <w:t>: Jamaica</w:t>
      </w:r>
      <w:r w:rsidR="008C1AF8" w:rsidRPr="00AF4CAA">
        <w:rPr>
          <w:i/>
          <w:iCs/>
        </w:rPr>
        <w:t xml:space="preserve"> and the Long Tyranny</w:t>
      </w:r>
      <w:r w:rsidR="002E20AB" w:rsidRPr="00AF4CAA">
        <w:rPr>
          <w:i/>
          <w:iCs/>
        </w:rPr>
        <w:t>, 1827-1885</w:t>
      </w:r>
      <w:r w:rsidR="002E20AB">
        <w:t xml:space="preserve"> </w:t>
      </w:r>
      <w:r w:rsidR="00724569">
        <w:t xml:space="preserve">(2003, </w:t>
      </w:r>
      <w:r w:rsidR="00641012">
        <w:t xml:space="preserve">University of Jamaica). </w:t>
      </w:r>
    </w:p>
  </w:endnote>
  <w:endnote w:id="209">
    <w:p w14:paraId="507FC86D" w14:textId="56E94CB6" w:rsidR="00F76FFA" w:rsidRDefault="00F76FFA">
      <w:pPr>
        <w:pStyle w:val="EndnoteText"/>
      </w:pPr>
      <w:r>
        <w:rPr>
          <w:rStyle w:val="EndnoteReference"/>
        </w:rPr>
        <w:endnoteRef/>
      </w:r>
      <w:r>
        <w:t xml:space="preserve"> Fish, </w:t>
      </w:r>
      <w:r w:rsidR="00A80154">
        <w:t xml:space="preserve">Robert. </w:t>
      </w:r>
      <w:r w:rsidR="00557E65" w:rsidRPr="00BF39D9">
        <w:rPr>
          <w:i/>
          <w:iCs/>
        </w:rPr>
        <w:t xml:space="preserve">The Immense Slave Empire: </w:t>
      </w:r>
      <w:r w:rsidR="00895080" w:rsidRPr="00BF39D9">
        <w:rPr>
          <w:i/>
          <w:iCs/>
        </w:rPr>
        <w:t xml:space="preserve">The Planter Ascendancy </w:t>
      </w:r>
      <w:r w:rsidR="00600865" w:rsidRPr="00BF39D9">
        <w:rPr>
          <w:i/>
          <w:iCs/>
        </w:rPr>
        <w:t>and American Foreign Policy</w:t>
      </w:r>
      <w:r w:rsidR="00895080" w:rsidRPr="00BF39D9">
        <w:rPr>
          <w:i/>
          <w:iCs/>
        </w:rPr>
        <w:t>, 1800-1868</w:t>
      </w:r>
      <w:r w:rsidR="00895080">
        <w:t xml:space="preserve"> (2019, </w:t>
      </w:r>
      <w:r w:rsidR="00073723" w:rsidRPr="00073723">
        <w:t>University of New Jersey Press</w:t>
      </w:r>
      <w:r w:rsidR="00073723">
        <w:t xml:space="preserve">). </w:t>
      </w:r>
    </w:p>
  </w:endnote>
  <w:endnote w:id="210">
    <w:p w14:paraId="1603FA2B" w14:textId="680D5EFD" w:rsidR="00976274" w:rsidRDefault="00976274" w:rsidP="00AF4CAA">
      <w:pPr>
        <w:pStyle w:val="refnormal"/>
      </w:pPr>
      <w:r>
        <w:rPr>
          <w:rStyle w:val="EndnoteReference"/>
        </w:rPr>
        <w:endnoteRef/>
      </w:r>
      <w:r>
        <w:t xml:space="preserve"> Flaherty, Bernardo. </w:t>
      </w:r>
      <w:r w:rsidR="00A46F5D" w:rsidRPr="00AF4CAA">
        <w:rPr>
          <w:i/>
          <w:iCs/>
        </w:rPr>
        <w:t>For a Free Hemisphere: Relations between Platina and the United States, 1850-1900</w:t>
      </w:r>
      <w:r w:rsidR="00A46F5D">
        <w:t xml:space="preserve"> (2011, </w:t>
      </w:r>
      <w:r w:rsidR="00A46F5D" w:rsidRPr="00A46F5D">
        <w:t>Universidad Republicana de Buenos Aires</w:t>
      </w:r>
      <w:r w:rsidR="00A46F5D">
        <w:t xml:space="preserve">). </w:t>
      </w:r>
    </w:p>
  </w:endnote>
  <w:endnote w:id="211">
    <w:p w14:paraId="19234B43" w14:textId="0346A89E" w:rsidR="008724AD" w:rsidRDefault="008724AD" w:rsidP="00AF4CAA">
      <w:pPr>
        <w:pStyle w:val="refnormal"/>
      </w:pPr>
      <w:r>
        <w:rPr>
          <w:rStyle w:val="EndnoteReference"/>
        </w:rPr>
        <w:endnoteRef/>
      </w:r>
      <w:r>
        <w:t xml:space="preserve"> </w:t>
      </w:r>
      <w:r w:rsidR="007659B0">
        <w:t>Th</w:t>
      </w:r>
      <w:r w:rsidR="00D40FAC">
        <w:t>is is the Sectional Thesis of American history, that American society is driven by</w:t>
      </w:r>
      <w:r w:rsidR="00D40FAC" w:rsidRPr="00D40FAC">
        <w:t xml:space="preserve"> </w:t>
      </w:r>
      <w:r w:rsidR="00D40FAC">
        <w:t xml:space="preserve">early American settlement patterns and their impact on American culture. Its antecedents may be found as far as the beginning of American settlement </w:t>
      </w:r>
      <w:proofErr w:type="gramStart"/>
      <w:r w:rsidR="00D40FAC">
        <w:t>itself, but</w:t>
      </w:r>
      <w:proofErr w:type="gramEnd"/>
      <w:r w:rsidR="00D40FAC">
        <w:t xml:space="preserve"> coming into focus during the Liberty and Union War, it came to the surface in Frederick Webster Turner’s famous Richmond Exposition thesis. The</w:t>
      </w:r>
      <w:r w:rsidR="007659B0">
        <w:t xml:space="preserve"> most recent book </w:t>
      </w:r>
      <w:r w:rsidR="004736D2">
        <w:t>the subject</w:t>
      </w:r>
      <w:r w:rsidR="007659B0">
        <w:t xml:space="preserve"> </w:t>
      </w:r>
      <w:r w:rsidR="004E1298">
        <w:t>is</w:t>
      </w:r>
      <w:r w:rsidR="007659B0">
        <w:t xml:space="preserve"> </w:t>
      </w:r>
      <w:proofErr w:type="spellStart"/>
      <w:r>
        <w:t>Tackahashee</w:t>
      </w:r>
      <w:proofErr w:type="spellEnd"/>
      <w:r>
        <w:t xml:space="preserve">, </w:t>
      </w:r>
      <w:r w:rsidR="009E5BBA">
        <w:t>Alastair</w:t>
      </w:r>
      <w:r w:rsidR="007659B0">
        <w:t>,</w:t>
      </w:r>
      <w:r w:rsidR="009E5BBA">
        <w:t xml:space="preserve"> </w:t>
      </w:r>
      <w:r w:rsidR="009E5BBA" w:rsidRPr="00C74906">
        <w:rPr>
          <w:i/>
          <w:iCs/>
        </w:rPr>
        <w:t xml:space="preserve">American Nations: The </w:t>
      </w:r>
      <w:r w:rsidR="006E19E4" w:rsidRPr="00C74906">
        <w:rPr>
          <w:i/>
          <w:iCs/>
        </w:rPr>
        <w:t>Seven Nations</w:t>
      </w:r>
      <w:r w:rsidR="009E5BBA" w:rsidRPr="00C74906">
        <w:rPr>
          <w:i/>
          <w:iCs/>
        </w:rPr>
        <w:t xml:space="preserve"> of the </w:t>
      </w:r>
      <w:r w:rsidR="006E19E4" w:rsidRPr="00C74906">
        <w:rPr>
          <w:i/>
          <w:iCs/>
        </w:rPr>
        <w:t>United States</w:t>
      </w:r>
      <w:r w:rsidR="006E19E4">
        <w:t xml:space="preserve"> (</w:t>
      </w:r>
      <w:r w:rsidR="00231E0B">
        <w:t>Cahokia Historical Press</w:t>
      </w:r>
      <w:r w:rsidR="006E19E4">
        <w:t>, 2008)</w:t>
      </w:r>
      <w:r w:rsidR="004E1298">
        <w:t xml:space="preserve">, which models the United States as a federal union of seven separate ethnocultural nations – namely Yankeedom, of Greater New England; New Netherlands, of New York City; the Midlands, of Pennsylvania and stretching to the central Middle West; Tidewater, of the coastal Upper South; Greater Appalachia, of Appalachia and its environs; Deep South, of most of the lowest South; and </w:t>
      </w:r>
      <w:r w:rsidR="007E5792">
        <w:t xml:space="preserve">the </w:t>
      </w:r>
      <w:r w:rsidR="007716E6">
        <w:t>Interior</w:t>
      </w:r>
      <w:r w:rsidR="007E5792">
        <w:t xml:space="preserve">, of the </w:t>
      </w:r>
      <w:r w:rsidR="007716E6">
        <w:t>far west</w:t>
      </w:r>
      <w:r w:rsidR="007E5792">
        <w:t xml:space="preserve">. </w:t>
      </w:r>
    </w:p>
  </w:endnote>
  <w:endnote w:id="212">
    <w:p w14:paraId="3A1CC0C6" w14:textId="1D88160C" w:rsidR="003A1DB7" w:rsidRDefault="003A1DB7">
      <w:pPr>
        <w:pStyle w:val="EndnoteText"/>
      </w:pPr>
      <w:r>
        <w:rPr>
          <w:rStyle w:val="EndnoteReference"/>
        </w:rPr>
        <w:endnoteRef/>
      </w:r>
      <w:r>
        <w:t xml:space="preserve"> Schiller, Carl. </w:t>
      </w:r>
      <w:r w:rsidRPr="001C20D5">
        <w:rPr>
          <w:i/>
          <w:iCs/>
        </w:rPr>
        <w:t>The Pennsylvania Dutch and the American Religious Patchwork, From the Seventeenth Century to the Present</w:t>
      </w:r>
      <w:r>
        <w:t xml:space="preserve"> (</w:t>
      </w:r>
      <w:r w:rsidR="00BF5E6A">
        <w:t>University of Pennsylvania Press</w:t>
      </w:r>
      <w:r>
        <w:t xml:space="preserve">, 2003). </w:t>
      </w:r>
    </w:p>
  </w:endnote>
  <w:endnote w:id="213">
    <w:p w14:paraId="09FC9935" w14:textId="3EC27C55" w:rsidR="002367FD" w:rsidRDefault="002367FD">
      <w:pPr>
        <w:pStyle w:val="EndnoteText"/>
      </w:pPr>
      <w:r>
        <w:rPr>
          <w:rStyle w:val="EndnoteReference"/>
        </w:rPr>
        <w:endnoteRef/>
      </w:r>
      <w:r>
        <w:t xml:space="preserve"> </w:t>
      </w:r>
      <w:proofErr w:type="spellStart"/>
      <w:r>
        <w:t>Korchakov</w:t>
      </w:r>
      <w:proofErr w:type="spellEnd"/>
      <w:r>
        <w:t xml:space="preserve">, Alexey. </w:t>
      </w:r>
      <w:r w:rsidR="00D86C2C" w:rsidRPr="00D86C2C">
        <w:rPr>
          <w:i/>
          <w:iCs/>
        </w:rPr>
        <w:t xml:space="preserve">The Teuton Seed: German, Saxon, and </w:t>
      </w:r>
      <w:proofErr w:type="spellStart"/>
      <w:r w:rsidR="00D86C2C" w:rsidRPr="00D86C2C">
        <w:rPr>
          <w:i/>
          <w:iCs/>
        </w:rPr>
        <w:t>Hibernic</w:t>
      </w:r>
      <w:proofErr w:type="spellEnd"/>
      <w:r w:rsidR="00D86C2C" w:rsidRPr="00D86C2C">
        <w:rPr>
          <w:i/>
          <w:iCs/>
        </w:rPr>
        <w:t xml:space="preserve"> Lifeways in America, 1600 to the Present</w:t>
      </w:r>
      <w:r w:rsidR="00D86C2C">
        <w:t xml:space="preserve"> (</w:t>
      </w:r>
      <w:r w:rsidR="00D86C2C" w:rsidRPr="00D86C2C">
        <w:t>University</w:t>
      </w:r>
      <w:r w:rsidR="00D86C2C">
        <w:t xml:space="preserve"> of New Jersey</w:t>
      </w:r>
      <w:r w:rsidR="00D86C2C" w:rsidRPr="00D86C2C">
        <w:t xml:space="preserve"> Press</w:t>
      </w:r>
      <w:r w:rsidR="00D86C2C">
        <w:t xml:space="preserve">, 1992). </w:t>
      </w:r>
    </w:p>
  </w:endnote>
  <w:endnote w:id="214">
    <w:p w14:paraId="59A31E01" w14:textId="3213AC2F" w:rsidR="003E33F0" w:rsidRDefault="003E33F0">
      <w:pPr>
        <w:pStyle w:val="EndnoteText"/>
      </w:pPr>
      <w:r>
        <w:rPr>
          <w:rStyle w:val="EndnoteReference"/>
        </w:rPr>
        <w:endnoteRef/>
      </w:r>
      <w:r>
        <w:t xml:space="preserve"> Dubreuil, Antoine. “The Flower and the Stars: The French White Diaspora in the United States, 1789-1868”. </w:t>
      </w:r>
      <w:r w:rsidRPr="003E33F0">
        <w:t xml:space="preserve">Journal of Southern Cultural History, vol. </w:t>
      </w:r>
      <w:r>
        <w:t>5</w:t>
      </w:r>
      <w:r w:rsidRPr="003E33F0">
        <w:t>, no. 1.</w:t>
      </w:r>
      <w:r>
        <w:t xml:space="preserve"> (1909). </w:t>
      </w:r>
    </w:p>
  </w:endnote>
  <w:endnote w:id="215">
    <w:p w14:paraId="776D1602" w14:textId="008C6480" w:rsidR="009942AE" w:rsidRDefault="009942AE" w:rsidP="00AF4CAA">
      <w:pPr>
        <w:pStyle w:val="refnormal"/>
      </w:pPr>
      <w:r>
        <w:rPr>
          <w:rStyle w:val="EndnoteReference"/>
        </w:rPr>
        <w:endnoteRef/>
      </w:r>
      <w:r>
        <w:t xml:space="preserve"> Guiney, Patrick. </w:t>
      </w:r>
      <w:r w:rsidR="009A6789" w:rsidRPr="00C74906">
        <w:rPr>
          <w:i/>
          <w:iCs/>
        </w:rPr>
        <w:t xml:space="preserve">Citizen, Lord and Martyr: </w:t>
      </w:r>
      <w:r w:rsidR="00C41881" w:rsidRPr="00C74906">
        <w:rPr>
          <w:i/>
          <w:iCs/>
        </w:rPr>
        <w:t>The Life, Times, and Trials of Edward Fitzgerald</w:t>
      </w:r>
      <w:r w:rsidR="00ED4EB3" w:rsidRPr="00C74906">
        <w:rPr>
          <w:i/>
          <w:iCs/>
        </w:rPr>
        <w:t>, 1763-1800</w:t>
      </w:r>
      <w:r w:rsidR="00ED4EB3">
        <w:t xml:space="preserve"> (</w:t>
      </w:r>
      <w:r w:rsidR="00ED4EB3" w:rsidRPr="00ED4EB3">
        <w:t>Dublin Historical Studies</w:t>
      </w:r>
      <w:r w:rsidR="00ED4EB3">
        <w:t xml:space="preserve">, 1987). </w:t>
      </w:r>
    </w:p>
  </w:endnote>
  <w:endnote w:id="216">
    <w:p w14:paraId="322171B5" w14:textId="488FFE6F" w:rsidR="00FA64C3" w:rsidRDefault="00FA64C3">
      <w:pPr>
        <w:pStyle w:val="EndnoteText"/>
      </w:pPr>
      <w:r>
        <w:rPr>
          <w:rStyle w:val="EndnoteReference"/>
        </w:rPr>
        <w:endnoteRef/>
      </w:r>
      <w:r>
        <w:t xml:space="preserve"> </w:t>
      </w:r>
      <w:r w:rsidR="00F76692">
        <w:t xml:space="preserve">For a book on the antislavery dimensions of the United Irish diaspora, see </w:t>
      </w:r>
      <w:r w:rsidRPr="00280F9E">
        <w:t>Smith</w:t>
      </w:r>
      <w:r w:rsidRPr="00923308">
        <w:t xml:space="preserve">, Fitzgerald, </w:t>
      </w:r>
      <w:r w:rsidRPr="0025493C">
        <w:rPr>
          <w:i/>
          <w:iCs/>
        </w:rPr>
        <w:t xml:space="preserve">The Harp and </w:t>
      </w:r>
      <w:r w:rsidR="00EE46CD">
        <w:rPr>
          <w:i/>
          <w:iCs/>
        </w:rPr>
        <w:t>the Purple</w:t>
      </w:r>
      <w:r w:rsidRPr="0025493C">
        <w:rPr>
          <w:i/>
          <w:iCs/>
        </w:rPr>
        <w:t xml:space="preserve">: The </w:t>
      </w:r>
      <w:r w:rsidR="00EE46CD">
        <w:rPr>
          <w:i/>
          <w:iCs/>
        </w:rPr>
        <w:t>United</w:t>
      </w:r>
      <w:r w:rsidRPr="0025493C">
        <w:rPr>
          <w:i/>
          <w:iCs/>
        </w:rPr>
        <w:t xml:space="preserve"> Irish </w:t>
      </w:r>
      <w:r w:rsidR="00EE46CD">
        <w:rPr>
          <w:i/>
          <w:iCs/>
        </w:rPr>
        <w:t>Diaspora</w:t>
      </w:r>
      <w:r w:rsidRPr="0025493C">
        <w:rPr>
          <w:i/>
          <w:iCs/>
        </w:rPr>
        <w:t xml:space="preserve"> and </w:t>
      </w:r>
      <w:r w:rsidR="00EE46CD">
        <w:rPr>
          <w:i/>
          <w:iCs/>
        </w:rPr>
        <w:t>the Antislavery Movement</w:t>
      </w:r>
      <w:r w:rsidRPr="0025493C">
        <w:rPr>
          <w:i/>
          <w:iCs/>
        </w:rPr>
        <w:t>, 1799-18</w:t>
      </w:r>
      <w:r w:rsidR="00EE46CD">
        <w:rPr>
          <w:i/>
          <w:iCs/>
        </w:rPr>
        <w:t>68</w:t>
      </w:r>
      <w:r>
        <w:t xml:space="preserve"> (20</w:t>
      </w:r>
      <w:r w:rsidR="00CD6C49">
        <w:t>11</w:t>
      </w:r>
      <w:r>
        <w:t>, Dublin Historical Studies).</w:t>
      </w:r>
      <w:r w:rsidR="00F065A1">
        <w:t xml:space="preserve"> </w:t>
      </w:r>
    </w:p>
  </w:endnote>
  <w:endnote w:id="217">
    <w:p w14:paraId="6B8E30A5" w14:textId="0486F399" w:rsidR="009C5FFF" w:rsidRDefault="009C5FFF" w:rsidP="00AF4CAA">
      <w:pPr>
        <w:pStyle w:val="refnormal"/>
      </w:pPr>
      <w:r>
        <w:rPr>
          <w:rStyle w:val="EndnoteReference"/>
        </w:rPr>
        <w:endnoteRef/>
      </w:r>
      <w:r>
        <w:t xml:space="preserve"> Legal codification was not exclusively a British diaspora phenomenon –the subject</w:t>
      </w:r>
      <w:r w:rsidR="00EC05B3">
        <w:t xml:space="preserve"> came almost immediately</w:t>
      </w:r>
      <w:r w:rsidR="00D11636">
        <w:t xml:space="preserve"> after the revolution, and nothing came </w:t>
      </w:r>
      <w:r w:rsidR="007115AC">
        <w:t>of it. The United Irish diaspora</w:t>
      </w:r>
      <w:r w:rsidR="00827DC4">
        <w:t xml:space="preserve">, especially William Sampson, </w:t>
      </w:r>
      <w:r w:rsidR="00FC2C8F">
        <w:t>backed legal codification, and New York did end up codifying the Civil Code</w:t>
      </w:r>
      <w:r w:rsidR="00020622">
        <w:t xml:space="preserve"> in 1824. Additionally, following the Luisiana War, with Orleans following Franco-Spanish law, it adopted the </w:t>
      </w:r>
      <w:proofErr w:type="spellStart"/>
      <w:r w:rsidR="00020622" w:rsidRPr="00020622">
        <w:t>Cambacérès</w:t>
      </w:r>
      <w:proofErr w:type="spellEnd"/>
      <w:r w:rsidR="00020622">
        <w:t xml:space="preserve"> </w:t>
      </w:r>
      <w:r w:rsidR="006F6D08">
        <w:t>C</w:t>
      </w:r>
      <w:r w:rsidR="00020622">
        <w:t>ode</w:t>
      </w:r>
      <w:r w:rsidR="000A2D51">
        <w:t xml:space="preserve">. What the </w:t>
      </w:r>
      <w:r w:rsidR="00911D2D">
        <w:t xml:space="preserve">British diaspora did do was focus the codification movement. See </w:t>
      </w:r>
      <w:r w:rsidR="00B84028">
        <w:t xml:space="preserve">Doyle, </w:t>
      </w:r>
      <w:r w:rsidR="00895253">
        <w:t>Maureen</w:t>
      </w:r>
      <w:r w:rsidR="002974AA">
        <w:t xml:space="preserve">, </w:t>
      </w:r>
      <w:r w:rsidR="00423670" w:rsidRPr="00423670">
        <w:rPr>
          <w:i/>
          <w:iCs/>
        </w:rPr>
        <w:t>Codification and Empire: Law and Nation in the Anglo-Atlantic World</w:t>
      </w:r>
      <w:r w:rsidR="00423670">
        <w:t xml:space="preserve"> (Meridian Legal Studies, 2021). </w:t>
      </w:r>
    </w:p>
  </w:endnote>
  <w:endnote w:id="218">
    <w:p w14:paraId="35747547" w14:textId="1F1ADC3E" w:rsidR="003A6765" w:rsidRDefault="003A6765">
      <w:pPr>
        <w:pStyle w:val="EndnoteText"/>
      </w:pPr>
      <w:r>
        <w:rPr>
          <w:rStyle w:val="EndnoteReference"/>
        </w:rPr>
        <w:endnoteRef/>
      </w:r>
      <w:r>
        <w:t xml:space="preserve"> The term “English Ballot” for the secret ballot</w:t>
      </w:r>
      <w:r w:rsidR="00FC77E4">
        <w:t xml:space="preserve"> –</w:t>
      </w:r>
      <w:r>
        <w:t xml:space="preserve"> or rather </w:t>
      </w:r>
      <w:r w:rsidR="00FC77E4">
        <w:t>an electoral process in which</w:t>
      </w:r>
      <w:r>
        <w:t xml:space="preserve"> ballot</w:t>
      </w:r>
      <w:r w:rsidR="00FC77E4">
        <w:t>s,</w:t>
      </w:r>
      <w:r>
        <w:t xml:space="preserve"> </w:t>
      </w:r>
      <w:r w:rsidR="00FC77E4">
        <w:t>placed on</w:t>
      </w:r>
      <w:r>
        <w:t xml:space="preserve"> table</w:t>
      </w:r>
      <w:r w:rsidR="00FC77E4">
        <w:t>s in secrecy which voters would place in an envelope, to cast in a box – comes from its origins in the post-revolutionary British Isles</w:t>
      </w:r>
      <w:r w:rsidR="0021697F">
        <w:t>,</w:t>
      </w:r>
      <w:r w:rsidR="00FC77E4">
        <w:t xml:space="preserve"> where it </w:t>
      </w:r>
      <w:r w:rsidR="004826B3">
        <w:t xml:space="preserve">emerged as a way of stabilizing </w:t>
      </w:r>
      <w:r w:rsidR="0021697F">
        <w:t xml:space="preserve">democracy. From there, it was exported across the British colonial empire, and then it slowly rose in the United States. See Boskov, Henry, </w:t>
      </w:r>
      <w:r w:rsidR="0021697F" w:rsidRPr="002E7543">
        <w:rPr>
          <w:i/>
          <w:iCs/>
        </w:rPr>
        <w:t>Democracy and the Red Atlantic: Anglo-American Radicalism in the Great Plateau of the Age of Revolutions, 1830-1868</w:t>
      </w:r>
      <w:r w:rsidR="0021697F">
        <w:t xml:space="preserve"> (Quiner University, 2020). </w:t>
      </w:r>
    </w:p>
  </w:endnote>
  <w:endnote w:id="219">
    <w:p w14:paraId="4C9A6A80" w14:textId="0EDDC070" w:rsidR="00162A4B" w:rsidRDefault="00504943">
      <w:pPr>
        <w:pStyle w:val="EndnoteText"/>
      </w:pPr>
      <w:r>
        <w:rPr>
          <w:rStyle w:val="EndnoteReference"/>
        </w:rPr>
        <w:endnoteRef/>
      </w:r>
      <w:r>
        <w:t xml:space="preserve"> In general, the South </w:t>
      </w:r>
      <w:r w:rsidR="00B12D8A">
        <w:t xml:space="preserve">sympathized with </w:t>
      </w:r>
      <w:r w:rsidR="00BD1C5B">
        <w:t>the Guelphs</w:t>
      </w:r>
      <w:r w:rsidR="00903385">
        <w:t xml:space="preserve"> and viewed the American Constitution as nothing less than the British constitution under the Guelphs adjusted for </w:t>
      </w:r>
      <w:r w:rsidR="003032D3">
        <w:t>Western liberties. C</w:t>
      </w:r>
      <w:r w:rsidR="00B64D57">
        <w:t>ome the Popular Revolution</w:t>
      </w:r>
      <w:r w:rsidR="003032D3">
        <w:t>,</w:t>
      </w:r>
      <w:r w:rsidR="00B64D57">
        <w:t xml:space="preserve"> it </w:t>
      </w:r>
      <w:r w:rsidR="006D6D74">
        <w:t xml:space="preserve">regarded the new revolutionary order as </w:t>
      </w:r>
      <w:r w:rsidR="003032D3">
        <w:t xml:space="preserve">nothing less than </w:t>
      </w:r>
      <w:r w:rsidR="00162A4B">
        <w:t xml:space="preserve">a betrayal of America’s own values, and when it committed itself towards abolitionism, such feelings of aversion were only amplified. </w:t>
      </w:r>
      <w:r w:rsidR="00614C9D">
        <w:t xml:space="preserve">See Boskov, Henry, </w:t>
      </w:r>
      <w:r w:rsidR="00614C9D" w:rsidRPr="002E7543">
        <w:rPr>
          <w:i/>
          <w:iCs/>
        </w:rPr>
        <w:t>Democracy and the Red Atlantic</w:t>
      </w:r>
      <w:r w:rsidR="00614C9D">
        <w:rPr>
          <w:i/>
          <w:iCs/>
        </w:rPr>
        <w:t xml:space="preserve"> </w:t>
      </w:r>
      <w:r w:rsidR="00614C9D">
        <w:t>(2020).</w:t>
      </w:r>
    </w:p>
  </w:endnote>
  <w:endnote w:id="220">
    <w:p w14:paraId="717B9DD6" w14:textId="13CF8922" w:rsidR="004A4DDB" w:rsidRDefault="004A4DDB">
      <w:pPr>
        <w:pStyle w:val="EndnoteText"/>
      </w:pPr>
      <w:r>
        <w:rPr>
          <w:rStyle w:val="EndnoteReference"/>
        </w:rPr>
        <w:endnoteRef/>
      </w:r>
      <w:r>
        <w:t xml:space="preserve"> For a full study of the</w:t>
      </w:r>
      <w:r w:rsidR="00231A01">
        <w:t xml:space="preserve"> nineteenth century German diaspora, see </w:t>
      </w:r>
      <w:r w:rsidR="00DB0434">
        <w:t xml:space="preserve">Wimmer, </w:t>
      </w:r>
      <w:r w:rsidR="003749F2">
        <w:t xml:space="preserve">Benoit, </w:t>
      </w:r>
      <w:r w:rsidR="00E37564" w:rsidRPr="00E37564">
        <w:rPr>
          <w:i/>
          <w:iCs/>
        </w:rPr>
        <w:t xml:space="preserve">The Flight of the </w:t>
      </w:r>
      <w:proofErr w:type="spellStart"/>
      <w:r w:rsidR="00E37564" w:rsidRPr="00E37564">
        <w:rPr>
          <w:i/>
          <w:iCs/>
        </w:rPr>
        <w:t>Reichsadler</w:t>
      </w:r>
      <w:proofErr w:type="spellEnd"/>
      <w:r w:rsidR="00E37564" w:rsidRPr="00E37564">
        <w:rPr>
          <w:i/>
          <w:iCs/>
        </w:rPr>
        <w:t>: The German Diaspora, 1793-1880</w:t>
      </w:r>
      <w:r w:rsidR="00E37564">
        <w:t xml:space="preserve"> (</w:t>
      </w:r>
      <w:r w:rsidR="00E37564" w:rsidRPr="00E37564">
        <w:t>Éditions de la République</w:t>
      </w:r>
      <w:r w:rsidR="00E37564">
        <w:t xml:space="preserve">, 2008). </w:t>
      </w:r>
    </w:p>
  </w:endnote>
  <w:endnote w:id="221">
    <w:p w14:paraId="166AD521" w14:textId="5F1984B7" w:rsidR="005A19F6" w:rsidRDefault="005A19F6">
      <w:pPr>
        <w:pStyle w:val="EndnoteText"/>
      </w:pPr>
      <w:r>
        <w:rPr>
          <w:rStyle w:val="EndnoteReference"/>
        </w:rPr>
        <w:endnoteRef/>
      </w:r>
      <w:r>
        <w:t xml:space="preserve"> Most places in which Catholics were a distinct minority </w:t>
      </w:r>
      <w:r w:rsidR="007A5684">
        <w:t>saw their Catholic population rally behind the Papacy despite some scoffing and revulsion at papal infallibility, the United States among them; however, there were some Independent Catholic schisms that emerged, especially Maryland which had a well-established elite Catholic minority which scoffed at the rise of papal infallibility</w:t>
      </w:r>
      <w:r w:rsidR="00834957">
        <w:t xml:space="preserve">. </w:t>
      </w:r>
      <w:r w:rsidR="00E95E9A">
        <w:t xml:space="preserve">See Attwood, Caleb, </w:t>
      </w:r>
      <w:r w:rsidR="0043224D">
        <w:rPr>
          <w:i/>
          <w:iCs/>
        </w:rPr>
        <w:t>Altar</w:t>
      </w:r>
      <w:r w:rsidR="00E95E9A" w:rsidRPr="0043224D">
        <w:rPr>
          <w:i/>
          <w:iCs/>
        </w:rPr>
        <w:t xml:space="preserve"> or Democracy? Roman Catholicism in the United States, 1789 to Present</w:t>
      </w:r>
      <w:r w:rsidR="00E95E9A">
        <w:t xml:space="preserve"> (</w:t>
      </w:r>
      <w:r w:rsidR="00E95E9A" w:rsidRPr="00E95E9A">
        <w:t>Dartmouth College Press</w:t>
      </w:r>
      <w:r w:rsidR="00E95E9A">
        <w:t xml:space="preserve">, 1973). </w:t>
      </w:r>
    </w:p>
  </w:endnote>
  <w:endnote w:id="222">
    <w:p w14:paraId="12A0449C" w14:textId="76CD4758" w:rsidR="00200116" w:rsidRDefault="00200116" w:rsidP="00AF4CAA">
      <w:pPr>
        <w:pStyle w:val="refnormal"/>
      </w:pPr>
      <w:r>
        <w:rPr>
          <w:rStyle w:val="EndnoteReference"/>
        </w:rPr>
        <w:endnoteRef/>
      </w:r>
      <w:r>
        <w:t xml:space="preserve"> Vitelli, Jean-Baptiste. </w:t>
      </w:r>
      <w:r w:rsidRPr="00C74906">
        <w:rPr>
          <w:i/>
          <w:iCs/>
        </w:rPr>
        <w:t>Mazzini or Columbus: The Italian Diaspora in America</w:t>
      </w:r>
      <w:r>
        <w:t xml:space="preserve"> (University of Marseilles, 2013)</w:t>
      </w:r>
      <w:r w:rsidR="004F385C">
        <w:t xml:space="preserve">. </w:t>
      </w:r>
    </w:p>
  </w:endnote>
  <w:endnote w:id="223">
    <w:p w14:paraId="7AFD5622" w14:textId="63DE4A30" w:rsidR="00AD598F" w:rsidRDefault="009674BD" w:rsidP="00AF4CAA">
      <w:pPr>
        <w:pStyle w:val="refnormal"/>
      </w:pPr>
      <w:r>
        <w:rPr>
          <w:rStyle w:val="EndnoteReference"/>
        </w:rPr>
        <w:endnoteRef/>
      </w:r>
      <w:r>
        <w:t xml:space="preserve"> Antonov, </w:t>
      </w:r>
      <w:r w:rsidR="00423FC7">
        <w:t xml:space="preserve">Dennis. </w:t>
      </w:r>
      <w:r w:rsidR="00423FC7" w:rsidRPr="00C74906">
        <w:rPr>
          <w:i/>
          <w:iCs/>
        </w:rPr>
        <w:t>The Warping of Slavonia: Orthodox Christianity in the United States, 1840 to Present</w:t>
      </w:r>
      <w:r w:rsidR="00423FC7">
        <w:t xml:space="preserve"> (</w:t>
      </w:r>
      <w:r w:rsidR="00484349">
        <w:t xml:space="preserve">University of </w:t>
      </w:r>
      <w:proofErr w:type="spellStart"/>
      <w:r w:rsidR="00484349">
        <w:t>Shackamia</w:t>
      </w:r>
      <w:proofErr w:type="spellEnd"/>
      <w:r w:rsidR="00484349">
        <w:t xml:space="preserve"> Press, 1999</w:t>
      </w:r>
      <w:r w:rsidR="00423FC7">
        <w:t>)</w:t>
      </w:r>
      <w:r w:rsidR="006849EE">
        <w:t xml:space="preserve">. </w:t>
      </w:r>
    </w:p>
  </w:endnote>
  <w:endnote w:id="224">
    <w:p w14:paraId="2364F15F" w14:textId="1CD37D69" w:rsidR="00EB6C1D" w:rsidRDefault="00EB6C1D">
      <w:pPr>
        <w:pStyle w:val="EndnoteText"/>
      </w:pPr>
      <w:r>
        <w:rPr>
          <w:rStyle w:val="EndnoteReference"/>
        </w:rPr>
        <w:endnoteRef/>
      </w:r>
      <w:r>
        <w:t xml:space="preserve"> </w:t>
      </w:r>
      <w:r w:rsidRPr="00EB6C1D">
        <w:t xml:space="preserve">Boskov, Henry. </w:t>
      </w:r>
      <w:r w:rsidRPr="00EB6C1D">
        <w:rPr>
          <w:i/>
          <w:iCs/>
        </w:rPr>
        <w:t>Abolition, Democracy, and Radicalism: The International Movement against Slavery, 1830-1868</w:t>
      </w:r>
      <w:r w:rsidRPr="00EB6C1D">
        <w:t xml:space="preserve">. </w:t>
      </w:r>
      <w:r>
        <w:t>(</w:t>
      </w:r>
      <w:r w:rsidRPr="00EB6C1D">
        <w:t>Quiner University</w:t>
      </w:r>
      <w:r>
        <w:t xml:space="preserve">, </w:t>
      </w:r>
      <w:r w:rsidRPr="00EB6C1D">
        <w:t>2011</w:t>
      </w:r>
      <w:r>
        <w:t>)</w:t>
      </w:r>
      <w:r w:rsidRPr="00EB6C1D">
        <w:t>.</w:t>
      </w:r>
    </w:p>
  </w:endnote>
  <w:endnote w:id="225">
    <w:p w14:paraId="36CE1E08" w14:textId="17D817A5" w:rsidR="00D0066D" w:rsidRDefault="00D0066D">
      <w:pPr>
        <w:pStyle w:val="EndnoteText"/>
      </w:pPr>
      <w:r>
        <w:rPr>
          <w:rStyle w:val="EndnoteReference"/>
        </w:rPr>
        <w:endnoteRef/>
      </w:r>
      <w:r>
        <w:t xml:space="preserve"> </w:t>
      </w:r>
      <w:r w:rsidRPr="004D6454">
        <w:t>Langford, Edwin</w:t>
      </w:r>
      <w:r>
        <w:t>,</w:t>
      </w:r>
      <w:r w:rsidRPr="004D6454">
        <w:t xml:space="preserve"> “</w:t>
      </w:r>
      <w:r>
        <w:t xml:space="preserve">Puritan Moralism, </w:t>
      </w:r>
      <w:proofErr w:type="spellStart"/>
      <w:r>
        <w:t>Websterism</w:t>
      </w:r>
      <w:proofErr w:type="spellEnd"/>
      <w:r>
        <w:t>, and the Abolitionist Movement</w:t>
      </w:r>
      <w:r w:rsidRPr="004D6454">
        <w:t xml:space="preserve">”. Journal of American Political Development </w:t>
      </w:r>
      <w:r>
        <w:t>20</w:t>
      </w:r>
      <w:r w:rsidRPr="004D6454">
        <w:t>, no. 2 (200</w:t>
      </w:r>
      <w:r>
        <w:t>7</w:t>
      </w:r>
      <w:r w:rsidRPr="004D6454">
        <w:t xml:space="preserve">): </w:t>
      </w:r>
      <w:r>
        <w:t>342</w:t>
      </w:r>
      <w:r w:rsidRPr="004D6454">
        <w:t>–</w:t>
      </w:r>
      <w:r>
        <w:t>36</w:t>
      </w:r>
      <w:r w:rsidRPr="004D6454">
        <w:t>4.</w:t>
      </w:r>
    </w:p>
  </w:endnote>
  <w:endnote w:id="226">
    <w:p w14:paraId="2F5F22D9" w14:textId="725660C1" w:rsidR="00CC207E" w:rsidRDefault="00CC207E" w:rsidP="00AF4CAA">
      <w:pPr>
        <w:pStyle w:val="refnormal"/>
      </w:pPr>
      <w:r>
        <w:rPr>
          <w:rStyle w:val="EndnoteReference"/>
        </w:rPr>
        <w:endnoteRef/>
      </w:r>
      <w:r>
        <w:t xml:space="preserve"> </w:t>
      </w:r>
      <w:r w:rsidR="005C0854">
        <w:t xml:space="preserve">See the four-volume work by </w:t>
      </w:r>
      <w:r>
        <w:t xml:space="preserve">Blanchet, </w:t>
      </w:r>
      <w:r w:rsidRPr="00CC207E">
        <w:t>Émile</w:t>
      </w:r>
      <w:r>
        <w:t xml:space="preserve">. </w:t>
      </w:r>
      <w:r w:rsidRPr="00F0568A">
        <w:rPr>
          <w:i/>
          <w:iCs/>
        </w:rPr>
        <w:t>The Unification of Italy, 1796-1854</w:t>
      </w:r>
      <w:r>
        <w:t xml:space="preserve"> (</w:t>
      </w:r>
      <w:r w:rsidRPr="00CC207E">
        <w:t>Éditions de la République</w:t>
      </w:r>
      <w:r>
        <w:t>,</w:t>
      </w:r>
      <w:r w:rsidRPr="00CC207E">
        <w:t xml:space="preserve"> </w:t>
      </w:r>
      <w:r>
        <w:t>2011</w:t>
      </w:r>
      <w:r w:rsidR="00F0568A">
        <w:t>-2024</w:t>
      </w:r>
      <w:r>
        <w:t>)</w:t>
      </w:r>
      <w:r w:rsidR="00F0568A">
        <w:t xml:space="preserve">, specifically </w:t>
      </w:r>
      <w:r w:rsidR="00F0568A" w:rsidRPr="008E35D7">
        <w:rPr>
          <w:i/>
          <w:iCs/>
        </w:rPr>
        <w:t xml:space="preserve">Volume IV: </w:t>
      </w:r>
      <w:r w:rsidR="00CC7A46" w:rsidRPr="008E35D7">
        <w:rPr>
          <w:i/>
          <w:iCs/>
        </w:rPr>
        <w:t>The March on Milan and the Fall of Rome, 1845-1854</w:t>
      </w:r>
      <w:r w:rsidR="00CC7A46">
        <w:t xml:space="preserve"> (2024). </w:t>
      </w:r>
    </w:p>
  </w:endnote>
  <w:endnote w:id="227">
    <w:p w14:paraId="2EB54BA9" w14:textId="6B1AD224" w:rsidR="00D0492C" w:rsidRDefault="00D0492C">
      <w:pPr>
        <w:pStyle w:val="EndnoteText"/>
      </w:pPr>
      <w:r>
        <w:rPr>
          <w:rStyle w:val="EndnoteReference"/>
        </w:rPr>
        <w:endnoteRef/>
      </w:r>
      <w:r>
        <w:t xml:space="preserve"> The international dimensions of the American abolitionist movement, linking it with figures such as Mazzini, O’Connell, and </w:t>
      </w:r>
      <w:proofErr w:type="spellStart"/>
      <w:r>
        <w:t>Schoelcher</w:t>
      </w:r>
      <w:proofErr w:type="spellEnd"/>
      <w:r>
        <w:t xml:space="preserve">, are best covered in Boskov, Henry, </w:t>
      </w:r>
      <w:r w:rsidR="00BA509A" w:rsidRPr="007D536A">
        <w:rPr>
          <w:i/>
          <w:iCs/>
        </w:rPr>
        <w:t>Abolition, Democracy, and Radicalism: The International Movement</w:t>
      </w:r>
      <w:r w:rsidR="008C2105">
        <w:rPr>
          <w:i/>
          <w:iCs/>
        </w:rPr>
        <w:t xml:space="preserve"> against Slavery</w:t>
      </w:r>
      <w:r w:rsidR="00BA509A" w:rsidRPr="007D536A">
        <w:rPr>
          <w:i/>
          <w:iCs/>
        </w:rPr>
        <w:t>, 1830-1868</w:t>
      </w:r>
      <w:r w:rsidR="00BA509A">
        <w:t xml:space="preserve"> (Quiner University, 2011). </w:t>
      </w:r>
    </w:p>
  </w:endnote>
  <w:endnote w:id="228">
    <w:p w14:paraId="4F01747E" w14:textId="07C3E063" w:rsidR="00B1383B" w:rsidRDefault="00B1383B">
      <w:pPr>
        <w:pStyle w:val="EndnoteText"/>
      </w:pPr>
      <w:r>
        <w:rPr>
          <w:rStyle w:val="EndnoteReference"/>
        </w:rPr>
        <w:endnoteRef/>
      </w:r>
      <w:r>
        <w:t xml:space="preserve"> Boskov, </w:t>
      </w:r>
      <w:r w:rsidR="00B20F49">
        <w:t xml:space="preserve">Henry. </w:t>
      </w:r>
      <w:r w:rsidR="00581178" w:rsidRPr="002A6137">
        <w:rPr>
          <w:i/>
          <w:iCs/>
        </w:rPr>
        <w:t xml:space="preserve">Young America, Young Italy, and </w:t>
      </w:r>
      <w:r w:rsidR="005B1747" w:rsidRPr="002A6137">
        <w:rPr>
          <w:i/>
          <w:iCs/>
        </w:rPr>
        <w:t>Transatlantic Revolution</w:t>
      </w:r>
      <w:r w:rsidR="00F44651">
        <w:t xml:space="preserve"> (</w:t>
      </w:r>
      <w:r w:rsidR="0045612A">
        <w:t xml:space="preserve">Quiner University, </w:t>
      </w:r>
      <w:r w:rsidR="00F44651">
        <w:t xml:space="preserve">2004). </w:t>
      </w:r>
    </w:p>
  </w:endnote>
  <w:endnote w:id="229">
    <w:p w14:paraId="72BED12B" w14:textId="3A99385B" w:rsidR="001517E3" w:rsidRDefault="001517E3">
      <w:pPr>
        <w:pStyle w:val="EndnoteText"/>
      </w:pPr>
      <w:r>
        <w:rPr>
          <w:rStyle w:val="EndnoteReference"/>
        </w:rPr>
        <w:endnoteRef/>
      </w:r>
      <w:r>
        <w:t xml:space="preserve"> A good study of the process of decoloniality in the American context is</w:t>
      </w:r>
      <w:r w:rsidR="00AB28DD">
        <w:t xml:space="preserve"> Davis, Juliette, </w:t>
      </w:r>
      <w:r w:rsidR="00F808D9" w:rsidRPr="00F24BE5">
        <w:rPr>
          <w:i/>
          <w:iCs/>
        </w:rPr>
        <w:t>Decoloniality of the American Mind, 1789-1868</w:t>
      </w:r>
      <w:r w:rsidR="00F808D9">
        <w:t xml:space="preserve"> (2016, University of </w:t>
      </w:r>
      <w:proofErr w:type="spellStart"/>
      <w:r w:rsidR="00F808D9">
        <w:t>Ballyburr</w:t>
      </w:r>
      <w:proofErr w:type="spellEnd"/>
      <w:r w:rsidR="00F808D9">
        <w:t xml:space="preserve"> Press). </w:t>
      </w:r>
    </w:p>
  </w:endnote>
  <w:endnote w:id="230">
    <w:p w14:paraId="1C416A89" w14:textId="6E766A9C" w:rsidR="0096332E" w:rsidRDefault="0096332E">
      <w:pPr>
        <w:pStyle w:val="EndnoteText"/>
      </w:pPr>
      <w:r>
        <w:rPr>
          <w:rStyle w:val="EndnoteReference"/>
        </w:rPr>
        <w:endnoteRef/>
      </w:r>
      <w:r>
        <w:t xml:space="preserve"> Much of this narrative comes from Lafitte, Jonathan, </w:t>
      </w:r>
      <w:r w:rsidRPr="0014141E">
        <w:rPr>
          <w:i/>
          <w:iCs/>
        </w:rPr>
        <w:t>To Transcend the Self: The Life of Ralph Waldo Emerson</w:t>
      </w:r>
      <w:r>
        <w:t xml:space="preserve"> (2003, </w:t>
      </w:r>
      <w:r w:rsidR="00221063">
        <w:t>University of St. Paul).</w:t>
      </w:r>
    </w:p>
  </w:endnote>
  <w:endnote w:id="231">
    <w:p w14:paraId="7C72A968" w14:textId="07C2559E" w:rsidR="004E2072" w:rsidRDefault="004E2072">
      <w:pPr>
        <w:pStyle w:val="EndnoteText"/>
      </w:pPr>
      <w:r>
        <w:rPr>
          <w:rStyle w:val="EndnoteReference"/>
        </w:rPr>
        <w:endnoteRef/>
      </w:r>
      <w:r>
        <w:t xml:space="preserve"> Lafitte, Jonathan. </w:t>
      </w:r>
      <w:r w:rsidR="00506133" w:rsidRPr="00221063">
        <w:rPr>
          <w:i/>
          <w:iCs/>
        </w:rPr>
        <w:t>To</w:t>
      </w:r>
      <w:r w:rsidR="00221063" w:rsidRPr="00221063">
        <w:rPr>
          <w:i/>
          <w:iCs/>
        </w:rPr>
        <w:t>wards Literary Independence:</w:t>
      </w:r>
      <w:r w:rsidR="00506133" w:rsidRPr="00221063">
        <w:rPr>
          <w:i/>
          <w:iCs/>
        </w:rPr>
        <w:t xml:space="preserve"> The Rise of the American Novel</w:t>
      </w:r>
      <w:r w:rsidR="00221063" w:rsidRPr="00221063">
        <w:rPr>
          <w:i/>
          <w:iCs/>
        </w:rPr>
        <w:t>, 1800-1900</w:t>
      </w:r>
      <w:r w:rsidR="00221063">
        <w:t xml:space="preserve"> (1995, University of St. Paul).</w:t>
      </w:r>
    </w:p>
  </w:endnote>
  <w:endnote w:id="232">
    <w:p w14:paraId="257EE10C" w14:textId="73FDCFA1" w:rsidR="005A37BC" w:rsidRDefault="005A37BC">
      <w:pPr>
        <w:pStyle w:val="EndnoteText"/>
      </w:pPr>
      <w:r>
        <w:rPr>
          <w:rStyle w:val="EndnoteReference"/>
        </w:rPr>
        <w:endnoteRef/>
      </w:r>
      <w:r>
        <w:t xml:space="preserve"> For this, I am indebted to Watkins, Joseph, </w:t>
      </w:r>
      <w:r w:rsidRPr="000E17A3">
        <w:rPr>
          <w:i/>
          <w:iCs/>
        </w:rPr>
        <w:t xml:space="preserve">The </w:t>
      </w:r>
      <w:r w:rsidR="002E1D34">
        <w:rPr>
          <w:i/>
          <w:iCs/>
        </w:rPr>
        <w:t>Winds</w:t>
      </w:r>
      <w:r w:rsidRPr="000E17A3">
        <w:rPr>
          <w:i/>
          <w:iCs/>
        </w:rPr>
        <w:t xml:space="preserve"> of Democracy: George Bancroft and the Arm of Destiny</w:t>
      </w:r>
      <w:r>
        <w:t xml:space="preserve"> (1997, </w:t>
      </w:r>
      <w:r w:rsidR="000E17A3">
        <w:t xml:space="preserve">Cahokia Historical Press). </w:t>
      </w:r>
    </w:p>
  </w:endnote>
  <w:endnote w:id="233">
    <w:p w14:paraId="621D062C" w14:textId="0C6CC893" w:rsidR="008C36DE" w:rsidRDefault="008C36DE">
      <w:pPr>
        <w:pStyle w:val="EndnoteText"/>
      </w:pPr>
      <w:r>
        <w:rPr>
          <w:rStyle w:val="EndnoteReference"/>
        </w:rPr>
        <w:endnoteRef/>
      </w:r>
      <w:r>
        <w:t xml:space="preserve"> For a full </w:t>
      </w:r>
      <w:r w:rsidR="00027286">
        <w:t>description</w:t>
      </w:r>
      <w:r w:rsidR="00D467FD">
        <w:t xml:space="preserve"> of </w:t>
      </w:r>
      <w:r w:rsidR="00027286">
        <w:t xml:space="preserve">Curtius’ expedition to China, see </w:t>
      </w:r>
      <w:r w:rsidR="00F758CA" w:rsidRPr="00F758CA">
        <w:t>Waszkiewicz</w:t>
      </w:r>
      <w:r w:rsidR="00256673">
        <w:t xml:space="preserve">, </w:t>
      </w:r>
      <w:r w:rsidR="00F758CA">
        <w:t>Louis</w:t>
      </w:r>
      <w:r w:rsidR="00256673">
        <w:t xml:space="preserve">, </w:t>
      </w:r>
      <w:r w:rsidR="00256673" w:rsidRPr="00CB4AD4">
        <w:rPr>
          <w:i/>
          <w:iCs/>
        </w:rPr>
        <w:t>For All the Tea in China: How Cornelius Curtius Stole the Tea from China</w:t>
      </w:r>
      <w:r w:rsidR="00256673">
        <w:t xml:space="preserve"> (2001, </w:t>
      </w:r>
      <w:r w:rsidR="00F758CA" w:rsidRPr="00F758CA">
        <w:t>Éditions</w:t>
      </w:r>
      <w:r w:rsidR="00F758CA">
        <w:t xml:space="preserve"> </w:t>
      </w:r>
      <w:r w:rsidR="00907A81">
        <w:t>Gonzalez</w:t>
      </w:r>
      <w:r w:rsidR="00175463">
        <w:t xml:space="preserve">). </w:t>
      </w:r>
    </w:p>
  </w:endnote>
  <w:endnote w:id="234">
    <w:p w14:paraId="3668DE25" w14:textId="182CE9FC" w:rsidR="00984706" w:rsidRDefault="00984706">
      <w:pPr>
        <w:pStyle w:val="EndnoteText"/>
      </w:pPr>
      <w:r>
        <w:rPr>
          <w:rStyle w:val="EndnoteReference"/>
        </w:rPr>
        <w:endnoteRef/>
      </w:r>
      <w:r>
        <w:t xml:space="preserve"> Trade between </w:t>
      </w:r>
      <w:r w:rsidR="003C2227">
        <w:t>the United States</w:t>
      </w:r>
      <w:r>
        <w:t xml:space="preserve"> and China had happened even before</w:t>
      </w:r>
      <w:r w:rsidR="003C2227">
        <w:t xml:space="preserve"> the Revolution, with New Englander traders doing the physical trading but </w:t>
      </w:r>
      <w:r w:rsidR="001F2CE4">
        <w:t>selling</w:t>
      </w:r>
      <w:r w:rsidR="003C2227">
        <w:t xml:space="preserve"> </w:t>
      </w:r>
      <w:r w:rsidR="001F2CE4">
        <w:t>goods</w:t>
      </w:r>
      <w:r w:rsidR="003C2227">
        <w:t xml:space="preserve"> from across the nation. </w:t>
      </w:r>
      <w:r w:rsidR="001F2CE4">
        <w:t>Notably, Appalachian ginseng was a hot commodity in China, along with opium and silver one of a few goods its government eagerly traded</w:t>
      </w:r>
      <w:r w:rsidR="00F22482">
        <w:t xml:space="preserve"> for</w:t>
      </w:r>
      <w:r w:rsidR="001F2CE4">
        <w:t xml:space="preserve">, and its presence gave Americans a leg up in the trade to Asia. </w:t>
      </w:r>
      <w:r w:rsidR="008E3380">
        <w:t xml:space="preserve">See Tanackah, Aurelius, </w:t>
      </w:r>
      <w:r w:rsidR="00563D72" w:rsidRPr="006C37A2">
        <w:rPr>
          <w:i/>
          <w:iCs/>
        </w:rPr>
        <w:t xml:space="preserve">The </w:t>
      </w:r>
      <w:r w:rsidR="00C560BD" w:rsidRPr="006C37A2">
        <w:rPr>
          <w:i/>
          <w:iCs/>
        </w:rPr>
        <w:t>Eagle to Canton</w:t>
      </w:r>
      <w:r w:rsidR="00563D72" w:rsidRPr="006C37A2">
        <w:rPr>
          <w:i/>
          <w:iCs/>
        </w:rPr>
        <w:t xml:space="preserve">: The Yankee Trade to China, </w:t>
      </w:r>
      <w:r w:rsidR="0063610A" w:rsidRPr="006C37A2">
        <w:rPr>
          <w:i/>
          <w:iCs/>
        </w:rPr>
        <w:t>1757-1901</w:t>
      </w:r>
      <w:r w:rsidR="0063610A">
        <w:t xml:space="preserve"> (2023, </w:t>
      </w:r>
      <w:r w:rsidR="006C37A2">
        <w:t xml:space="preserve">Yale University Press). </w:t>
      </w:r>
    </w:p>
  </w:endnote>
  <w:endnote w:id="235">
    <w:p w14:paraId="3EB44BAF" w14:textId="0EDCA3E0" w:rsidR="000B26BB" w:rsidRDefault="000B26BB">
      <w:pPr>
        <w:pStyle w:val="EndnoteText"/>
      </w:pPr>
      <w:r>
        <w:rPr>
          <w:rStyle w:val="EndnoteReference"/>
        </w:rPr>
        <w:endnoteRef/>
      </w:r>
      <w:r>
        <w:t xml:space="preserve"> </w:t>
      </w:r>
      <w:proofErr w:type="spellStart"/>
      <w:r>
        <w:t>Stoyanovich</w:t>
      </w:r>
      <w:proofErr w:type="spellEnd"/>
      <w:r>
        <w:t>, Eliezer.</w:t>
      </w:r>
      <w:r w:rsidR="0092080E">
        <w:t xml:space="preserve"> </w:t>
      </w:r>
      <w:r w:rsidR="0092080E" w:rsidRPr="00245FA5">
        <w:rPr>
          <w:i/>
          <w:iCs/>
        </w:rPr>
        <w:t xml:space="preserve">From Treason to </w:t>
      </w:r>
      <w:r w:rsidR="005C6C70" w:rsidRPr="00245FA5">
        <w:rPr>
          <w:i/>
          <w:iCs/>
        </w:rPr>
        <w:t>Tempest:</w:t>
      </w:r>
      <w:r w:rsidRPr="00245FA5">
        <w:rPr>
          <w:i/>
          <w:iCs/>
        </w:rPr>
        <w:t xml:space="preserve"> Tea in Antebellum America, 1844-1868</w:t>
      </w:r>
      <w:r>
        <w:t xml:space="preserve"> (2013, Ogden University Press). </w:t>
      </w:r>
    </w:p>
  </w:endnote>
  <w:endnote w:id="236">
    <w:p w14:paraId="59FE36CC" w14:textId="7C8AB0EB" w:rsidR="00A40E06" w:rsidRDefault="00A40E06">
      <w:pPr>
        <w:pStyle w:val="EndnoteText"/>
      </w:pPr>
      <w:r>
        <w:rPr>
          <w:rStyle w:val="EndnoteReference"/>
        </w:rPr>
        <w:endnoteRef/>
      </w:r>
      <w:r>
        <w:t xml:space="preserve"> </w:t>
      </w:r>
      <w:r w:rsidR="00C94DA2">
        <w:t>A</w:t>
      </w:r>
      <w:r>
        <w:t xml:space="preserve"> full analysis of the </w:t>
      </w:r>
      <w:r w:rsidR="00647414">
        <w:t xml:space="preserve">results of the Qing transition to Bai, </w:t>
      </w:r>
      <w:r w:rsidR="00C94DA2">
        <w:t>with all its chaotic dimensions, may be best seen in</w:t>
      </w:r>
      <w:r w:rsidR="003E033F">
        <w:t xml:space="preserve"> </w:t>
      </w:r>
      <w:proofErr w:type="spellStart"/>
      <w:r w:rsidR="003E033F">
        <w:t>Mingue</w:t>
      </w:r>
      <w:proofErr w:type="spellEnd"/>
      <w:r w:rsidR="003E033F">
        <w:t xml:space="preserve">, Racine, </w:t>
      </w:r>
      <w:r w:rsidR="003E033F" w:rsidRPr="00511D92">
        <w:rPr>
          <w:i/>
          <w:iCs/>
        </w:rPr>
        <w:t>The Nadir of the Dragon: China, 1800-1901</w:t>
      </w:r>
      <w:r w:rsidR="003E033F">
        <w:t xml:space="preserve"> (1984, </w:t>
      </w:r>
      <w:r w:rsidR="004803F1" w:rsidRPr="004803F1">
        <w:t xml:space="preserve">Université </w:t>
      </w:r>
      <w:proofErr w:type="spellStart"/>
      <w:r w:rsidR="004803F1" w:rsidRPr="004803F1">
        <w:t>républicaine</w:t>
      </w:r>
      <w:proofErr w:type="spellEnd"/>
      <w:r w:rsidR="004803F1" w:rsidRPr="004803F1">
        <w:t xml:space="preserve"> de </w:t>
      </w:r>
      <w:r w:rsidR="006673E3">
        <w:t>Nouvelle-</w:t>
      </w:r>
      <w:r w:rsidR="004803F1" w:rsidRPr="004803F1">
        <w:t>Holland</w:t>
      </w:r>
      <w:r w:rsidR="006673E3">
        <w:t>e</w:t>
      </w:r>
      <w:r w:rsidR="003E033F">
        <w:t xml:space="preserve">). </w:t>
      </w:r>
    </w:p>
  </w:endnote>
  <w:endnote w:id="237">
    <w:p w14:paraId="403640CC" w14:textId="41AC747C" w:rsidR="00C977A4" w:rsidRDefault="00C977A4">
      <w:pPr>
        <w:pStyle w:val="EndnoteText"/>
      </w:pPr>
      <w:r>
        <w:rPr>
          <w:rStyle w:val="EndnoteReference"/>
        </w:rPr>
        <w:endnoteRef/>
      </w:r>
      <w:r>
        <w:t xml:space="preserve"> Lufton</w:t>
      </w:r>
      <w:r w:rsidR="008A49A9">
        <w:t xml:space="preserve">, Abram. </w:t>
      </w:r>
      <w:r w:rsidR="00665B30" w:rsidRPr="00C7789C">
        <w:rPr>
          <w:i/>
          <w:iCs/>
        </w:rPr>
        <w:t>The Island and the World: The United States and Foreign Trade, 1845-1911</w:t>
      </w:r>
      <w:r w:rsidR="00665B30">
        <w:t xml:space="preserve"> (1993, </w:t>
      </w:r>
      <w:r w:rsidR="00B87BFF">
        <w:t xml:space="preserve">Transylvania University Press). </w:t>
      </w:r>
    </w:p>
  </w:endnote>
  <w:endnote w:id="238">
    <w:p w14:paraId="5D92EB66" w14:textId="4ADFEDDB" w:rsidR="00E11763" w:rsidRDefault="00E11763">
      <w:pPr>
        <w:pStyle w:val="EndnoteText"/>
      </w:pPr>
      <w:r>
        <w:rPr>
          <w:rStyle w:val="EndnoteReference"/>
        </w:rPr>
        <w:endnoteRef/>
      </w:r>
      <w:r>
        <w:t xml:space="preserve"> This narrative comes from Manigault, </w:t>
      </w:r>
      <w:r w:rsidR="00CE0399" w:rsidRPr="00CE0399">
        <w:t>Azucena</w:t>
      </w:r>
      <w:r>
        <w:t xml:space="preserve">, </w:t>
      </w:r>
      <w:r w:rsidRPr="00B13309">
        <w:rPr>
          <w:i/>
          <w:iCs/>
        </w:rPr>
        <w:t>The Leonardo of the Ascendancy: The Life and Times of Samuel F.B. Morse, 1791-1871</w:t>
      </w:r>
      <w:r>
        <w:t xml:space="preserve"> (1981, </w:t>
      </w:r>
      <w:r w:rsidR="001501B3" w:rsidRPr="001501B3">
        <w:t>Republican University of Monterrey Press</w:t>
      </w:r>
      <w:r>
        <w:t xml:space="preserve">). </w:t>
      </w:r>
    </w:p>
  </w:endnote>
  <w:endnote w:id="239">
    <w:p w14:paraId="7F042AAC" w14:textId="5B239D93" w:rsidR="008956DA" w:rsidRDefault="008956DA">
      <w:pPr>
        <w:pStyle w:val="EndnoteText"/>
      </w:pPr>
      <w:r>
        <w:rPr>
          <w:rStyle w:val="EndnoteReference"/>
        </w:rPr>
        <w:endnoteRef/>
      </w:r>
      <w:r>
        <w:t xml:space="preserve"> Burroughs, </w:t>
      </w:r>
      <w:r w:rsidR="00BB3BD3">
        <w:t xml:space="preserve">Frank &amp; Scrivener, </w:t>
      </w:r>
      <w:r w:rsidR="00D11BA3">
        <w:t xml:space="preserve">Lawrence. </w:t>
      </w:r>
      <w:r w:rsidR="004C7AE1" w:rsidRPr="00024601">
        <w:rPr>
          <w:i/>
          <w:iCs/>
        </w:rPr>
        <w:t>The Babylon of the West: New York City to 1868</w:t>
      </w:r>
      <w:r w:rsidR="004C7AE1">
        <w:t xml:space="preserve"> (1994, </w:t>
      </w:r>
      <w:r w:rsidR="000A047A">
        <w:t xml:space="preserve">Burr University). </w:t>
      </w:r>
    </w:p>
  </w:endnote>
  <w:endnote w:id="240">
    <w:p w14:paraId="3705F0AE" w14:textId="1975406E" w:rsidR="006A3298" w:rsidRDefault="006A3298">
      <w:pPr>
        <w:pStyle w:val="EndnoteText"/>
      </w:pPr>
      <w:r>
        <w:rPr>
          <w:rStyle w:val="EndnoteReference"/>
        </w:rPr>
        <w:endnoteRef/>
      </w:r>
      <w:r>
        <w:t xml:space="preserve"> Lieven, Anthony. </w:t>
      </w:r>
      <w:r w:rsidR="00A5629C" w:rsidRPr="00E30A25">
        <w:rPr>
          <w:i/>
          <w:iCs/>
        </w:rPr>
        <w:t xml:space="preserve">The Revolution of the Disc: The </w:t>
      </w:r>
      <w:proofErr w:type="spellStart"/>
      <w:r w:rsidR="00A5629C" w:rsidRPr="00E30A25">
        <w:rPr>
          <w:i/>
          <w:iCs/>
        </w:rPr>
        <w:t>Striaphone</w:t>
      </w:r>
      <w:proofErr w:type="spellEnd"/>
      <w:r w:rsidR="00A5629C" w:rsidRPr="00E30A25">
        <w:rPr>
          <w:i/>
          <w:iCs/>
        </w:rPr>
        <w:t>, 1846-1900</w:t>
      </w:r>
      <w:r w:rsidR="00A5629C">
        <w:t xml:space="preserve"> (2004, </w:t>
      </w:r>
      <w:r w:rsidR="00E30A25">
        <w:t xml:space="preserve">University of </w:t>
      </w:r>
      <w:proofErr w:type="spellStart"/>
      <w:r w:rsidR="00E30A25">
        <w:t>Shackamia</w:t>
      </w:r>
      <w:proofErr w:type="spellEnd"/>
      <w:r w:rsidR="00E30A25">
        <w:t xml:space="preserve"> Press). </w:t>
      </w:r>
    </w:p>
  </w:endnote>
  <w:endnote w:id="241">
    <w:p w14:paraId="18CF1A26" w14:textId="7F5D9D70" w:rsidR="008A089B" w:rsidRDefault="008A089B">
      <w:pPr>
        <w:pStyle w:val="EndnoteText"/>
      </w:pPr>
      <w:r>
        <w:rPr>
          <w:rStyle w:val="EndnoteReference"/>
        </w:rPr>
        <w:endnoteRef/>
      </w:r>
      <w:r>
        <w:t xml:space="preserve"> Indeed, one of the most celebrated </w:t>
      </w:r>
      <w:proofErr w:type="spellStart"/>
      <w:r>
        <w:t>striaphone</w:t>
      </w:r>
      <w:proofErr w:type="spellEnd"/>
      <w:r>
        <w:t xml:space="preserve"> recordings </w:t>
      </w:r>
      <w:r w:rsidR="00834067">
        <w:t xml:space="preserve">done by </w:t>
      </w:r>
      <w:r w:rsidR="00117C24">
        <w:t xml:space="preserve">the Morse </w:t>
      </w:r>
      <w:proofErr w:type="spellStart"/>
      <w:r w:rsidR="00117C24">
        <w:t>Striaphone</w:t>
      </w:r>
      <w:proofErr w:type="spellEnd"/>
      <w:r w:rsidR="00117C24">
        <w:t xml:space="preserve"> Company</w:t>
      </w:r>
      <w:r>
        <w:t xml:space="preserve"> is of </w:t>
      </w:r>
      <w:r w:rsidR="007B7C6A">
        <w:t>Daniel Webster</w:t>
      </w:r>
      <w:r w:rsidR="0046445E">
        <w:t>, reciting</w:t>
      </w:r>
      <w:r w:rsidR="009D39EF">
        <w:t xml:space="preserve"> the famed last sentence</w:t>
      </w:r>
      <w:r w:rsidR="0046445E">
        <w:t xml:space="preserve"> </w:t>
      </w:r>
      <w:r w:rsidR="009D39EF">
        <w:t>of</w:t>
      </w:r>
      <w:r w:rsidR="0046445E">
        <w:t xml:space="preserve"> </w:t>
      </w:r>
      <w:r w:rsidR="00A74A82">
        <w:t>his Second Reply to Calhoun</w:t>
      </w:r>
      <w:r w:rsidR="001A20FB">
        <w:t>. Morse despised Webster and hoped h</w:t>
      </w:r>
      <w:r w:rsidR="003528C3">
        <w:t>is presidency</w:t>
      </w:r>
      <w:r w:rsidR="001A20FB">
        <w:t xml:space="preserve"> would fail, but he wanted the money and gave Webster a cut of it</w:t>
      </w:r>
      <w:r w:rsidR="007B7C6A">
        <w:t xml:space="preserve">. </w:t>
      </w:r>
      <w:r w:rsidR="006549D5">
        <w:t xml:space="preserve">Though the master </w:t>
      </w:r>
      <w:r w:rsidR="007E3F0F">
        <w:t>recording</w:t>
      </w:r>
      <w:r w:rsidR="00E87F5D">
        <w:t xml:space="preserve"> mould</w:t>
      </w:r>
      <w:r w:rsidR="006549D5">
        <w:t xml:space="preserve"> was destroyed during the </w:t>
      </w:r>
      <w:r w:rsidR="004439DF">
        <w:t xml:space="preserve">Liberty and Union War, </w:t>
      </w:r>
      <w:r w:rsidR="007E3F0F">
        <w:t>nevertheless surviving copies</w:t>
      </w:r>
      <w:r w:rsidR="00AF127E">
        <w:t xml:space="preserve"> have long since been </w:t>
      </w:r>
      <w:proofErr w:type="spellStart"/>
      <w:r w:rsidR="00AF127E">
        <w:t>numerized</w:t>
      </w:r>
      <w:proofErr w:type="spellEnd"/>
      <w:r w:rsidR="00226AE7">
        <w:t xml:space="preserve"> and reproduced for general use</w:t>
      </w:r>
      <w:r w:rsidR="00AF127E">
        <w:t xml:space="preserve">. </w:t>
      </w:r>
      <w:r w:rsidR="002431BA">
        <w:t xml:space="preserve">See </w:t>
      </w:r>
      <w:r w:rsidR="002224AD">
        <w:t xml:space="preserve">Osterberg, </w:t>
      </w:r>
      <w:r w:rsidR="00966137">
        <w:t xml:space="preserve">David, </w:t>
      </w:r>
      <w:r w:rsidR="007C6B20">
        <w:t xml:space="preserve">“Early </w:t>
      </w:r>
      <w:proofErr w:type="spellStart"/>
      <w:r w:rsidR="00F96884">
        <w:t>Striaphone</w:t>
      </w:r>
      <w:proofErr w:type="spellEnd"/>
      <w:r w:rsidR="00F96884">
        <w:t xml:space="preserve"> Recordings</w:t>
      </w:r>
      <w:r w:rsidR="00B226B1">
        <w:t xml:space="preserve"> in the Library of Alexandria Collection</w:t>
      </w:r>
      <w:r w:rsidR="00F96884">
        <w:t>, 1846-1900”</w:t>
      </w:r>
      <w:r w:rsidR="00604A72">
        <w:t>.</w:t>
      </w:r>
      <w:r w:rsidR="00DD1DB2">
        <w:t xml:space="preserve"> Journal for the</w:t>
      </w:r>
      <w:r w:rsidR="00604A72">
        <w:t xml:space="preserve"> Library of Alexandria</w:t>
      </w:r>
      <w:r w:rsidR="00583237">
        <w:t>, Music</w:t>
      </w:r>
      <w:r w:rsidR="00DA4F82">
        <w:t xml:space="preserve">, vol 19, no. 10 (1982). </w:t>
      </w:r>
    </w:p>
  </w:endnote>
  <w:endnote w:id="242">
    <w:p w14:paraId="7D9DE3BA" w14:textId="63D9A6DF" w:rsidR="00C27D79" w:rsidRDefault="00C27D79">
      <w:pPr>
        <w:pStyle w:val="EndnoteText"/>
      </w:pPr>
      <w:r>
        <w:rPr>
          <w:rStyle w:val="EndnoteReference"/>
        </w:rPr>
        <w:endnoteRef/>
      </w:r>
      <w:r>
        <w:t xml:space="preserve"> Though Morse experimented with </w:t>
      </w:r>
      <w:r w:rsidR="00C1713A">
        <w:t xml:space="preserve">early </w:t>
      </w:r>
      <w:proofErr w:type="spellStart"/>
      <w:r w:rsidR="00C1713A">
        <w:t>striatapes</w:t>
      </w:r>
      <w:proofErr w:type="spellEnd"/>
      <w:r w:rsidR="007C3696">
        <w:t xml:space="preserve"> to store more</w:t>
      </w:r>
      <w:r w:rsidR="00C1713A">
        <w:t>, his experiments were largely unsuccessful</w:t>
      </w:r>
      <w:r w:rsidR="00AB0A50">
        <w:t xml:space="preserve"> as </w:t>
      </w:r>
      <w:r w:rsidR="00E81314">
        <w:t xml:space="preserve">he was unable to find a material both flexible and </w:t>
      </w:r>
      <w:r w:rsidR="00134F48">
        <w:t>stable for enough to engrave. I</w:t>
      </w:r>
      <w:r w:rsidR="00FD25BF">
        <w:t xml:space="preserve">t would take decades </w:t>
      </w:r>
      <w:r w:rsidR="007C3696">
        <w:t>to achieve</w:t>
      </w:r>
      <w:r w:rsidR="00F85DD6">
        <w:t xml:space="preserve"> </w:t>
      </w:r>
      <w:r w:rsidR="00134F48">
        <w:t>this</w:t>
      </w:r>
      <w:r w:rsidR="00F85DD6">
        <w:t xml:space="preserve">. See </w:t>
      </w:r>
      <w:r w:rsidR="00967304">
        <w:t xml:space="preserve">Stern, </w:t>
      </w:r>
      <w:r w:rsidR="00B72C20">
        <w:t xml:space="preserve">Casimir, </w:t>
      </w:r>
      <w:r w:rsidR="000872F3" w:rsidRPr="00176E14">
        <w:rPr>
          <w:i/>
          <w:iCs/>
        </w:rPr>
        <w:t>The Winds of Progress: Technology in the Long Nineteenth Century, 1789-1892</w:t>
      </w:r>
      <w:r w:rsidR="000872F3">
        <w:t xml:space="preserve"> (</w:t>
      </w:r>
      <w:r w:rsidR="00176E14">
        <w:t xml:space="preserve">2019, </w:t>
      </w:r>
      <w:r w:rsidR="00176E14">
        <w:rPr>
          <w:noProof/>
        </w:rPr>
        <w:t>Éditions</w:t>
      </w:r>
      <w:r w:rsidR="00176E14">
        <w:t xml:space="preserve"> Gonzalez). </w:t>
      </w:r>
    </w:p>
  </w:endnote>
  <w:endnote w:id="243">
    <w:p w14:paraId="5DA44955" w14:textId="3741D82E" w:rsidR="00F56E13" w:rsidRDefault="00F56E13">
      <w:pPr>
        <w:pStyle w:val="EndnoteText"/>
      </w:pPr>
      <w:r>
        <w:rPr>
          <w:rStyle w:val="EndnoteReference"/>
        </w:rPr>
        <w:endnoteRef/>
      </w:r>
      <w:r>
        <w:t xml:space="preserve"> </w:t>
      </w:r>
      <w:r w:rsidR="00BA69E1">
        <w:t xml:space="preserve">Indeed, over the course of the 1860s, compressed-air </w:t>
      </w:r>
      <w:proofErr w:type="spellStart"/>
      <w:r w:rsidR="00BA69E1">
        <w:t>striaphones</w:t>
      </w:r>
      <w:proofErr w:type="spellEnd"/>
      <w:r w:rsidR="00BA69E1">
        <w:t xml:space="preserve"> replaced much of the role traditionally held by the town crier, their lower fidelity being </w:t>
      </w:r>
      <w:r w:rsidR="00927BE5">
        <w:t xml:space="preserve">overcome by their convenience. See Lieven, </w:t>
      </w:r>
      <w:r w:rsidR="00927BE5" w:rsidRPr="00E30A25">
        <w:rPr>
          <w:i/>
          <w:iCs/>
        </w:rPr>
        <w:t>The Revolution of the Disc</w:t>
      </w:r>
      <w:r w:rsidR="00927BE5">
        <w:t xml:space="preserve"> (2004). </w:t>
      </w:r>
    </w:p>
  </w:endnote>
  <w:endnote w:id="244">
    <w:p w14:paraId="7E9B608C" w14:textId="41242821" w:rsidR="00D32691" w:rsidRDefault="00D32691">
      <w:pPr>
        <w:pStyle w:val="EndnoteText"/>
      </w:pPr>
      <w:r>
        <w:rPr>
          <w:rStyle w:val="EndnoteReference"/>
        </w:rPr>
        <w:endnoteRef/>
      </w:r>
      <w:r>
        <w:t xml:space="preserve"> Schwab, Frederick. </w:t>
      </w:r>
      <w:r w:rsidRPr="00E31482">
        <w:rPr>
          <w:i/>
          <w:iCs/>
        </w:rPr>
        <w:t>The Holy Wire: The Electric Telegraph in American History, 1847-2000</w:t>
      </w:r>
      <w:r>
        <w:t xml:space="preserve"> (2008, </w:t>
      </w:r>
      <w:r w:rsidR="00E31482">
        <w:t xml:space="preserve">Quiner University). </w:t>
      </w:r>
    </w:p>
  </w:endnote>
  <w:endnote w:id="245">
    <w:p w14:paraId="5CB7AD1F" w14:textId="01897EB8" w:rsidR="00B01E6D" w:rsidRDefault="00B01E6D">
      <w:pPr>
        <w:pStyle w:val="EndnoteText"/>
      </w:pPr>
      <w:r>
        <w:rPr>
          <w:rStyle w:val="EndnoteReference"/>
        </w:rPr>
        <w:endnoteRef/>
      </w:r>
      <w:r>
        <w:t xml:space="preserve"> Additionally, the National Bank was one of only a few banks </w:t>
      </w:r>
      <w:r w:rsidR="00F65889">
        <w:t xml:space="preserve">to exist in more than one state and certainly the only one to </w:t>
      </w:r>
      <w:r w:rsidR="00A812CC">
        <w:t xml:space="preserve">be in every state. The average American bank was, and remains, a small-scale </w:t>
      </w:r>
      <w:r w:rsidR="003C03E0">
        <w:t>institution</w:t>
      </w:r>
      <w:r w:rsidR="00A812CC">
        <w:t xml:space="preserve"> in only a single state or metropolitan area. </w:t>
      </w:r>
      <w:r w:rsidR="00101C11">
        <w:t xml:space="preserve">Though </w:t>
      </w:r>
      <w:r w:rsidR="00D56C2B">
        <w:t>several New York</w:t>
      </w:r>
      <w:r w:rsidR="00101C11">
        <w:t xml:space="preserve"> banks </w:t>
      </w:r>
      <w:r w:rsidR="00D56C2B">
        <w:t xml:space="preserve">tried to </w:t>
      </w:r>
      <w:r w:rsidR="00101C11">
        <w:t>establish</w:t>
      </w:r>
      <w:r w:rsidR="00D56C2B">
        <w:t xml:space="preserve"> wire services of their own, for the most part banks instead wired them through</w:t>
      </w:r>
      <w:r w:rsidR="00C20739">
        <w:t xml:space="preserve"> the National Bank infrastructure. See </w:t>
      </w:r>
      <w:r w:rsidR="00D558F9" w:rsidRPr="00D558F9">
        <w:t>Wainwright, Samuel</w:t>
      </w:r>
      <w:r w:rsidR="00877FD8">
        <w:t>,</w:t>
      </w:r>
      <w:r w:rsidR="00D558F9" w:rsidRPr="00D558F9">
        <w:t xml:space="preserve"> </w:t>
      </w:r>
      <w:r w:rsidR="00D558F9" w:rsidRPr="00D558F9">
        <w:rPr>
          <w:i/>
          <w:iCs/>
        </w:rPr>
        <w:t>A Bank for the Nation: The Second Bank of the United States, 1825–1868</w:t>
      </w:r>
      <w:r w:rsidR="00D558F9" w:rsidRPr="00D558F9">
        <w:t xml:space="preserve"> </w:t>
      </w:r>
      <w:r w:rsidR="00D558F9">
        <w:t>(</w:t>
      </w:r>
      <w:r w:rsidR="00D558F9" w:rsidRPr="00D558F9">
        <w:t>1977</w:t>
      </w:r>
      <w:r w:rsidR="00D558F9">
        <w:t xml:space="preserve">, </w:t>
      </w:r>
      <w:proofErr w:type="spellStart"/>
      <w:r w:rsidR="00D558F9" w:rsidRPr="00D558F9">
        <w:t>Macror</w:t>
      </w:r>
      <w:proofErr w:type="spellEnd"/>
      <w:r w:rsidR="00D558F9" w:rsidRPr="00D558F9">
        <w:t xml:space="preserve"> Publishing</w:t>
      </w:r>
      <w:r w:rsidR="00D558F9">
        <w:t>)</w:t>
      </w:r>
      <w:r w:rsidR="00D558F9" w:rsidRPr="00D558F9">
        <w:t>.</w:t>
      </w:r>
    </w:p>
  </w:endnote>
  <w:endnote w:id="246">
    <w:p w14:paraId="6CB53254" w14:textId="11A15CAA" w:rsidR="009F5BDD" w:rsidRDefault="009F5BDD">
      <w:pPr>
        <w:pStyle w:val="EndnoteText"/>
      </w:pPr>
      <w:r>
        <w:rPr>
          <w:rStyle w:val="EndnoteReference"/>
        </w:rPr>
        <w:endnoteRef/>
      </w:r>
      <w:r>
        <w:t xml:space="preserve"> </w:t>
      </w:r>
      <w:r w:rsidR="00260719" w:rsidRPr="00173966">
        <w:t>Porterfield, Isaac</w:t>
      </w:r>
      <w:r w:rsidR="00260719">
        <w:t>,</w:t>
      </w:r>
      <w:r w:rsidR="00260719" w:rsidRPr="00173966">
        <w:t xml:space="preserve"> </w:t>
      </w:r>
      <w:r w:rsidR="00260719">
        <w:rPr>
          <w:i/>
          <w:iCs/>
        </w:rPr>
        <w:t xml:space="preserve">The </w:t>
      </w:r>
      <w:proofErr w:type="spellStart"/>
      <w:r w:rsidR="00260719">
        <w:rPr>
          <w:i/>
          <w:iCs/>
        </w:rPr>
        <w:t>Typ</w:t>
      </w:r>
      <w:r w:rsidR="00941A5E">
        <w:rPr>
          <w:i/>
          <w:iCs/>
        </w:rPr>
        <w:t>egraphed</w:t>
      </w:r>
      <w:proofErr w:type="spellEnd"/>
      <w:r w:rsidR="001F2F23">
        <w:rPr>
          <w:i/>
          <w:iCs/>
        </w:rPr>
        <w:t xml:space="preserve"> Municipality</w:t>
      </w:r>
      <w:r w:rsidR="00260719" w:rsidRPr="00173966">
        <w:rPr>
          <w:i/>
          <w:iCs/>
        </w:rPr>
        <w:t xml:space="preserve">: </w:t>
      </w:r>
      <w:r w:rsidR="00A84D24">
        <w:rPr>
          <w:i/>
          <w:iCs/>
        </w:rPr>
        <w:t>Private Telegraphy in the Antebellum Era</w:t>
      </w:r>
      <w:r w:rsidR="00260719" w:rsidRPr="00173966">
        <w:t>. (</w:t>
      </w:r>
      <w:r w:rsidR="0056713B">
        <w:t xml:space="preserve">2014, </w:t>
      </w:r>
      <w:r w:rsidR="00260719" w:rsidRPr="00173966">
        <w:t>Library of Alexandria Publishing</w:t>
      </w:r>
      <w:r w:rsidR="0056713B">
        <w:t>)</w:t>
      </w:r>
      <w:r w:rsidR="009137B9">
        <w:t xml:space="preserve">. </w:t>
      </w:r>
    </w:p>
  </w:endnote>
  <w:endnote w:id="247">
    <w:p w14:paraId="0C1F009D" w14:textId="6B0D3CB2" w:rsidR="00926136" w:rsidRDefault="00926136">
      <w:pPr>
        <w:pStyle w:val="EndnoteText"/>
      </w:pPr>
      <w:r>
        <w:rPr>
          <w:rStyle w:val="EndnoteReference"/>
        </w:rPr>
        <w:endnoteRef/>
      </w:r>
      <w:r>
        <w:t xml:space="preserve"> The France-British Isles semaphore was briefly retired in 1859, but </w:t>
      </w:r>
      <w:r w:rsidR="003F3A6E">
        <w:t xml:space="preserve">it was </w:t>
      </w:r>
      <w:r>
        <w:t>restored after</w:t>
      </w:r>
      <w:r w:rsidR="00B31809">
        <w:t xml:space="preserve"> the submarine cable failed. It was only retired after</w:t>
      </w:r>
      <w:r w:rsidR="00BA47B3">
        <w:t xml:space="preserve"> </w:t>
      </w:r>
      <w:r w:rsidR="00CD5BDC">
        <w:t xml:space="preserve">the cross-channel cable was secure. </w:t>
      </w:r>
      <w:r w:rsidR="00574D9E">
        <w:t>Additionally, with this semaphore being iconic, it was reopened in 1944 for touris</w:t>
      </w:r>
      <w:r w:rsidR="00DE353C">
        <w:t>m</w:t>
      </w:r>
      <w:r w:rsidR="00574D9E">
        <w:t xml:space="preserve"> purposes</w:t>
      </w:r>
      <w:r w:rsidR="001E3C09">
        <w:t>; messages are today still transmitted, for the amusement of tourists</w:t>
      </w:r>
      <w:r w:rsidR="00574D9E">
        <w:t xml:space="preserve">. </w:t>
      </w:r>
      <w:r w:rsidR="00CD5BDC">
        <w:t xml:space="preserve">See </w:t>
      </w:r>
      <w:proofErr w:type="spellStart"/>
      <w:r w:rsidR="005611D3">
        <w:t>Johansdottir</w:t>
      </w:r>
      <w:proofErr w:type="spellEnd"/>
      <w:r w:rsidR="005611D3">
        <w:t>, K</w:t>
      </w:r>
      <w:r w:rsidR="00136BBB">
        <w:t>i</w:t>
      </w:r>
      <w:r w:rsidR="005611D3">
        <w:t xml:space="preserve">rsten, </w:t>
      </w:r>
      <w:r w:rsidR="005611D3" w:rsidRPr="00136BBB">
        <w:rPr>
          <w:i/>
          <w:iCs/>
        </w:rPr>
        <w:t xml:space="preserve">Submarine Cables in the </w:t>
      </w:r>
      <w:r w:rsidR="00136BBB" w:rsidRPr="00136BBB">
        <w:rPr>
          <w:i/>
          <w:iCs/>
        </w:rPr>
        <w:t>Light of History, 1853-1937</w:t>
      </w:r>
      <w:r w:rsidR="00136BBB">
        <w:t xml:space="preserve"> (2003, University of Laurentia Press). </w:t>
      </w:r>
    </w:p>
  </w:endnote>
  <w:endnote w:id="248">
    <w:p w14:paraId="66C4588A" w14:textId="4D622027" w:rsidR="00A0647D" w:rsidRDefault="00161312">
      <w:pPr>
        <w:pStyle w:val="EndnoteText"/>
      </w:pPr>
      <w:r>
        <w:rPr>
          <w:rStyle w:val="EndnoteReference"/>
        </w:rPr>
        <w:endnoteRef/>
      </w:r>
      <w:r>
        <w:t xml:space="preserve"> Additionally,</w:t>
      </w:r>
      <w:r w:rsidR="00194240">
        <w:t xml:space="preserve"> not long afterwards</w:t>
      </w:r>
      <w:r w:rsidR="008F6A9E">
        <w:t>,</w:t>
      </w:r>
      <w:r>
        <w:t xml:space="preserve"> the Dutch discovered that the gutta-percha tree could be used to create</w:t>
      </w:r>
      <w:r w:rsidR="00561C5D">
        <w:t xml:space="preserve"> a rubber very much like that from the balata tree</w:t>
      </w:r>
      <w:r w:rsidR="00BB7886">
        <w:t xml:space="preserve">, which inspired a scramble for the East Indies as European powers rushed for land to grow gutta-percha trees. See </w:t>
      </w:r>
      <w:r w:rsidR="00647EB7" w:rsidRPr="00647EB7">
        <w:t xml:space="preserve">von </w:t>
      </w:r>
      <w:proofErr w:type="spellStart"/>
      <w:r w:rsidR="00647EB7" w:rsidRPr="00647EB7">
        <w:t>Hertingshausen</w:t>
      </w:r>
      <w:proofErr w:type="spellEnd"/>
      <w:r w:rsidR="00647EB7">
        <w:t xml:space="preserve">, </w:t>
      </w:r>
      <w:r w:rsidR="009D3F63">
        <w:t xml:space="preserve">Wilhelm Tell, </w:t>
      </w:r>
      <w:r w:rsidR="009D3F63" w:rsidRPr="000F52E8">
        <w:rPr>
          <w:i/>
          <w:iCs/>
        </w:rPr>
        <w:t xml:space="preserve">The Gutta-Percha Rush: The </w:t>
      </w:r>
      <w:r w:rsidR="00E96637" w:rsidRPr="000F52E8">
        <w:rPr>
          <w:i/>
          <w:iCs/>
        </w:rPr>
        <w:t>European</w:t>
      </w:r>
      <w:r w:rsidR="009D3F63" w:rsidRPr="000F52E8">
        <w:rPr>
          <w:i/>
          <w:iCs/>
        </w:rPr>
        <w:t xml:space="preserve"> </w:t>
      </w:r>
      <w:r w:rsidR="008062B1" w:rsidRPr="000F52E8">
        <w:rPr>
          <w:i/>
          <w:iCs/>
        </w:rPr>
        <w:t>Conquest</w:t>
      </w:r>
      <w:r w:rsidR="009D3F63" w:rsidRPr="000F52E8">
        <w:rPr>
          <w:i/>
          <w:iCs/>
        </w:rPr>
        <w:t xml:space="preserve"> of the </w:t>
      </w:r>
      <w:r w:rsidR="00A0647D" w:rsidRPr="000F52E8">
        <w:rPr>
          <w:i/>
          <w:iCs/>
        </w:rPr>
        <w:t>Malay Archipelago</w:t>
      </w:r>
      <w:r w:rsidR="00756C2D" w:rsidRPr="000F52E8">
        <w:rPr>
          <w:i/>
          <w:iCs/>
        </w:rPr>
        <w:t>, 1854-1</w:t>
      </w:r>
      <w:r w:rsidR="005D4B40" w:rsidRPr="000F52E8">
        <w:rPr>
          <w:i/>
          <w:iCs/>
        </w:rPr>
        <w:t>900</w:t>
      </w:r>
      <w:r w:rsidR="00756C2D">
        <w:t xml:space="preserve"> (</w:t>
      </w:r>
      <w:r w:rsidR="00701776">
        <w:t xml:space="preserve">2012, </w:t>
      </w:r>
      <w:proofErr w:type="spellStart"/>
      <w:r w:rsidR="004B7CF0">
        <w:t>Kaiserliche</w:t>
      </w:r>
      <w:proofErr w:type="spellEnd"/>
      <w:r w:rsidR="004B7CF0">
        <w:t xml:space="preserve"> </w:t>
      </w:r>
      <w:r w:rsidR="004B7CF0" w:rsidRPr="004B7CF0">
        <w:t xml:space="preserve">Universität </w:t>
      </w:r>
      <w:proofErr w:type="spellStart"/>
      <w:r w:rsidR="004B7CF0" w:rsidRPr="004B7CF0">
        <w:t>zu</w:t>
      </w:r>
      <w:proofErr w:type="spellEnd"/>
      <w:r w:rsidR="004B7CF0" w:rsidRPr="004B7CF0">
        <w:t xml:space="preserve"> Frankfurt am Main</w:t>
      </w:r>
      <w:r w:rsidR="004B7CF0">
        <w:t xml:space="preserve">). </w:t>
      </w:r>
    </w:p>
  </w:endnote>
  <w:endnote w:id="249">
    <w:p w14:paraId="5676CB82" w14:textId="7DC39A32" w:rsidR="005D2C34" w:rsidRDefault="005D2C34">
      <w:pPr>
        <w:pStyle w:val="EndnoteText"/>
      </w:pPr>
      <w:r>
        <w:rPr>
          <w:rStyle w:val="EndnoteReference"/>
        </w:rPr>
        <w:endnoteRef/>
      </w:r>
      <w:r>
        <w:t xml:space="preserve"> This also forced widespread revisions to theories of electricity that percolated in this era</w:t>
      </w:r>
      <w:r w:rsidR="003B2148">
        <w:t xml:space="preserve">; in particular, this </w:t>
      </w:r>
      <w:proofErr w:type="gramStart"/>
      <w:r w:rsidR="003B2148">
        <w:t>drove</w:t>
      </w:r>
      <w:proofErr w:type="gramEnd"/>
      <w:r w:rsidR="003B2148">
        <w:t xml:space="preserve"> the effort to </w:t>
      </w:r>
      <w:r w:rsidR="00142100">
        <w:t xml:space="preserve">codify and establish the four Fundamental </w:t>
      </w:r>
      <w:r w:rsidR="00D42CF4">
        <w:t xml:space="preserve">Laws of Electrodynamics, to </w:t>
      </w:r>
      <w:r w:rsidR="007542FD">
        <w:t xml:space="preserve">improve transmission rates. </w:t>
      </w:r>
      <w:r w:rsidR="00C64FDF">
        <w:t xml:space="preserve">See </w:t>
      </w:r>
      <w:r w:rsidR="005A1B15" w:rsidRPr="005A1B15">
        <w:t xml:space="preserve">von </w:t>
      </w:r>
      <w:proofErr w:type="spellStart"/>
      <w:r w:rsidR="005A1B15" w:rsidRPr="005A1B15">
        <w:t>Brösigke</w:t>
      </w:r>
      <w:proofErr w:type="spellEnd"/>
      <w:r w:rsidR="005A1B15">
        <w:t xml:space="preserve">, Hermann, </w:t>
      </w:r>
      <w:r w:rsidR="0001607F" w:rsidRPr="00BB3DBF">
        <w:rPr>
          <w:i/>
          <w:iCs/>
        </w:rPr>
        <w:t xml:space="preserve">The </w:t>
      </w:r>
      <w:r w:rsidR="00BF2736" w:rsidRPr="00BB3DBF">
        <w:rPr>
          <w:i/>
          <w:iCs/>
        </w:rPr>
        <w:t>Euclid</w:t>
      </w:r>
      <w:r w:rsidR="00F82C74" w:rsidRPr="00BB3DBF">
        <w:rPr>
          <w:i/>
          <w:iCs/>
        </w:rPr>
        <w:t xml:space="preserve"> of</w:t>
      </w:r>
      <w:r w:rsidR="00403C47" w:rsidRPr="00BB3DBF">
        <w:rPr>
          <w:i/>
          <w:iCs/>
        </w:rPr>
        <w:t xml:space="preserve"> Dresden: </w:t>
      </w:r>
      <w:r w:rsidR="00B76E17" w:rsidRPr="00BB3DBF">
        <w:rPr>
          <w:i/>
          <w:iCs/>
        </w:rPr>
        <w:t xml:space="preserve">The Life and Times of </w:t>
      </w:r>
      <w:r w:rsidR="00BE0679" w:rsidRPr="00BB3DBF">
        <w:rPr>
          <w:i/>
          <w:iCs/>
        </w:rPr>
        <w:t xml:space="preserve">Karl Anton Schrader, </w:t>
      </w:r>
      <w:r w:rsidR="0021404F" w:rsidRPr="00BB3DBF">
        <w:rPr>
          <w:i/>
          <w:iCs/>
        </w:rPr>
        <w:t>1865-</w:t>
      </w:r>
      <w:r w:rsidR="00544041" w:rsidRPr="00BB3DBF">
        <w:rPr>
          <w:i/>
          <w:iCs/>
        </w:rPr>
        <w:t>1907</w:t>
      </w:r>
      <w:r w:rsidR="00544041">
        <w:t xml:space="preserve"> (1997, </w:t>
      </w:r>
      <w:r w:rsidR="00623340">
        <w:t xml:space="preserve">University of Jena). </w:t>
      </w:r>
    </w:p>
  </w:endnote>
  <w:endnote w:id="250">
    <w:p w14:paraId="5E12ABCB" w14:textId="542617D8" w:rsidR="00D84C1D" w:rsidRDefault="00D84C1D">
      <w:pPr>
        <w:pStyle w:val="EndnoteText"/>
      </w:pPr>
      <w:r>
        <w:rPr>
          <w:rStyle w:val="EndnoteReference"/>
        </w:rPr>
        <w:endnoteRef/>
      </w:r>
      <w:r>
        <w:t xml:space="preserve"> Russia </w:t>
      </w:r>
      <w:proofErr w:type="gramStart"/>
      <w:r>
        <w:t>in particular had</w:t>
      </w:r>
      <w:proofErr w:type="gramEnd"/>
      <w:r>
        <w:t xml:space="preserve"> a large incentive to </w:t>
      </w:r>
      <w:r w:rsidR="00B65D1C">
        <w:t xml:space="preserve">construct a </w:t>
      </w:r>
      <w:r w:rsidR="00976F71">
        <w:t>telegraph line across</w:t>
      </w:r>
      <w:r w:rsidR="00BD32A8">
        <w:t xml:space="preserve"> Siberia</w:t>
      </w:r>
      <w:r w:rsidR="00976F71">
        <w:t xml:space="preserve">, to serve as a prelude to </w:t>
      </w:r>
      <w:r w:rsidR="00E30B24">
        <w:t>building a railroad which would allow it to send settlers to not only Siberia, but also the Qing remnant</w:t>
      </w:r>
      <w:r w:rsidR="00DE6E59">
        <w:t xml:space="preserve"> in what were traditionally Mongolian and Manchu areas. </w:t>
      </w:r>
      <w:r w:rsidR="00FD6AA6">
        <w:t xml:space="preserve">The work </w:t>
      </w:r>
      <w:r w:rsidR="0049153C">
        <w:t>of</w:t>
      </w:r>
      <w:r w:rsidR="00FD6AA6">
        <w:t xml:space="preserve"> </w:t>
      </w:r>
      <w:r w:rsidR="0049153C">
        <w:t>surveying the land</w:t>
      </w:r>
      <w:r w:rsidR="00A36EBC">
        <w:t xml:space="preserve"> would be crucial in the construction of the Trans-Siberian Railroad</w:t>
      </w:r>
      <w:r w:rsidR="006752BC">
        <w:t xml:space="preserve"> in the 1860s and 70s, </w:t>
      </w:r>
      <w:r w:rsidR="006F5733">
        <w:t xml:space="preserve">which in turn allowed </w:t>
      </w:r>
      <w:r w:rsidR="00182BD2">
        <w:t>the Russian government to send settlers to its eastern Pacific frontier – setting the stage for the Russo Chinese War. See</w:t>
      </w:r>
      <w:r w:rsidR="008D09A5">
        <w:t xml:space="preserve"> </w:t>
      </w:r>
      <w:proofErr w:type="spellStart"/>
      <w:r w:rsidR="008D09A5">
        <w:t>Shemolov</w:t>
      </w:r>
      <w:proofErr w:type="spellEnd"/>
      <w:r w:rsidR="008D09A5">
        <w:t xml:space="preserve">, </w:t>
      </w:r>
      <w:r w:rsidR="00910245">
        <w:t xml:space="preserve">Hsiu-ying, </w:t>
      </w:r>
      <w:r w:rsidR="00910245" w:rsidRPr="0049707C">
        <w:rPr>
          <w:i/>
          <w:iCs/>
        </w:rPr>
        <w:t xml:space="preserve">The Iron Despotism: The </w:t>
      </w:r>
      <w:r w:rsidR="00E95ACC" w:rsidRPr="0049707C">
        <w:rPr>
          <w:i/>
          <w:iCs/>
        </w:rPr>
        <w:t>Trans-Siberian Railroad</w:t>
      </w:r>
      <w:r w:rsidR="008926C2" w:rsidRPr="0049707C">
        <w:rPr>
          <w:i/>
          <w:iCs/>
        </w:rPr>
        <w:t xml:space="preserve"> and the Path to </w:t>
      </w:r>
      <w:r w:rsidR="009738A6" w:rsidRPr="0049707C">
        <w:rPr>
          <w:i/>
          <w:iCs/>
        </w:rPr>
        <w:t>the War of</w:t>
      </w:r>
      <w:r w:rsidR="004600AC" w:rsidRPr="0049707C">
        <w:rPr>
          <w:i/>
          <w:iCs/>
        </w:rPr>
        <w:t xml:space="preserve"> Reunification</w:t>
      </w:r>
      <w:r w:rsidR="004600AC">
        <w:t xml:space="preserve"> (2011, </w:t>
      </w:r>
      <w:r w:rsidR="00C83A6B" w:rsidRPr="00C83A6B">
        <w:t>White Deer Grotto Academy</w:t>
      </w:r>
      <w:r w:rsidR="0049707C">
        <w:t xml:space="preserve"> Press</w:t>
      </w:r>
      <w:r w:rsidR="00C83A6B">
        <w:t xml:space="preserve">). </w:t>
      </w:r>
    </w:p>
  </w:endnote>
  <w:endnote w:id="251">
    <w:p w14:paraId="4EAD8BE3" w14:textId="7973642B" w:rsidR="00CE063B" w:rsidRDefault="00CE063B">
      <w:pPr>
        <w:pStyle w:val="EndnoteText"/>
      </w:pPr>
      <w:r>
        <w:rPr>
          <w:rStyle w:val="EndnoteReference"/>
        </w:rPr>
        <w:endnoteRef/>
      </w:r>
      <w:r>
        <w:t xml:space="preserve"> The mythology of the </w:t>
      </w:r>
      <w:proofErr w:type="spellStart"/>
      <w:r>
        <w:t>Iceclipper</w:t>
      </w:r>
      <w:proofErr w:type="spellEnd"/>
      <w:r>
        <w:t xml:space="preserve"> Express is much too complex to get into here</w:t>
      </w:r>
      <w:r w:rsidR="00DF5026">
        <w:t xml:space="preserve"> –</w:t>
      </w:r>
      <w:r>
        <w:t xml:space="preserve"> but it remains a part of the lore of both the American West and the Russian East, before being crushed by the</w:t>
      </w:r>
      <w:r w:rsidR="00DF5026">
        <w:t xml:space="preserve"> all-crushing</w:t>
      </w:r>
      <w:r>
        <w:t xml:space="preserve"> </w:t>
      </w:r>
      <w:r w:rsidR="00DF5026">
        <w:t>power of modernity</w:t>
      </w:r>
      <w:r w:rsidR="00CB36EA">
        <w:t xml:space="preserve">. See Lawson, Esther, </w:t>
      </w:r>
      <w:r w:rsidR="00CB36EA" w:rsidRPr="00703387">
        <w:rPr>
          <w:i/>
          <w:iCs/>
        </w:rPr>
        <w:t xml:space="preserve">The </w:t>
      </w:r>
      <w:r w:rsidR="00B72ED6" w:rsidRPr="00703387">
        <w:rPr>
          <w:i/>
          <w:iCs/>
        </w:rPr>
        <w:t xml:space="preserve">Most Perilous Run: The </w:t>
      </w:r>
      <w:proofErr w:type="spellStart"/>
      <w:r w:rsidR="00B72ED6" w:rsidRPr="00703387">
        <w:rPr>
          <w:i/>
          <w:iCs/>
        </w:rPr>
        <w:t>Iceclipper</w:t>
      </w:r>
      <w:proofErr w:type="spellEnd"/>
      <w:r w:rsidR="00B72ED6" w:rsidRPr="00703387">
        <w:rPr>
          <w:i/>
          <w:iCs/>
        </w:rPr>
        <w:t xml:space="preserve"> Express and its Place in World History</w:t>
      </w:r>
      <w:r w:rsidR="00B72ED6">
        <w:t xml:space="preserve"> (1998, Press of the National Academy of New Canaan). </w:t>
      </w:r>
    </w:p>
  </w:endnote>
  <w:endnote w:id="252">
    <w:p w14:paraId="692C1366" w14:textId="60C2681F" w:rsidR="002E3E51" w:rsidRDefault="002E3E51">
      <w:pPr>
        <w:pStyle w:val="EndnoteText"/>
      </w:pPr>
      <w:r>
        <w:rPr>
          <w:rStyle w:val="EndnoteReference"/>
        </w:rPr>
        <w:endnoteRef/>
      </w:r>
      <w:r>
        <w:t xml:space="preserve"> The line from Vladivostok to </w:t>
      </w:r>
      <w:proofErr w:type="spellStart"/>
      <w:r>
        <w:t>Mednovtsy</w:t>
      </w:r>
      <w:proofErr w:type="spellEnd"/>
      <w:r>
        <w:t xml:space="preserve"> consisted of first, a cable fro</w:t>
      </w:r>
      <w:r w:rsidR="00FA42D5">
        <w:t xml:space="preserve">m Vladivostok to </w:t>
      </w:r>
      <w:proofErr w:type="spellStart"/>
      <w:r w:rsidR="00FA42D5">
        <w:t>Shikarsk</w:t>
      </w:r>
      <w:proofErr w:type="spellEnd"/>
      <w:r w:rsidR="00FA42D5">
        <w:t xml:space="preserve"> (today </w:t>
      </w:r>
      <w:proofErr w:type="spellStart"/>
      <w:r w:rsidR="00FA42D5">
        <w:t>Shikarusuku</w:t>
      </w:r>
      <w:proofErr w:type="spellEnd"/>
      <w:r w:rsidR="00FA42D5">
        <w:t>)</w:t>
      </w:r>
      <w:r w:rsidR="00E222B7">
        <w:t xml:space="preserve">, then a cable </w:t>
      </w:r>
      <w:r w:rsidR="003D0CB4">
        <w:t xml:space="preserve">from </w:t>
      </w:r>
      <w:proofErr w:type="spellStart"/>
      <w:r w:rsidR="003D0CB4">
        <w:t>Shikarsk</w:t>
      </w:r>
      <w:proofErr w:type="spellEnd"/>
      <w:r w:rsidR="003D0CB4">
        <w:t xml:space="preserve"> to Petropavlovsk, then finally a cable from Petropavlovsk to </w:t>
      </w:r>
      <w:proofErr w:type="spellStart"/>
      <w:r w:rsidR="003D0CB4">
        <w:t>Mednovtsy</w:t>
      </w:r>
      <w:proofErr w:type="spellEnd"/>
      <w:r w:rsidR="0074612E">
        <w:t xml:space="preserve">. This </w:t>
      </w:r>
      <w:proofErr w:type="spellStart"/>
      <w:r w:rsidR="0074612E">
        <w:t>segmentization</w:t>
      </w:r>
      <w:proofErr w:type="spellEnd"/>
      <w:r w:rsidR="0074612E">
        <w:t xml:space="preserve"> was a direct response to the Leyden jar effect, seeking to minimize it through overland stops on the way</w:t>
      </w:r>
      <w:r w:rsidR="003D0CB4">
        <w:t xml:space="preserve">. See </w:t>
      </w:r>
      <w:proofErr w:type="spellStart"/>
      <w:r w:rsidR="003D0CB4">
        <w:t>Johansdottir</w:t>
      </w:r>
      <w:proofErr w:type="spellEnd"/>
      <w:r w:rsidR="003D0CB4">
        <w:t xml:space="preserve">, </w:t>
      </w:r>
      <w:r w:rsidR="003D0CB4" w:rsidRPr="00136BBB">
        <w:rPr>
          <w:i/>
          <w:iCs/>
        </w:rPr>
        <w:t>Submarine Cables</w:t>
      </w:r>
      <w:r w:rsidR="003D0CB4">
        <w:rPr>
          <w:i/>
          <w:iCs/>
        </w:rPr>
        <w:t xml:space="preserve"> </w:t>
      </w:r>
      <w:r w:rsidR="003D0CB4">
        <w:t xml:space="preserve">(2003). </w:t>
      </w:r>
    </w:p>
  </w:endnote>
  <w:endnote w:id="253">
    <w:p w14:paraId="219497E7" w14:textId="737748BA" w:rsidR="0074612E" w:rsidRDefault="0074612E">
      <w:pPr>
        <w:pStyle w:val="EndnoteText"/>
      </w:pPr>
      <w:r>
        <w:rPr>
          <w:rStyle w:val="EndnoteReference"/>
        </w:rPr>
        <w:endnoteRef/>
      </w:r>
      <w:r>
        <w:t xml:space="preserve"> Indeed, this was such that, </w:t>
      </w:r>
      <w:r w:rsidR="00A82C40">
        <w:t>during the Russo-Chinese War, and in the period of instability that followed, there w</w:t>
      </w:r>
      <w:r w:rsidR="003F56C6">
        <w:t>ere no interruptions</w:t>
      </w:r>
      <w:r w:rsidR="00196201">
        <w:t xml:space="preserve"> in telegraph service; Chinese, Japanese, and White Russian</w:t>
      </w:r>
      <w:r w:rsidR="009A54E8">
        <w:t xml:space="preserve"> remnant</w:t>
      </w:r>
      <w:r w:rsidR="00196201">
        <w:t xml:space="preserve"> authorities had no desire to </w:t>
      </w:r>
      <w:r w:rsidR="00986994">
        <w:t xml:space="preserve">put a pause on </w:t>
      </w:r>
      <w:r w:rsidR="00B72EBF">
        <w:t xml:space="preserve">the flow of telegraph messages over the Bering Strait. </w:t>
      </w:r>
      <w:r w:rsidR="00DE55FC">
        <w:t xml:space="preserve">See </w:t>
      </w:r>
      <w:proofErr w:type="spellStart"/>
      <w:r w:rsidR="00DE55FC">
        <w:t>Shagenov</w:t>
      </w:r>
      <w:proofErr w:type="spellEnd"/>
      <w:r w:rsidR="00DE55FC">
        <w:t xml:space="preserve">, </w:t>
      </w:r>
      <w:r w:rsidR="00141F03">
        <w:t xml:space="preserve">Mario, </w:t>
      </w:r>
      <w:r w:rsidR="00141F03" w:rsidRPr="00141F03">
        <w:rPr>
          <w:i/>
          <w:iCs/>
        </w:rPr>
        <w:t>The Fall of the Russian Pacific: The Russo-Chinese War and its Aftermath, 1893-1915</w:t>
      </w:r>
      <w:r w:rsidR="00141F03">
        <w:t xml:space="preserve"> (2014, </w:t>
      </w:r>
      <w:r w:rsidR="000833B3">
        <w:rPr>
          <w:noProof/>
        </w:rPr>
        <w:t xml:space="preserve">Republican University of San Francisco). </w:t>
      </w:r>
    </w:p>
  </w:endnote>
  <w:endnote w:id="254">
    <w:p w14:paraId="54BF4A69" w14:textId="22FF6457" w:rsidR="00964916" w:rsidRDefault="00964916">
      <w:pPr>
        <w:pStyle w:val="EndnoteText"/>
      </w:pPr>
      <w:r>
        <w:rPr>
          <w:rStyle w:val="EndnoteReference"/>
        </w:rPr>
        <w:endnoteRef/>
      </w:r>
      <w:r>
        <w:t xml:space="preserve"> This era also saw standardization within Europe</w:t>
      </w:r>
      <w:r w:rsidR="00A44F64">
        <w:t>. The end of the Danish War of Succession in 1854</w:t>
      </w:r>
      <w:r w:rsidR="00DF56F8">
        <w:t xml:space="preserve">, </w:t>
      </w:r>
      <w:r w:rsidR="00E422E6">
        <w:t>along</w:t>
      </w:r>
      <w:r w:rsidR="00DF56F8">
        <w:t xml:space="preserve"> with the fall of the </w:t>
      </w:r>
      <w:r w:rsidR="00B45E20">
        <w:t>Dundonald government in 1857, created a brief window of internationalism that came in the form of peace congresses</w:t>
      </w:r>
      <w:r w:rsidR="00C52B4E">
        <w:t>, the formation of an International Tribunal, and several Telegraph Conventions</w:t>
      </w:r>
      <w:r w:rsidR="00380E87">
        <w:t xml:space="preserve"> that set new standards for the </w:t>
      </w:r>
      <w:r w:rsidR="005F4D4D">
        <w:t>rising</w:t>
      </w:r>
      <w:r w:rsidR="00380E87">
        <w:t xml:space="preserve"> technolog</w:t>
      </w:r>
      <w:r w:rsidR="005F4D4D">
        <w:t>y</w:t>
      </w:r>
      <w:r w:rsidR="00695232">
        <w:t xml:space="preserve"> including Gauss code</w:t>
      </w:r>
      <w:r w:rsidR="00FC682B">
        <w:t>,</w:t>
      </w:r>
      <w:r w:rsidR="00D732B2">
        <w:t xml:space="preserve"> were implemented</w:t>
      </w:r>
      <w:r w:rsidR="00FC682B">
        <w:t xml:space="preserve"> across Europe</w:t>
      </w:r>
      <w:r w:rsidR="00380E87">
        <w:t xml:space="preserve">. </w:t>
      </w:r>
      <w:r w:rsidR="00B50876">
        <w:t>America’s transition</w:t>
      </w:r>
      <w:r w:rsidR="002410B9">
        <w:t xml:space="preserve"> to Gauss code</w:t>
      </w:r>
      <w:r w:rsidR="00B50876">
        <w:t xml:space="preserve"> </w:t>
      </w:r>
      <w:r w:rsidR="0097542E">
        <w:t>represented</w:t>
      </w:r>
      <w:r w:rsidR="00695232">
        <w:t xml:space="preserve"> its acceptance of the International Telegraph Convention</w:t>
      </w:r>
      <w:r w:rsidR="001E18C6">
        <w:t>. See</w:t>
      </w:r>
      <w:r w:rsidR="004A4616">
        <w:t xml:space="preserve"> Boskov, Henry, </w:t>
      </w:r>
      <w:r w:rsidR="004A4616">
        <w:rPr>
          <w:i/>
          <w:iCs/>
        </w:rPr>
        <w:t>The Rise of Internationalism</w:t>
      </w:r>
      <w:r w:rsidR="004A4616" w:rsidRPr="002E7543">
        <w:rPr>
          <w:i/>
          <w:iCs/>
        </w:rPr>
        <w:t xml:space="preserve">: </w:t>
      </w:r>
      <w:r w:rsidR="00D044AA">
        <w:rPr>
          <w:i/>
          <w:iCs/>
        </w:rPr>
        <w:t>Richard Cobden</w:t>
      </w:r>
      <w:r w:rsidR="00072C8C">
        <w:rPr>
          <w:i/>
          <w:iCs/>
        </w:rPr>
        <w:t>, John Morley</w:t>
      </w:r>
      <w:r w:rsidR="00D044AA">
        <w:rPr>
          <w:i/>
          <w:iCs/>
        </w:rPr>
        <w:t xml:space="preserve"> and</w:t>
      </w:r>
      <w:r w:rsidR="00F03A20">
        <w:rPr>
          <w:i/>
          <w:iCs/>
        </w:rPr>
        <w:t xml:space="preserve"> the Road to the</w:t>
      </w:r>
      <w:r w:rsidR="00DA452E">
        <w:rPr>
          <w:i/>
          <w:iCs/>
        </w:rPr>
        <w:t xml:space="preserve"> International Forum</w:t>
      </w:r>
      <w:r w:rsidR="004A4616">
        <w:t xml:space="preserve"> (</w:t>
      </w:r>
      <w:r w:rsidR="001403B7">
        <w:t xml:space="preserve">2024, </w:t>
      </w:r>
      <w:r w:rsidR="004A4616">
        <w:t>Quiner University)</w:t>
      </w:r>
      <w:r w:rsidR="003A5EC4">
        <w:t xml:space="preserve">. </w:t>
      </w:r>
    </w:p>
  </w:endnote>
  <w:endnote w:id="255">
    <w:p w14:paraId="3147C24F" w14:textId="78382902" w:rsidR="00F1050B" w:rsidRDefault="00F1050B">
      <w:pPr>
        <w:pStyle w:val="EndnoteText"/>
      </w:pPr>
      <w:r>
        <w:rPr>
          <w:rStyle w:val="EndnoteReference"/>
        </w:rPr>
        <w:endnoteRef/>
      </w:r>
      <w:r>
        <w:t xml:space="preserve"> Gauss code was invented by the famed German mathematician Carl Friedrich Gauss</w:t>
      </w:r>
      <w:r w:rsidR="00156437">
        <w:t xml:space="preserve"> in 1821</w:t>
      </w:r>
      <w:r>
        <w:t xml:space="preserve"> </w:t>
      </w:r>
      <w:r w:rsidR="00156437">
        <w:t xml:space="preserve">for his solar telegraph, to encode letters in the form of short and long </w:t>
      </w:r>
      <w:r w:rsidR="00DD09C4">
        <w:t>flashes of sunlight reflected by a mirror.</w:t>
      </w:r>
      <w:r w:rsidR="00D62935">
        <w:t xml:space="preserve"> </w:t>
      </w:r>
      <w:r w:rsidR="00FF29A6">
        <w:t>The popularization of the heliograph on military frontier</w:t>
      </w:r>
      <w:r w:rsidR="00C23A01">
        <w:t>s</w:t>
      </w:r>
      <w:r w:rsidR="00FF29A6">
        <w:t xml:space="preserve"> made this </w:t>
      </w:r>
      <w:proofErr w:type="gramStart"/>
      <w:r w:rsidR="00FF29A6">
        <w:t>internationally-known</w:t>
      </w:r>
      <w:proofErr w:type="gramEnd"/>
      <w:r w:rsidR="00FF29A6">
        <w:t xml:space="preserve">, and though electric telegraph systems used several </w:t>
      </w:r>
      <w:r w:rsidR="00C201BC">
        <w:t xml:space="preserve">different </w:t>
      </w:r>
      <w:r w:rsidR="00FF29A6">
        <w:t>codes</w:t>
      </w:r>
      <w:r w:rsidR="006143E5">
        <w:t>, the use of Gauss code on heliographs made it a natural choice for standardization</w:t>
      </w:r>
      <w:r w:rsidR="00B656B3">
        <w:t xml:space="preserve">. </w:t>
      </w:r>
      <w:r w:rsidR="00C23A01">
        <w:t xml:space="preserve">See </w:t>
      </w:r>
      <w:proofErr w:type="spellStart"/>
      <w:r w:rsidR="00951765" w:rsidRPr="00951765">
        <w:t>Wiercinska</w:t>
      </w:r>
      <w:proofErr w:type="spellEnd"/>
      <w:r w:rsidR="00C23A01">
        <w:t xml:space="preserve">, </w:t>
      </w:r>
      <w:r w:rsidR="00951765">
        <w:t xml:space="preserve">Karl, </w:t>
      </w:r>
      <w:r w:rsidR="00951765" w:rsidRPr="006578CD">
        <w:rPr>
          <w:i/>
          <w:iCs/>
        </w:rPr>
        <w:t xml:space="preserve">The Telegraph in </w:t>
      </w:r>
      <w:r w:rsidR="008E591A">
        <w:rPr>
          <w:i/>
          <w:iCs/>
        </w:rPr>
        <w:t xml:space="preserve">Central European History </w:t>
      </w:r>
      <w:r w:rsidR="006353C4">
        <w:t xml:space="preserve">(2001, </w:t>
      </w:r>
      <w:proofErr w:type="spellStart"/>
      <w:r w:rsidR="00C273DB" w:rsidRPr="00C273DB">
        <w:t>Königliche</w:t>
      </w:r>
      <w:proofErr w:type="spellEnd"/>
      <w:r w:rsidR="00C273DB" w:rsidRPr="00C273DB">
        <w:t xml:space="preserve"> Friedrich-Wilhelms-Universität </w:t>
      </w:r>
      <w:proofErr w:type="spellStart"/>
      <w:r w:rsidR="00C273DB" w:rsidRPr="00C273DB">
        <w:t>zu</w:t>
      </w:r>
      <w:proofErr w:type="spellEnd"/>
      <w:r w:rsidR="00C273DB" w:rsidRPr="00C273DB">
        <w:t xml:space="preserve"> Berlin</w:t>
      </w:r>
      <w:r w:rsidR="00C273DB">
        <w:t xml:space="preserve">). </w:t>
      </w:r>
    </w:p>
  </w:endnote>
  <w:endnote w:id="256">
    <w:p w14:paraId="245904C4" w14:textId="6DECE319" w:rsidR="00D04C21" w:rsidRDefault="00D04C21">
      <w:pPr>
        <w:pStyle w:val="EndnoteText"/>
      </w:pPr>
      <w:r>
        <w:rPr>
          <w:rStyle w:val="EndnoteReference"/>
        </w:rPr>
        <w:endnoteRef/>
      </w:r>
      <w:r>
        <w:t xml:space="preserve"> </w:t>
      </w:r>
      <w:r w:rsidRPr="00D04C21">
        <w:t xml:space="preserve">Blanchet, Bess. </w:t>
      </w:r>
      <w:r w:rsidRPr="00716CE0">
        <w:rPr>
          <w:i/>
          <w:iCs/>
        </w:rPr>
        <w:t>Too Large for an Insane Asylum: Antebellum South Carolina and Her Society</w:t>
      </w:r>
      <w:r w:rsidRPr="00D04C21">
        <w:t xml:space="preserve">. </w:t>
      </w:r>
      <w:r>
        <w:t>(</w:t>
      </w:r>
      <w:r w:rsidRPr="00D04C21">
        <w:t>2013</w:t>
      </w:r>
      <w:r>
        <w:t xml:space="preserve">, </w:t>
      </w:r>
      <w:r w:rsidRPr="00D04C21">
        <w:t>Library of Alexandria Publishing</w:t>
      </w:r>
      <w:r>
        <w:t xml:space="preserve">). </w:t>
      </w:r>
    </w:p>
  </w:endnote>
  <w:endnote w:id="257">
    <w:p w14:paraId="500176EC" w14:textId="2CB2F072" w:rsidR="000006A6" w:rsidRDefault="000006A6">
      <w:pPr>
        <w:pStyle w:val="EndnoteText"/>
      </w:pPr>
      <w:r>
        <w:rPr>
          <w:rStyle w:val="EndnoteReference"/>
        </w:rPr>
        <w:endnoteRef/>
      </w:r>
      <w:r>
        <w:t xml:space="preserve"> </w:t>
      </w:r>
      <w:r w:rsidRPr="00D66035">
        <w:t xml:space="preserve">Library of Alexandria. </w:t>
      </w:r>
      <w:r w:rsidRPr="00D66035">
        <w:rPr>
          <w:i/>
          <w:iCs/>
        </w:rPr>
        <w:t>Alexandria Atlas of Elections, 10ed</w:t>
      </w:r>
      <w:r w:rsidRPr="00D66035">
        <w:t xml:space="preserve">. </w:t>
      </w:r>
      <w:r>
        <w:t xml:space="preserve">(2011, </w:t>
      </w:r>
      <w:r w:rsidRPr="00D66035">
        <w:t>Library of Alexandria</w:t>
      </w:r>
      <w:r>
        <w:t>)</w:t>
      </w:r>
      <w:r w:rsidRPr="00D66035">
        <w:t>.</w:t>
      </w:r>
    </w:p>
  </w:endnote>
  <w:endnote w:id="258">
    <w:p w14:paraId="293F5ADD" w14:textId="61CB1001" w:rsidR="000B000D" w:rsidRDefault="000B000D">
      <w:pPr>
        <w:pStyle w:val="EndnoteText"/>
      </w:pPr>
      <w:r>
        <w:rPr>
          <w:rStyle w:val="EndnoteReference"/>
        </w:rPr>
        <w:endnoteRef/>
      </w:r>
      <w:r>
        <w:t xml:space="preserve"> Most of this narrative comes from </w:t>
      </w:r>
      <w:r w:rsidR="00DC49BA">
        <w:t xml:space="preserve">Golding, Tim, </w:t>
      </w:r>
      <w:r w:rsidR="00DC49BA" w:rsidRPr="00AF4CAA">
        <w:rPr>
          <w:i/>
          <w:iCs/>
        </w:rPr>
        <w:t xml:space="preserve">The </w:t>
      </w:r>
      <w:r w:rsidR="00DC49BA">
        <w:rPr>
          <w:i/>
          <w:iCs/>
        </w:rPr>
        <w:t>Grey Man</w:t>
      </w:r>
      <w:r w:rsidR="00DC49BA" w:rsidRPr="00AF4CAA">
        <w:rPr>
          <w:i/>
          <w:iCs/>
        </w:rPr>
        <w:t xml:space="preserve">: </w:t>
      </w:r>
      <w:r w:rsidR="00DC49BA">
        <w:rPr>
          <w:i/>
          <w:iCs/>
        </w:rPr>
        <w:t>The Life and Times of William Walker</w:t>
      </w:r>
      <w:r w:rsidR="00DC49BA">
        <w:t xml:space="preserve"> (2017, University of Jamaica).</w:t>
      </w:r>
    </w:p>
  </w:endnote>
  <w:endnote w:id="259">
    <w:p w14:paraId="4EA57F21" w14:textId="0B920A12" w:rsidR="004251E2" w:rsidRDefault="004251E2">
      <w:pPr>
        <w:pStyle w:val="EndnoteText"/>
      </w:pPr>
      <w:r>
        <w:rPr>
          <w:rStyle w:val="EndnoteReference"/>
        </w:rPr>
        <w:endnoteRef/>
      </w:r>
      <w:r>
        <w:t xml:space="preserve"> Originally admitted as </w:t>
      </w:r>
      <w:r w:rsidR="007A4F2E">
        <w:t xml:space="preserve">West Florida; </w:t>
      </w:r>
      <w:r w:rsidR="00172774">
        <w:t>when re-admitted into the Union in 1884, amalgamated with East Florida</w:t>
      </w:r>
      <w:r w:rsidR="00E17D47">
        <w:t xml:space="preserve"> and subsequently renamed. </w:t>
      </w:r>
    </w:p>
  </w:endnote>
  <w:endnote w:id="260">
    <w:p w14:paraId="3D76BF79" w14:textId="1974A48F" w:rsidR="00B203BD" w:rsidRDefault="00B203BD">
      <w:pPr>
        <w:pStyle w:val="EndnoteText"/>
      </w:pPr>
      <w:r>
        <w:rPr>
          <w:rStyle w:val="EndnoteReference"/>
        </w:rPr>
        <w:endnoteRef/>
      </w:r>
      <w:r>
        <w:t xml:space="preserve"> Estimated by the Library of Alexandria; due to the Liberty and Union War, no census was held.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A774" w14:textId="77777777" w:rsidR="00B117FD" w:rsidRDefault="00B117FD" w:rsidP="009D2A1D">
      <w:r>
        <w:separator/>
      </w:r>
    </w:p>
  </w:footnote>
  <w:footnote w:type="continuationSeparator" w:id="0">
    <w:p w14:paraId="70086183" w14:textId="77777777" w:rsidR="00B117FD" w:rsidRDefault="00B117FD" w:rsidP="009D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826865"/>
      <w:docPartObj>
        <w:docPartGallery w:val="Page Numbers (Top of Page)"/>
        <w:docPartUnique/>
      </w:docPartObj>
    </w:sdtPr>
    <w:sdtEndPr>
      <w:rPr>
        <w:noProof/>
      </w:rPr>
    </w:sdtEndPr>
    <w:sdtContent>
      <w:p w14:paraId="08AA141F" w14:textId="0DDDD34F" w:rsidR="00DF4F27" w:rsidRDefault="00DF4F27" w:rsidP="001E2695">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73DCE"/>
    <w:multiLevelType w:val="hybridMultilevel"/>
    <w:tmpl w:val="47CE1AE4"/>
    <w:lvl w:ilvl="0" w:tplc="AB2EA9EC">
      <w:start w:val="1"/>
      <w:numFmt w:val="decimal"/>
      <w:lvlText w:val="%1."/>
      <w:lvlJc w:val="left"/>
      <w:pPr>
        <w:ind w:left="388" w:hanging="360"/>
      </w:pPr>
      <w:rPr>
        <w:rFonts w:hint="default"/>
      </w:rPr>
    </w:lvl>
    <w:lvl w:ilvl="1" w:tplc="10090019" w:tentative="1">
      <w:start w:val="1"/>
      <w:numFmt w:val="lowerLetter"/>
      <w:lvlText w:val="%2."/>
      <w:lvlJc w:val="left"/>
      <w:pPr>
        <w:ind w:left="1108" w:hanging="360"/>
      </w:pPr>
    </w:lvl>
    <w:lvl w:ilvl="2" w:tplc="1009001B" w:tentative="1">
      <w:start w:val="1"/>
      <w:numFmt w:val="lowerRoman"/>
      <w:lvlText w:val="%3."/>
      <w:lvlJc w:val="right"/>
      <w:pPr>
        <w:ind w:left="1828" w:hanging="180"/>
      </w:pPr>
    </w:lvl>
    <w:lvl w:ilvl="3" w:tplc="1009000F" w:tentative="1">
      <w:start w:val="1"/>
      <w:numFmt w:val="decimal"/>
      <w:lvlText w:val="%4."/>
      <w:lvlJc w:val="left"/>
      <w:pPr>
        <w:ind w:left="2548" w:hanging="360"/>
      </w:pPr>
    </w:lvl>
    <w:lvl w:ilvl="4" w:tplc="10090019" w:tentative="1">
      <w:start w:val="1"/>
      <w:numFmt w:val="lowerLetter"/>
      <w:lvlText w:val="%5."/>
      <w:lvlJc w:val="left"/>
      <w:pPr>
        <w:ind w:left="3268" w:hanging="360"/>
      </w:pPr>
    </w:lvl>
    <w:lvl w:ilvl="5" w:tplc="1009001B" w:tentative="1">
      <w:start w:val="1"/>
      <w:numFmt w:val="lowerRoman"/>
      <w:lvlText w:val="%6."/>
      <w:lvlJc w:val="right"/>
      <w:pPr>
        <w:ind w:left="3988" w:hanging="180"/>
      </w:pPr>
    </w:lvl>
    <w:lvl w:ilvl="6" w:tplc="1009000F" w:tentative="1">
      <w:start w:val="1"/>
      <w:numFmt w:val="decimal"/>
      <w:lvlText w:val="%7."/>
      <w:lvlJc w:val="left"/>
      <w:pPr>
        <w:ind w:left="4708" w:hanging="360"/>
      </w:pPr>
    </w:lvl>
    <w:lvl w:ilvl="7" w:tplc="10090019" w:tentative="1">
      <w:start w:val="1"/>
      <w:numFmt w:val="lowerLetter"/>
      <w:lvlText w:val="%8."/>
      <w:lvlJc w:val="left"/>
      <w:pPr>
        <w:ind w:left="5428" w:hanging="360"/>
      </w:pPr>
    </w:lvl>
    <w:lvl w:ilvl="8" w:tplc="1009001B" w:tentative="1">
      <w:start w:val="1"/>
      <w:numFmt w:val="lowerRoman"/>
      <w:lvlText w:val="%9."/>
      <w:lvlJc w:val="right"/>
      <w:pPr>
        <w:ind w:left="6148" w:hanging="180"/>
      </w:pPr>
    </w:lvl>
  </w:abstractNum>
  <w:abstractNum w:abstractNumId="1" w15:restartNumberingAfterBreak="0">
    <w:nsid w:val="7B716633"/>
    <w:multiLevelType w:val="hybridMultilevel"/>
    <w:tmpl w:val="E66E9726"/>
    <w:lvl w:ilvl="0" w:tplc="898095D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1060248">
    <w:abstractNumId w:val="1"/>
  </w:num>
  <w:num w:numId="2" w16cid:durableId="39262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1A"/>
    <w:rsid w:val="00000533"/>
    <w:rsid w:val="000005E1"/>
    <w:rsid w:val="000006A6"/>
    <w:rsid w:val="00000E15"/>
    <w:rsid w:val="00000EBD"/>
    <w:rsid w:val="0000110E"/>
    <w:rsid w:val="0000135F"/>
    <w:rsid w:val="0000138D"/>
    <w:rsid w:val="00001690"/>
    <w:rsid w:val="000018CF"/>
    <w:rsid w:val="00001BDD"/>
    <w:rsid w:val="00001D1F"/>
    <w:rsid w:val="00001D50"/>
    <w:rsid w:val="00001F06"/>
    <w:rsid w:val="000022B9"/>
    <w:rsid w:val="0000275D"/>
    <w:rsid w:val="0000278E"/>
    <w:rsid w:val="00002D3F"/>
    <w:rsid w:val="000030AF"/>
    <w:rsid w:val="00003101"/>
    <w:rsid w:val="00003534"/>
    <w:rsid w:val="000036D8"/>
    <w:rsid w:val="00003CFF"/>
    <w:rsid w:val="00003D70"/>
    <w:rsid w:val="00003E97"/>
    <w:rsid w:val="00004656"/>
    <w:rsid w:val="0000481D"/>
    <w:rsid w:val="0000491C"/>
    <w:rsid w:val="00004DC8"/>
    <w:rsid w:val="00004E60"/>
    <w:rsid w:val="00004FE5"/>
    <w:rsid w:val="00005390"/>
    <w:rsid w:val="00005D53"/>
    <w:rsid w:val="00005FEA"/>
    <w:rsid w:val="00005FEB"/>
    <w:rsid w:val="0000652F"/>
    <w:rsid w:val="00006716"/>
    <w:rsid w:val="00006737"/>
    <w:rsid w:val="00006A31"/>
    <w:rsid w:val="00006B27"/>
    <w:rsid w:val="00007127"/>
    <w:rsid w:val="000072BC"/>
    <w:rsid w:val="000072D9"/>
    <w:rsid w:val="00007719"/>
    <w:rsid w:val="00007C8C"/>
    <w:rsid w:val="00010553"/>
    <w:rsid w:val="00010D5A"/>
    <w:rsid w:val="00010D6C"/>
    <w:rsid w:val="00010E93"/>
    <w:rsid w:val="00011319"/>
    <w:rsid w:val="0001160C"/>
    <w:rsid w:val="00011814"/>
    <w:rsid w:val="0001188A"/>
    <w:rsid w:val="000118BD"/>
    <w:rsid w:val="00011923"/>
    <w:rsid w:val="00011BD3"/>
    <w:rsid w:val="00011D1D"/>
    <w:rsid w:val="00011D9D"/>
    <w:rsid w:val="00011E21"/>
    <w:rsid w:val="000120B0"/>
    <w:rsid w:val="00012538"/>
    <w:rsid w:val="000126AE"/>
    <w:rsid w:val="0001273B"/>
    <w:rsid w:val="000127C5"/>
    <w:rsid w:val="00012A86"/>
    <w:rsid w:val="00012B7B"/>
    <w:rsid w:val="00012E09"/>
    <w:rsid w:val="0001319A"/>
    <w:rsid w:val="000132D9"/>
    <w:rsid w:val="000135C0"/>
    <w:rsid w:val="000135E4"/>
    <w:rsid w:val="00013BC7"/>
    <w:rsid w:val="00013E59"/>
    <w:rsid w:val="00013F6B"/>
    <w:rsid w:val="00014110"/>
    <w:rsid w:val="0001432D"/>
    <w:rsid w:val="00014743"/>
    <w:rsid w:val="00015011"/>
    <w:rsid w:val="00015221"/>
    <w:rsid w:val="0001528F"/>
    <w:rsid w:val="00015D36"/>
    <w:rsid w:val="0001607F"/>
    <w:rsid w:val="000163CF"/>
    <w:rsid w:val="00016FED"/>
    <w:rsid w:val="0001705D"/>
    <w:rsid w:val="00017635"/>
    <w:rsid w:val="0001783C"/>
    <w:rsid w:val="00017848"/>
    <w:rsid w:val="00017AE8"/>
    <w:rsid w:val="00017D9D"/>
    <w:rsid w:val="0002007C"/>
    <w:rsid w:val="00020422"/>
    <w:rsid w:val="00020622"/>
    <w:rsid w:val="000208C7"/>
    <w:rsid w:val="00020ADE"/>
    <w:rsid w:val="00020C77"/>
    <w:rsid w:val="000214B4"/>
    <w:rsid w:val="000217DC"/>
    <w:rsid w:val="00021AC2"/>
    <w:rsid w:val="00021C29"/>
    <w:rsid w:val="00021C90"/>
    <w:rsid w:val="00021CAD"/>
    <w:rsid w:val="00022244"/>
    <w:rsid w:val="00022569"/>
    <w:rsid w:val="000229DE"/>
    <w:rsid w:val="00022E30"/>
    <w:rsid w:val="00022FD0"/>
    <w:rsid w:val="00023941"/>
    <w:rsid w:val="00023D86"/>
    <w:rsid w:val="00023FBE"/>
    <w:rsid w:val="000241C7"/>
    <w:rsid w:val="000241D2"/>
    <w:rsid w:val="0002423F"/>
    <w:rsid w:val="000244C2"/>
    <w:rsid w:val="00024601"/>
    <w:rsid w:val="00024859"/>
    <w:rsid w:val="00024CD8"/>
    <w:rsid w:val="00024DEC"/>
    <w:rsid w:val="00025245"/>
    <w:rsid w:val="00025425"/>
    <w:rsid w:val="00025953"/>
    <w:rsid w:val="00025B5F"/>
    <w:rsid w:val="00025C03"/>
    <w:rsid w:val="00025EF3"/>
    <w:rsid w:val="00026785"/>
    <w:rsid w:val="00026821"/>
    <w:rsid w:val="000268D1"/>
    <w:rsid w:val="00026ACC"/>
    <w:rsid w:val="00027280"/>
    <w:rsid w:val="00027286"/>
    <w:rsid w:val="000273C5"/>
    <w:rsid w:val="000274F6"/>
    <w:rsid w:val="00027671"/>
    <w:rsid w:val="000277F6"/>
    <w:rsid w:val="0002795B"/>
    <w:rsid w:val="000279CE"/>
    <w:rsid w:val="00027C55"/>
    <w:rsid w:val="00030435"/>
    <w:rsid w:val="000304D8"/>
    <w:rsid w:val="00030B07"/>
    <w:rsid w:val="00030BDD"/>
    <w:rsid w:val="00030E7E"/>
    <w:rsid w:val="00030FE9"/>
    <w:rsid w:val="00031689"/>
    <w:rsid w:val="00031D2A"/>
    <w:rsid w:val="00031E17"/>
    <w:rsid w:val="00031E30"/>
    <w:rsid w:val="0003218A"/>
    <w:rsid w:val="0003222E"/>
    <w:rsid w:val="00032587"/>
    <w:rsid w:val="00032A34"/>
    <w:rsid w:val="00032A39"/>
    <w:rsid w:val="00032CD2"/>
    <w:rsid w:val="00032D58"/>
    <w:rsid w:val="00032F34"/>
    <w:rsid w:val="00033503"/>
    <w:rsid w:val="00033705"/>
    <w:rsid w:val="00033AC2"/>
    <w:rsid w:val="00033F47"/>
    <w:rsid w:val="000342D0"/>
    <w:rsid w:val="00034BA9"/>
    <w:rsid w:val="00034D7F"/>
    <w:rsid w:val="0003509A"/>
    <w:rsid w:val="00035D31"/>
    <w:rsid w:val="00035E4E"/>
    <w:rsid w:val="000360D7"/>
    <w:rsid w:val="00036320"/>
    <w:rsid w:val="00036343"/>
    <w:rsid w:val="00036CCB"/>
    <w:rsid w:val="00036DCB"/>
    <w:rsid w:val="00036F53"/>
    <w:rsid w:val="000376B6"/>
    <w:rsid w:val="00037805"/>
    <w:rsid w:val="00037A9C"/>
    <w:rsid w:val="00037CA9"/>
    <w:rsid w:val="00037CC8"/>
    <w:rsid w:val="00037DD9"/>
    <w:rsid w:val="00037F1F"/>
    <w:rsid w:val="00040182"/>
    <w:rsid w:val="000403B3"/>
    <w:rsid w:val="00040419"/>
    <w:rsid w:val="00040806"/>
    <w:rsid w:val="000408A0"/>
    <w:rsid w:val="00040B01"/>
    <w:rsid w:val="00040B8C"/>
    <w:rsid w:val="0004108E"/>
    <w:rsid w:val="000411BC"/>
    <w:rsid w:val="00041224"/>
    <w:rsid w:val="00041463"/>
    <w:rsid w:val="0004180F"/>
    <w:rsid w:val="00041CC0"/>
    <w:rsid w:val="00041DAF"/>
    <w:rsid w:val="00041FD2"/>
    <w:rsid w:val="000423B1"/>
    <w:rsid w:val="000424A8"/>
    <w:rsid w:val="0004269C"/>
    <w:rsid w:val="00042C20"/>
    <w:rsid w:val="0004309F"/>
    <w:rsid w:val="000436F4"/>
    <w:rsid w:val="00043F26"/>
    <w:rsid w:val="00044682"/>
    <w:rsid w:val="00044684"/>
    <w:rsid w:val="000451D4"/>
    <w:rsid w:val="00045309"/>
    <w:rsid w:val="0004533A"/>
    <w:rsid w:val="000456C4"/>
    <w:rsid w:val="00045828"/>
    <w:rsid w:val="00045841"/>
    <w:rsid w:val="00045A9A"/>
    <w:rsid w:val="00045DD6"/>
    <w:rsid w:val="00045F71"/>
    <w:rsid w:val="0004629A"/>
    <w:rsid w:val="0004656D"/>
    <w:rsid w:val="000465DC"/>
    <w:rsid w:val="0004681E"/>
    <w:rsid w:val="0004696A"/>
    <w:rsid w:val="00046BB4"/>
    <w:rsid w:val="00046C7B"/>
    <w:rsid w:val="00046FF3"/>
    <w:rsid w:val="00047099"/>
    <w:rsid w:val="000477F3"/>
    <w:rsid w:val="0004788C"/>
    <w:rsid w:val="00047A9C"/>
    <w:rsid w:val="00047B6B"/>
    <w:rsid w:val="00050025"/>
    <w:rsid w:val="00050566"/>
    <w:rsid w:val="000505D0"/>
    <w:rsid w:val="00050763"/>
    <w:rsid w:val="00050B96"/>
    <w:rsid w:val="00050DBA"/>
    <w:rsid w:val="00051764"/>
    <w:rsid w:val="00051813"/>
    <w:rsid w:val="00051A4B"/>
    <w:rsid w:val="00051BE9"/>
    <w:rsid w:val="00051DA0"/>
    <w:rsid w:val="00052058"/>
    <w:rsid w:val="000522F6"/>
    <w:rsid w:val="000524C3"/>
    <w:rsid w:val="000524D8"/>
    <w:rsid w:val="00052698"/>
    <w:rsid w:val="00052D54"/>
    <w:rsid w:val="0005315D"/>
    <w:rsid w:val="00053472"/>
    <w:rsid w:val="00053478"/>
    <w:rsid w:val="0005348B"/>
    <w:rsid w:val="00053A62"/>
    <w:rsid w:val="00053E2B"/>
    <w:rsid w:val="00053FA1"/>
    <w:rsid w:val="0005504B"/>
    <w:rsid w:val="000552FE"/>
    <w:rsid w:val="0005565C"/>
    <w:rsid w:val="000557E5"/>
    <w:rsid w:val="00055815"/>
    <w:rsid w:val="000564BA"/>
    <w:rsid w:val="000565E4"/>
    <w:rsid w:val="00056C7A"/>
    <w:rsid w:val="00056DCD"/>
    <w:rsid w:val="00056E8E"/>
    <w:rsid w:val="00057579"/>
    <w:rsid w:val="00057815"/>
    <w:rsid w:val="00057BB0"/>
    <w:rsid w:val="0006012C"/>
    <w:rsid w:val="000604AC"/>
    <w:rsid w:val="00060BE8"/>
    <w:rsid w:val="00061106"/>
    <w:rsid w:val="000612CF"/>
    <w:rsid w:val="00061635"/>
    <w:rsid w:val="00061871"/>
    <w:rsid w:val="000618EB"/>
    <w:rsid w:val="00061BBC"/>
    <w:rsid w:val="00062215"/>
    <w:rsid w:val="00062571"/>
    <w:rsid w:val="00062612"/>
    <w:rsid w:val="00062964"/>
    <w:rsid w:val="00063024"/>
    <w:rsid w:val="000635E8"/>
    <w:rsid w:val="00063FF7"/>
    <w:rsid w:val="00064087"/>
    <w:rsid w:val="0006453F"/>
    <w:rsid w:val="000647F0"/>
    <w:rsid w:val="000648A1"/>
    <w:rsid w:val="0006497C"/>
    <w:rsid w:val="00064CAF"/>
    <w:rsid w:val="00064F08"/>
    <w:rsid w:val="00064FA9"/>
    <w:rsid w:val="00065462"/>
    <w:rsid w:val="00065819"/>
    <w:rsid w:val="00065CAF"/>
    <w:rsid w:val="00065CC0"/>
    <w:rsid w:val="00065DE3"/>
    <w:rsid w:val="00065F69"/>
    <w:rsid w:val="00066055"/>
    <w:rsid w:val="000660FB"/>
    <w:rsid w:val="000661FA"/>
    <w:rsid w:val="00066245"/>
    <w:rsid w:val="00066A7A"/>
    <w:rsid w:val="00066B70"/>
    <w:rsid w:val="00066BE8"/>
    <w:rsid w:val="0006720A"/>
    <w:rsid w:val="000672A8"/>
    <w:rsid w:val="0006778A"/>
    <w:rsid w:val="000679D0"/>
    <w:rsid w:val="00067CF5"/>
    <w:rsid w:val="00067E36"/>
    <w:rsid w:val="00067EF5"/>
    <w:rsid w:val="00070483"/>
    <w:rsid w:val="00070B33"/>
    <w:rsid w:val="00070E3A"/>
    <w:rsid w:val="00070E6F"/>
    <w:rsid w:val="00070F30"/>
    <w:rsid w:val="00071038"/>
    <w:rsid w:val="0007109A"/>
    <w:rsid w:val="000711CF"/>
    <w:rsid w:val="000713FE"/>
    <w:rsid w:val="00071E0B"/>
    <w:rsid w:val="000725D5"/>
    <w:rsid w:val="000726D3"/>
    <w:rsid w:val="00072C8C"/>
    <w:rsid w:val="00072C90"/>
    <w:rsid w:val="00072CCA"/>
    <w:rsid w:val="00072CEB"/>
    <w:rsid w:val="00072CF1"/>
    <w:rsid w:val="00072F2F"/>
    <w:rsid w:val="00073197"/>
    <w:rsid w:val="00073723"/>
    <w:rsid w:val="000738C1"/>
    <w:rsid w:val="000738F9"/>
    <w:rsid w:val="00073CA8"/>
    <w:rsid w:val="00073FD1"/>
    <w:rsid w:val="00074520"/>
    <w:rsid w:val="00074588"/>
    <w:rsid w:val="000745A3"/>
    <w:rsid w:val="0007486E"/>
    <w:rsid w:val="00074CE9"/>
    <w:rsid w:val="000750D2"/>
    <w:rsid w:val="000752A7"/>
    <w:rsid w:val="0007540B"/>
    <w:rsid w:val="000755E6"/>
    <w:rsid w:val="000756E4"/>
    <w:rsid w:val="00075982"/>
    <w:rsid w:val="00075F9E"/>
    <w:rsid w:val="0007622E"/>
    <w:rsid w:val="000762CF"/>
    <w:rsid w:val="00076D9A"/>
    <w:rsid w:val="00076E9D"/>
    <w:rsid w:val="00076FA5"/>
    <w:rsid w:val="000773D2"/>
    <w:rsid w:val="00077649"/>
    <w:rsid w:val="00077C5A"/>
    <w:rsid w:val="00077ED2"/>
    <w:rsid w:val="00077F1B"/>
    <w:rsid w:val="00080004"/>
    <w:rsid w:val="00080FC6"/>
    <w:rsid w:val="00081D51"/>
    <w:rsid w:val="00081E6D"/>
    <w:rsid w:val="00081F24"/>
    <w:rsid w:val="00082291"/>
    <w:rsid w:val="000822DF"/>
    <w:rsid w:val="00082608"/>
    <w:rsid w:val="000827F8"/>
    <w:rsid w:val="00082A59"/>
    <w:rsid w:val="00082ACE"/>
    <w:rsid w:val="00082B16"/>
    <w:rsid w:val="00082BDE"/>
    <w:rsid w:val="00082C03"/>
    <w:rsid w:val="00082E95"/>
    <w:rsid w:val="00082FAB"/>
    <w:rsid w:val="000830EC"/>
    <w:rsid w:val="00083361"/>
    <w:rsid w:val="000833B3"/>
    <w:rsid w:val="000833BB"/>
    <w:rsid w:val="00084AE6"/>
    <w:rsid w:val="000854E5"/>
    <w:rsid w:val="0008562C"/>
    <w:rsid w:val="00085752"/>
    <w:rsid w:val="000859C0"/>
    <w:rsid w:val="00085A8D"/>
    <w:rsid w:val="00085AAD"/>
    <w:rsid w:val="00085D7E"/>
    <w:rsid w:val="00085DC7"/>
    <w:rsid w:val="00086077"/>
    <w:rsid w:val="00086364"/>
    <w:rsid w:val="00086601"/>
    <w:rsid w:val="000866B1"/>
    <w:rsid w:val="000868FD"/>
    <w:rsid w:val="000869C7"/>
    <w:rsid w:val="00086BA4"/>
    <w:rsid w:val="00086E2F"/>
    <w:rsid w:val="000872F3"/>
    <w:rsid w:val="00087C89"/>
    <w:rsid w:val="00087D50"/>
    <w:rsid w:val="0009006E"/>
    <w:rsid w:val="0009032A"/>
    <w:rsid w:val="00090720"/>
    <w:rsid w:val="000909A2"/>
    <w:rsid w:val="00090B8F"/>
    <w:rsid w:val="00090C2B"/>
    <w:rsid w:val="00090DF3"/>
    <w:rsid w:val="00090F8F"/>
    <w:rsid w:val="00090FF4"/>
    <w:rsid w:val="000915E8"/>
    <w:rsid w:val="000916EA"/>
    <w:rsid w:val="00091957"/>
    <w:rsid w:val="000919FA"/>
    <w:rsid w:val="00091BE6"/>
    <w:rsid w:val="00091C39"/>
    <w:rsid w:val="00091FB9"/>
    <w:rsid w:val="00092836"/>
    <w:rsid w:val="00093525"/>
    <w:rsid w:val="00093634"/>
    <w:rsid w:val="000936FA"/>
    <w:rsid w:val="000939CF"/>
    <w:rsid w:val="00093B23"/>
    <w:rsid w:val="00093B96"/>
    <w:rsid w:val="0009415E"/>
    <w:rsid w:val="000941C2"/>
    <w:rsid w:val="00094A77"/>
    <w:rsid w:val="00094B69"/>
    <w:rsid w:val="0009591A"/>
    <w:rsid w:val="00095A40"/>
    <w:rsid w:val="00095FD1"/>
    <w:rsid w:val="00096642"/>
    <w:rsid w:val="00096651"/>
    <w:rsid w:val="000967FB"/>
    <w:rsid w:val="00096A21"/>
    <w:rsid w:val="00097A10"/>
    <w:rsid w:val="00097BC6"/>
    <w:rsid w:val="00097E42"/>
    <w:rsid w:val="000A02FD"/>
    <w:rsid w:val="000A047A"/>
    <w:rsid w:val="000A090B"/>
    <w:rsid w:val="000A0A72"/>
    <w:rsid w:val="000A0C80"/>
    <w:rsid w:val="000A0D9F"/>
    <w:rsid w:val="000A18C6"/>
    <w:rsid w:val="000A22B5"/>
    <w:rsid w:val="000A2300"/>
    <w:rsid w:val="000A2342"/>
    <w:rsid w:val="000A2418"/>
    <w:rsid w:val="000A25A8"/>
    <w:rsid w:val="000A2786"/>
    <w:rsid w:val="000A2938"/>
    <w:rsid w:val="000A2AEE"/>
    <w:rsid w:val="000A2D51"/>
    <w:rsid w:val="000A2DA0"/>
    <w:rsid w:val="000A2FA8"/>
    <w:rsid w:val="000A32A9"/>
    <w:rsid w:val="000A3733"/>
    <w:rsid w:val="000A3C26"/>
    <w:rsid w:val="000A3C71"/>
    <w:rsid w:val="000A3FBC"/>
    <w:rsid w:val="000A4D18"/>
    <w:rsid w:val="000A4DDF"/>
    <w:rsid w:val="000A4E21"/>
    <w:rsid w:val="000A5173"/>
    <w:rsid w:val="000A5F12"/>
    <w:rsid w:val="000A6291"/>
    <w:rsid w:val="000A65AC"/>
    <w:rsid w:val="000A6BD2"/>
    <w:rsid w:val="000A6FDD"/>
    <w:rsid w:val="000A7265"/>
    <w:rsid w:val="000A7308"/>
    <w:rsid w:val="000A753B"/>
    <w:rsid w:val="000A762A"/>
    <w:rsid w:val="000A77AA"/>
    <w:rsid w:val="000A781E"/>
    <w:rsid w:val="000A7E8B"/>
    <w:rsid w:val="000B000D"/>
    <w:rsid w:val="000B02BB"/>
    <w:rsid w:val="000B030A"/>
    <w:rsid w:val="000B03C8"/>
    <w:rsid w:val="000B0780"/>
    <w:rsid w:val="000B0819"/>
    <w:rsid w:val="000B0C70"/>
    <w:rsid w:val="000B0EDC"/>
    <w:rsid w:val="000B1132"/>
    <w:rsid w:val="000B1782"/>
    <w:rsid w:val="000B1966"/>
    <w:rsid w:val="000B1CDC"/>
    <w:rsid w:val="000B205D"/>
    <w:rsid w:val="000B22FC"/>
    <w:rsid w:val="000B2555"/>
    <w:rsid w:val="000B26BB"/>
    <w:rsid w:val="000B2873"/>
    <w:rsid w:val="000B292A"/>
    <w:rsid w:val="000B2B88"/>
    <w:rsid w:val="000B2E9F"/>
    <w:rsid w:val="000B3169"/>
    <w:rsid w:val="000B3770"/>
    <w:rsid w:val="000B381A"/>
    <w:rsid w:val="000B42E9"/>
    <w:rsid w:val="000B453E"/>
    <w:rsid w:val="000B4CD5"/>
    <w:rsid w:val="000B4D57"/>
    <w:rsid w:val="000B4FE9"/>
    <w:rsid w:val="000B54A8"/>
    <w:rsid w:val="000B5A6E"/>
    <w:rsid w:val="000B5BF3"/>
    <w:rsid w:val="000B5F6F"/>
    <w:rsid w:val="000B62E1"/>
    <w:rsid w:val="000B653B"/>
    <w:rsid w:val="000B65AC"/>
    <w:rsid w:val="000B65FE"/>
    <w:rsid w:val="000B6844"/>
    <w:rsid w:val="000B6AD8"/>
    <w:rsid w:val="000B6BF6"/>
    <w:rsid w:val="000B6E51"/>
    <w:rsid w:val="000B741E"/>
    <w:rsid w:val="000B78BE"/>
    <w:rsid w:val="000B7F49"/>
    <w:rsid w:val="000C061B"/>
    <w:rsid w:val="000C079E"/>
    <w:rsid w:val="000C0A65"/>
    <w:rsid w:val="000C0CE6"/>
    <w:rsid w:val="000C0D32"/>
    <w:rsid w:val="000C15EC"/>
    <w:rsid w:val="000C1C2C"/>
    <w:rsid w:val="000C1DD2"/>
    <w:rsid w:val="000C1E9B"/>
    <w:rsid w:val="000C2293"/>
    <w:rsid w:val="000C2566"/>
    <w:rsid w:val="000C291D"/>
    <w:rsid w:val="000C3041"/>
    <w:rsid w:val="000C3086"/>
    <w:rsid w:val="000C31B6"/>
    <w:rsid w:val="000C3608"/>
    <w:rsid w:val="000C39E3"/>
    <w:rsid w:val="000C3B1E"/>
    <w:rsid w:val="000C3CDF"/>
    <w:rsid w:val="000C4480"/>
    <w:rsid w:val="000C4765"/>
    <w:rsid w:val="000C50CF"/>
    <w:rsid w:val="000C510D"/>
    <w:rsid w:val="000C521A"/>
    <w:rsid w:val="000C5816"/>
    <w:rsid w:val="000C5DBD"/>
    <w:rsid w:val="000C607D"/>
    <w:rsid w:val="000C62BF"/>
    <w:rsid w:val="000C63EB"/>
    <w:rsid w:val="000C64DE"/>
    <w:rsid w:val="000C664C"/>
    <w:rsid w:val="000C696C"/>
    <w:rsid w:val="000C7266"/>
    <w:rsid w:val="000C74E3"/>
    <w:rsid w:val="000C7A36"/>
    <w:rsid w:val="000C7C9B"/>
    <w:rsid w:val="000D0288"/>
    <w:rsid w:val="000D034A"/>
    <w:rsid w:val="000D0488"/>
    <w:rsid w:val="000D04D2"/>
    <w:rsid w:val="000D07C6"/>
    <w:rsid w:val="000D0B9C"/>
    <w:rsid w:val="000D13EE"/>
    <w:rsid w:val="000D17BD"/>
    <w:rsid w:val="000D1876"/>
    <w:rsid w:val="000D1909"/>
    <w:rsid w:val="000D210E"/>
    <w:rsid w:val="000D214C"/>
    <w:rsid w:val="000D2418"/>
    <w:rsid w:val="000D24F0"/>
    <w:rsid w:val="000D24FA"/>
    <w:rsid w:val="000D25A6"/>
    <w:rsid w:val="000D2707"/>
    <w:rsid w:val="000D270F"/>
    <w:rsid w:val="000D2AFA"/>
    <w:rsid w:val="000D2C47"/>
    <w:rsid w:val="000D2C71"/>
    <w:rsid w:val="000D2D7C"/>
    <w:rsid w:val="000D3983"/>
    <w:rsid w:val="000D3CEE"/>
    <w:rsid w:val="000D3E6B"/>
    <w:rsid w:val="000D3ECD"/>
    <w:rsid w:val="000D4018"/>
    <w:rsid w:val="000D4023"/>
    <w:rsid w:val="000D4E0B"/>
    <w:rsid w:val="000D515F"/>
    <w:rsid w:val="000D51E0"/>
    <w:rsid w:val="000D55E8"/>
    <w:rsid w:val="000D55EB"/>
    <w:rsid w:val="000D590C"/>
    <w:rsid w:val="000D60DD"/>
    <w:rsid w:val="000D63C3"/>
    <w:rsid w:val="000D64A7"/>
    <w:rsid w:val="000D6754"/>
    <w:rsid w:val="000D6915"/>
    <w:rsid w:val="000D767B"/>
    <w:rsid w:val="000D7DE4"/>
    <w:rsid w:val="000E0229"/>
    <w:rsid w:val="000E02F4"/>
    <w:rsid w:val="000E0777"/>
    <w:rsid w:val="000E09EE"/>
    <w:rsid w:val="000E0D86"/>
    <w:rsid w:val="000E0E9F"/>
    <w:rsid w:val="000E14F0"/>
    <w:rsid w:val="000E17A3"/>
    <w:rsid w:val="000E1B18"/>
    <w:rsid w:val="000E1D0F"/>
    <w:rsid w:val="000E1DD4"/>
    <w:rsid w:val="000E20D1"/>
    <w:rsid w:val="000E23EB"/>
    <w:rsid w:val="000E273F"/>
    <w:rsid w:val="000E29D5"/>
    <w:rsid w:val="000E2B56"/>
    <w:rsid w:val="000E2EE1"/>
    <w:rsid w:val="000E301D"/>
    <w:rsid w:val="000E310A"/>
    <w:rsid w:val="000E311E"/>
    <w:rsid w:val="000E334B"/>
    <w:rsid w:val="000E375F"/>
    <w:rsid w:val="000E380D"/>
    <w:rsid w:val="000E382D"/>
    <w:rsid w:val="000E3C5A"/>
    <w:rsid w:val="000E428D"/>
    <w:rsid w:val="000E4867"/>
    <w:rsid w:val="000E4897"/>
    <w:rsid w:val="000E48B7"/>
    <w:rsid w:val="000E50D4"/>
    <w:rsid w:val="000E50D5"/>
    <w:rsid w:val="000E5B12"/>
    <w:rsid w:val="000E62B0"/>
    <w:rsid w:val="000E644D"/>
    <w:rsid w:val="000E6A9E"/>
    <w:rsid w:val="000E6BAB"/>
    <w:rsid w:val="000E6C9E"/>
    <w:rsid w:val="000E6F03"/>
    <w:rsid w:val="000E727C"/>
    <w:rsid w:val="000E7318"/>
    <w:rsid w:val="000E747E"/>
    <w:rsid w:val="000E7945"/>
    <w:rsid w:val="000E7F12"/>
    <w:rsid w:val="000E7FDA"/>
    <w:rsid w:val="000F0515"/>
    <w:rsid w:val="000F06A1"/>
    <w:rsid w:val="000F0824"/>
    <w:rsid w:val="000F08C4"/>
    <w:rsid w:val="000F0992"/>
    <w:rsid w:val="000F0A84"/>
    <w:rsid w:val="000F0AF7"/>
    <w:rsid w:val="000F149B"/>
    <w:rsid w:val="000F16DC"/>
    <w:rsid w:val="000F17CB"/>
    <w:rsid w:val="000F19F0"/>
    <w:rsid w:val="000F1D9E"/>
    <w:rsid w:val="000F1DDF"/>
    <w:rsid w:val="000F1E4E"/>
    <w:rsid w:val="000F1E63"/>
    <w:rsid w:val="000F2018"/>
    <w:rsid w:val="000F22F3"/>
    <w:rsid w:val="000F267A"/>
    <w:rsid w:val="000F2966"/>
    <w:rsid w:val="000F35F3"/>
    <w:rsid w:val="000F36C6"/>
    <w:rsid w:val="000F3A5F"/>
    <w:rsid w:val="000F3D13"/>
    <w:rsid w:val="000F3E50"/>
    <w:rsid w:val="000F406E"/>
    <w:rsid w:val="000F48DD"/>
    <w:rsid w:val="000F4EF1"/>
    <w:rsid w:val="000F52E8"/>
    <w:rsid w:val="000F5821"/>
    <w:rsid w:val="000F5AFD"/>
    <w:rsid w:val="000F68CB"/>
    <w:rsid w:val="000F6B75"/>
    <w:rsid w:val="000F749F"/>
    <w:rsid w:val="000F76B3"/>
    <w:rsid w:val="000F79C7"/>
    <w:rsid w:val="000F79E5"/>
    <w:rsid w:val="000F7BB8"/>
    <w:rsid w:val="000F7D80"/>
    <w:rsid w:val="001002BE"/>
    <w:rsid w:val="001007D0"/>
    <w:rsid w:val="00100925"/>
    <w:rsid w:val="00100A7C"/>
    <w:rsid w:val="0010126D"/>
    <w:rsid w:val="00101565"/>
    <w:rsid w:val="00101625"/>
    <w:rsid w:val="00101C0F"/>
    <w:rsid w:val="00101C11"/>
    <w:rsid w:val="00101C7A"/>
    <w:rsid w:val="001020F8"/>
    <w:rsid w:val="001021BF"/>
    <w:rsid w:val="001023B4"/>
    <w:rsid w:val="00102A51"/>
    <w:rsid w:val="00102D1D"/>
    <w:rsid w:val="00102E8B"/>
    <w:rsid w:val="00102E8D"/>
    <w:rsid w:val="001030E7"/>
    <w:rsid w:val="001035D2"/>
    <w:rsid w:val="0010388A"/>
    <w:rsid w:val="00103AF5"/>
    <w:rsid w:val="00103B6B"/>
    <w:rsid w:val="00103BEA"/>
    <w:rsid w:val="00103C97"/>
    <w:rsid w:val="00103F14"/>
    <w:rsid w:val="00104874"/>
    <w:rsid w:val="00104E5E"/>
    <w:rsid w:val="00104F21"/>
    <w:rsid w:val="001053B0"/>
    <w:rsid w:val="001059CA"/>
    <w:rsid w:val="00105D67"/>
    <w:rsid w:val="00105F7A"/>
    <w:rsid w:val="001060AC"/>
    <w:rsid w:val="00106416"/>
    <w:rsid w:val="0010658A"/>
    <w:rsid w:val="00106789"/>
    <w:rsid w:val="0010686D"/>
    <w:rsid w:val="001068B5"/>
    <w:rsid w:val="00106BFD"/>
    <w:rsid w:val="00106C79"/>
    <w:rsid w:val="00106D09"/>
    <w:rsid w:val="00107403"/>
    <w:rsid w:val="001075C0"/>
    <w:rsid w:val="00107B30"/>
    <w:rsid w:val="0011051F"/>
    <w:rsid w:val="001106AA"/>
    <w:rsid w:val="00110AC2"/>
    <w:rsid w:val="00111233"/>
    <w:rsid w:val="0011153B"/>
    <w:rsid w:val="001119E2"/>
    <w:rsid w:val="001120E9"/>
    <w:rsid w:val="0011231F"/>
    <w:rsid w:val="00112583"/>
    <w:rsid w:val="00112636"/>
    <w:rsid w:val="00112845"/>
    <w:rsid w:val="00112BD9"/>
    <w:rsid w:val="00112D9A"/>
    <w:rsid w:val="00112F46"/>
    <w:rsid w:val="00113A0F"/>
    <w:rsid w:val="00114B1C"/>
    <w:rsid w:val="001150FF"/>
    <w:rsid w:val="00115739"/>
    <w:rsid w:val="0011594C"/>
    <w:rsid w:val="00115A03"/>
    <w:rsid w:val="00115A68"/>
    <w:rsid w:val="00117068"/>
    <w:rsid w:val="0011720C"/>
    <w:rsid w:val="00117C24"/>
    <w:rsid w:val="0012000B"/>
    <w:rsid w:val="00120575"/>
    <w:rsid w:val="0012058A"/>
    <w:rsid w:val="001206A0"/>
    <w:rsid w:val="0012075E"/>
    <w:rsid w:val="0012092F"/>
    <w:rsid w:val="0012108E"/>
    <w:rsid w:val="0012113F"/>
    <w:rsid w:val="0012136D"/>
    <w:rsid w:val="00121463"/>
    <w:rsid w:val="00121580"/>
    <w:rsid w:val="0012177E"/>
    <w:rsid w:val="0012208E"/>
    <w:rsid w:val="00122111"/>
    <w:rsid w:val="00122153"/>
    <w:rsid w:val="00122921"/>
    <w:rsid w:val="00122A27"/>
    <w:rsid w:val="00122BDA"/>
    <w:rsid w:val="001233B8"/>
    <w:rsid w:val="0012366B"/>
    <w:rsid w:val="00123CC7"/>
    <w:rsid w:val="00123E4A"/>
    <w:rsid w:val="0012441B"/>
    <w:rsid w:val="001247C7"/>
    <w:rsid w:val="00124BAC"/>
    <w:rsid w:val="00124CD3"/>
    <w:rsid w:val="00124DA7"/>
    <w:rsid w:val="00124FF6"/>
    <w:rsid w:val="00125064"/>
    <w:rsid w:val="00125289"/>
    <w:rsid w:val="0012541F"/>
    <w:rsid w:val="001254E6"/>
    <w:rsid w:val="00125621"/>
    <w:rsid w:val="00125706"/>
    <w:rsid w:val="0012593A"/>
    <w:rsid w:val="00125B3A"/>
    <w:rsid w:val="00125FCE"/>
    <w:rsid w:val="0012623E"/>
    <w:rsid w:val="001266A5"/>
    <w:rsid w:val="001266D2"/>
    <w:rsid w:val="00126920"/>
    <w:rsid w:val="00126A14"/>
    <w:rsid w:val="001272D1"/>
    <w:rsid w:val="001272E1"/>
    <w:rsid w:val="0012770E"/>
    <w:rsid w:val="00127E3D"/>
    <w:rsid w:val="00127FB3"/>
    <w:rsid w:val="00130374"/>
    <w:rsid w:val="001304DC"/>
    <w:rsid w:val="001309EE"/>
    <w:rsid w:val="00130E52"/>
    <w:rsid w:val="001312F3"/>
    <w:rsid w:val="001319EC"/>
    <w:rsid w:val="00131E97"/>
    <w:rsid w:val="00131EAF"/>
    <w:rsid w:val="00131FD5"/>
    <w:rsid w:val="001323E9"/>
    <w:rsid w:val="0013292A"/>
    <w:rsid w:val="00133256"/>
    <w:rsid w:val="001338EE"/>
    <w:rsid w:val="00133B9E"/>
    <w:rsid w:val="00133BF8"/>
    <w:rsid w:val="00133F8E"/>
    <w:rsid w:val="00134084"/>
    <w:rsid w:val="00134218"/>
    <w:rsid w:val="001344A0"/>
    <w:rsid w:val="0013456B"/>
    <w:rsid w:val="001345A2"/>
    <w:rsid w:val="001347EF"/>
    <w:rsid w:val="00134D5E"/>
    <w:rsid w:val="00134E7A"/>
    <w:rsid w:val="00134F48"/>
    <w:rsid w:val="001357A7"/>
    <w:rsid w:val="00135C83"/>
    <w:rsid w:val="00136177"/>
    <w:rsid w:val="0013644B"/>
    <w:rsid w:val="00136756"/>
    <w:rsid w:val="00136809"/>
    <w:rsid w:val="001368CA"/>
    <w:rsid w:val="00136956"/>
    <w:rsid w:val="00136B83"/>
    <w:rsid w:val="00136BBB"/>
    <w:rsid w:val="00136C57"/>
    <w:rsid w:val="001370C9"/>
    <w:rsid w:val="00137186"/>
    <w:rsid w:val="0013742A"/>
    <w:rsid w:val="00137553"/>
    <w:rsid w:val="0013765A"/>
    <w:rsid w:val="001377E9"/>
    <w:rsid w:val="00137925"/>
    <w:rsid w:val="0014000F"/>
    <w:rsid w:val="00140166"/>
    <w:rsid w:val="001403B7"/>
    <w:rsid w:val="0014052A"/>
    <w:rsid w:val="00140586"/>
    <w:rsid w:val="0014127B"/>
    <w:rsid w:val="001413BE"/>
    <w:rsid w:val="0014141E"/>
    <w:rsid w:val="00141667"/>
    <w:rsid w:val="00141700"/>
    <w:rsid w:val="00141F03"/>
    <w:rsid w:val="00141F89"/>
    <w:rsid w:val="00142100"/>
    <w:rsid w:val="001424C6"/>
    <w:rsid w:val="0014253A"/>
    <w:rsid w:val="00142A31"/>
    <w:rsid w:val="00142ED2"/>
    <w:rsid w:val="001433EE"/>
    <w:rsid w:val="00143530"/>
    <w:rsid w:val="001435E5"/>
    <w:rsid w:val="001437B5"/>
    <w:rsid w:val="00143CAE"/>
    <w:rsid w:val="00143EDB"/>
    <w:rsid w:val="0014431D"/>
    <w:rsid w:val="00144672"/>
    <w:rsid w:val="0014470A"/>
    <w:rsid w:val="00144930"/>
    <w:rsid w:val="00144C12"/>
    <w:rsid w:val="00144D25"/>
    <w:rsid w:val="00144DBD"/>
    <w:rsid w:val="00144DC4"/>
    <w:rsid w:val="00144E37"/>
    <w:rsid w:val="001452F1"/>
    <w:rsid w:val="0014543A"/>
    <w:rsid w:val="00145A2D"/>
    <w:rsid w:val="00145A7B"/>
    <w:rsid w:val="00145AD4"/>
    <w:rsid w:val="00145E16"/>
    <w:rsid w:val="00145F8D"/>
    <w:rsid w:val="00146193"/>
    <w:rsid w:val="001463C8"/>
    <w:rsid w:val="001467DC"/>
    <w:rsid w:val="001468AE"/>
    <w:rsid w:val="00146992"/>
    <w:rsid w:val="00146AFC"/>
    <w:rsid w:val="00147F95"/>
    <w:rsid w:val="001500F7"/>
    <w:rsid w:val="001501B3"/>
    <w:rsid w:val="0015044C"/>
    <w:rsid w:val="001506AA"/>
    <w:rsid w:val="00150D24"/>
    <w:rsid w:val="00150D87"/>
    <w:rsid w:val="00150DFA"/>
    <w:rsid w:val="001515A8"/>
    <w:rsid w:val="001515C9"/>
    <w:rsid w:val="001517E3"/>
    <w:rsid w:val="001518D2"/>
    <w:rsid w:val="0015191C"/>
    <w:rsid w:val="00151963"/>
    <w:rsid w:val="00151F86"/>
    <w:rsid w:val="001520C6"/>
    <w:rsid w:val="00152128"/>
    <w:rsid w:val="00152589"/>
    <w:rsid w:val="00152675"/>
    <w:rsid w:val="001529D0"/>
    <w:rsid w:val="00152A38"/>
    <w:rsid w:val="00152CFA"/>
    <w:rsid w:val="0015336C"/>
    <w:rsid w:val="00153AD7"/>
    <w:rsid w:val="00153D49"/>
    <w:rsid w:val="00153FD2"/>
    <w:rsid w:val="001540E5"/>
    <w:rsid w:val="00154542"/>
    <w:rsid w:val="00154BBC"/>
    <w:rsid w:val="00154C11"/>
    <w:rsid w:val="00154E79"/>
    <w:rsid w:val="00154FE8"/>
    <w:rsid w:val="0015577B"/>
    <w:rsid w:val="00156277"/>
    <w:rsid w:val="00156436"/>
    <w:rsid w:val="00156437"/>
    <w:rsid w:val="0015680F"/>
    <w:rsid w:val="00156B84"/>
    <w:rsid w:val="00156C60"/>
    <w:rsid w:val="001570B7"/>
    <w:rsid w:val="00157917"/>
    <w:rsid w:val="00157E53"/>
    <w:rsid w:val="00160149"/>
    <w:rsid w:val="00160783"/>
    <w:rsid w:val="001608B3"/>
    <w:rsid w:val="00160B47"/>
    <w:rsid w:val="00160E78"/>
    <w:rsid w:val="00160EAC"/>
    <w:rsid w:val="00161177"/>
    <w:rsid w:val="00161312"/>
    <w:rsid w:val="00161D23"/>
    <w:rsid w:val="00161F8A"/>
    <w:rsid w:val="00162489"/>
    <w:rsid w:val="00162664"/>
    <w:rsid w:val="00162A4B"/>
    <w:rsid w:val="00162BA8"/>
    <w:rsid w:val="00162D14"/>
    <w:rsid w:val="00162DD2"/>
    <w:rsid w:val="00163572"/>
    <w:rsid w:val="00163857"/>
    <w:rsid w:val="001638DA"/>
    <w:rsid w:val="00163D51"/>
    <w:rsid w:val="00163FAA"/>
    <w:rsid w:val="001640D5"/>
    <w:rsid w:val="001645BE"/>
    <w:rsid w:val="00164990"/>
    <w:rsid w:val="0016524B"/>
    <w:rsid w:val="001653A2"/>
    <w:rsid w:val="001659EA"/>
    <w:rsid w:val="00165F67"/>
    <w:rsid w:val="00166005"/>
    <w:rsid w:val="001664B4"/>
    <w:rsid w:val="0016697B"/>
    <w:rsid w:val="00166B19"/>
    <w:rsid w:val="00166DBC"/>
    <w:rsid w:val="00166F4F"/>
    <w:rsid w:val="00167121"/>
    <w:rsid w:val="00167159"/>
    <w:rsid w:val="0016765D"/>
    <w:rsid w:val="0016791B"/>
    <w:rsid w:val="00167A2F"/>
    <w:rsid w:val="00167A4B"/>
    <w:rsid w:val="00167AAB"/>
    <w:rsid w:val="00167BB2"/>
    <w:rsid w:val="00167D75"/>
    <w:rsid w:val="00167E51"/>
    <w:rsid w:val="00167F09"/>
    <w:rsid w:val="001705FA"/>
    <w:rsid w:val="00170DCB"/>
    <w:rsid w:val="0017114C"/>
    <w:rsid w:val="00171185"/>
    <w:rsid w:val="0017134A"/>
    <w:rsid w:val="00171631"/>
    <w:rsid w:val="001716C9"/>
    <w:rsid w:val="00171709"/>
    <w:rsid w:val="001717F7"/>
    <w:rsid w:val="00171966"/>
    <w:rsid w:val="00171A21"/>
    <w:rsid w:val="00171DAC"/>
    <w:rsid w:val="00171E32"/>
    <w:rsid w:val="00171EA5"/>
    <w:rsid w:val="00172220"/>
    <w:rsid w:val="001722BD"/>
    <w:rsid w:val="001724D0"/>
    <w:rsid w:val="0017267B"/>
    <w:rsid w:val="00172774"/>
    <w:rsid w:val="0017287C"/>
    <w:rsid w:val="001729DF"/>
    <w:rsid w:val="0017310F"/>
    <w:rsid w:val="00173486"/>
    <w:rsid w:val="001738DA"/>
    <w:rsid w:val="00173966"/>
    <w:rsid w:val="00173EE1"/>
    <w:rsid w:val="001740E9"/>
    <w:rsid w:val="00174436"/>
    <w:rsid w:val="001745A2"/>
    <w:rsid w:val="00174A72"/>
    <w:rsid w:val="00174D98"/>
    <w:rsid w:val="001750F7"/>
    <w:rsid w:val="00175463"/>
    <w:rsid w:val="0017595A"/>
    <w:rsid w:val="001759DC"/>
    <w:rsid w:val="00175B9E"/>
    <w:rsid w:val="00175FF4"/>
    <w:rsid w:val="001760CA"/>
    <w:rsid w:val="00176491"/>
    <w:rsid w:val="00176593"/>
    <w:rsid w:val="001768F4"/>
    <w:rsid w:val="00176B20"/>
    <w:rsid w:val="00176CE1"/>
    <w:rsid w:val="00176E14"/>
    <w:rsid w:val="00176F5B"/>
    <w:rsid w:val="0017704F"/>
    <w:rsid w:val="001770F6"/>
    <w:rsid w:val="0017748E"/>
    <w:rsid w:val="001776CF"/>
    <w:rsid w:val="00177A62"/>
    <w:rsid w:val="00177C08"/>
    <w:rsid w:val="00177D38"/>
    <w:rsid w:val="0018053D"/>
    <w:rsid w:val="00180568"/>
    <w:rsid w:val="00180649"/>
    <w:rsid w:val="00180682"/>
    <w:rsid w:val="00180A54"/>
    <w:rsid w:val="00180A9B"/>
    <w:rsid w:val="00180E97"/>
    <w:rsid w:val="00180FB2"/>
    <w:rsid w:val="001814B0"/>
    <w:rsid w:val="001816CE"/>
    <w:rsid w:val="001819EF"/>
    <w:rsid w:val="00181B3F"/>
    <w:rsid w:val="00181B4B"/>
    <w:rsid w:val="00181C32"/>
    <w:rsid w:val="00181EB7"/>
    <w:rsid w:val="00181EDA"/>
    <w:rsid w:val="00181F79"/>
    <w:rsid w:val="00181FFF"/>
    <w:rsid w:val="001823BE"/>
    <w:rsid w:val="001826E0"/>
    <w:rsid w:val="0018289F"/>
    <w:rsid w:val="00182921"/>
    <w:rsid w:val="00182BD2"/>
    <w:rsid w:val="00182FB0"/>
    <w:rsid w:val="001832D3"/>
    <w:rsid w:val="001836AE"/>
    <w:rsid w:val="001839DA"/>
    <w:rsid w:val="00183AA1"/>
    <w:rsid w:val="00183BEB"/>
    <w:rsid w:val="00183D77"/>
    <w:rsid w:val="00183D9A"/>
    <w:rsid w:val="00183F27"/>
    <w:rsid w:val="0018415E"/>
    <w:rsid w:val="0018418B"/>
    <w:rsid w:val="001842B2"/>
    <w:rsid w:val="0018476B"/>
    <w:rsid w:val="0018491A"/>
    <w:rsid w:val="00184B33"/>
    <w:rsid w:val="00184DB6"/>
    <w:rsid w:val="00185223"/>
    <w:rsid w:val="001853C5"/>
    <w:rsid w:val="00185A96"/>
    <w:rsid w:val="00186356"/>
    <w:rsid w:val="00186500"/>
    <w:rsid w:val="00186CA2"/>
    <w:rsid w:val="00186E45"/>
    <w:rsid w:val="00186EF0"/>
    <w:rsid w:val="001873B0"/>
    <w:rsid w:val="001877EF"/>
    <w:rsid w:val="00187F83"/>
    <w:rsid w:val="001902F4"/>
    <w:rsid w:val="00190469"/>
    <w:rsid w:val="00190A1C"/>
    <w:rsid w:val="00190A99"/>
    <w:rsid w:val="00190EEF"/>
    <w:rsid w:val="00191201"/>
    <w:rsid w:val="00191278"/>
    <w:rsid w:val="00191550"/>
    <w:rsid w:val="001918EB"/>
    <w:rsid w:val="001919D8"/>
    <w:rsid w:val="00191FAB"/>
    <w:rsid w:val="00192360"/>
    <w:rsid w:val="001925C4"/>
    <w:rsid w:val="0019266C"/>
    <w:rsid w:val="0019272D"/>
    <w:rsid w:val="0019277D"/>
    <w:rsid w:val="00192870"/>
    <w:rsid w:val="00192948"/>
    <w:rsid w:val="00192D2D"/>
    <w:rsid w:val="00192F70"/>
    <w:rsid w:val="0019338D"/>
    <w:rsid w:val="00193F08"/>
    <w:rsid w:val="0019420E"/>
    <w:rsid w:val="00194240"/>
    <w:rsid w:val="0019436A"/>
    <w:rsid w:val="00194573"/>
    <w:rsid w:val="00194754"/>
    <w:rsid w:val="00194C67"/>
    <w:rsid w:val="00195901"/>
    <w:rsid w:val="00195B91"/>
    <w:rsid w:val="00195E0F"/>
    <w:rsid w:val="00196195"/>
    <w:rsid w:val="001961A6"/>
    <w:rsid w:val="00196201"/>
    <w:rsid w:val="00196986"/>
    <w:rsid w:val="00196AF3"/>
    <w:rsid w:val="00196CEC"/>
    <w:rsid w:val="00196ECA"/>
    <w:rsid w:val="001972CD"/>
    <w:rsid w:val="00197321"/>
    <w:rsid w:val="001974CD"/>
    <w:rsid w:val="001975FF"/>
    <w:rsid w:val="00197D49"/>
    <w:rsid w:val="00197D75"/>
    <w:rsid w:val="001A0599"/>
    <w:rsid w:val="001A05EF"/>
    <w:rsid w:val="001A098C"/>
    <w:rsid w:val="001A0F6A"/>
    <w:rsid w:val="001A1006"/>
    <w:rsid w:val="001A14A2"/>
    <w:rsid w:val="001A1529"/>
    <w:rsid w:val="001A1AF9"/>
    <w:rsid w:val="001A20FB"/>
    <w:rsid w:val="001A253B"/>
    <w:rsid w:val="001A294B"/>
    <w:rsid w:val="001A2A34"/>
    <w:rsid w:val="001A2AC1"/>
    <w:rsid w:val="001A2C9B"/>
    <w:rsid w:val="001A3052"/>
    <w:rsid w:val="001A3408"/>
    <w:rsid w:val="001A365D"/>
    <w:rsid w:val="001A3C54"/>
    <w:rsid w:val="001A3D4A"/>
    <w:rsid w:val="001A3EE9"/>
    <w:rsid w:val="001A4158"/>
    <w:rsid w:val="001A41FE"/>
    <w:rsid w:val="001A425A"/>
    <w:rsid w:val="001A447C"/>
    <w:rsid w:val="001A4768"/>
    <w:rsid w:val="001A4A99"/>
    <w:rsid w:val="001A50A2"/>
    <w:rsid w:val="001A51C4"/>
    <w:rsid w:val="001A5C7A"/>
    <w:rsid w:val="001A5C84"/>
    <w:rsid w:val="001A5D8D"/>
    <w:rsid w:val="001A5EDB"/>
    <w:rsid w:val="001A6A30"/>
    <w:rsid w:val="001A77E9"/>
    <w:rsid w:val="001B0102"/>
    <w:rsid w:val="001B0131"/>
    <w:rsid w:val="001B0330"/>
    <w:rsid w:val="001B0448"/>
    <w:rsid w:val="001B07A0"/>
    <w:rsid w:val="001B0E88"/>
    <w:rsid w:val="001B11A6"/>
    <w:rsid w:val="001B146C"/>
    <w:rsid w:val="001B1498"/>
    <w:rsid w:val="001B14BD"/>
    <w:rsid w:val="001B15FD"/>
    <w:rsid w:val="001B19B9"/>
    <w:rsid w:val="001B1AA9"/>
    <w:rsid w:val="001B21DC"/>
    <w:rsid w:val="001B2AD6"/>
    <w:rsid w:val="001B304E"/>
    <w:rsid w:val="001B32CF"/>
    <w:rsid w:val="001B33A2"/>
    <w:rsid w:val="001B3410"/>
    <w:rsid w:val="001B34DA"/>
    <w:rsid w:val="001B360C"/>
    <w:rsid w:val="001B38ED"/>
    <w:rsid w:val="001B3A5C"/>
    <w:rsid w:val="001B3CBF"/>
    <w:rsid w:val="001B426F"/>
    <w:rsid w:val="001B485F"/>
    <w:rsid w:val="001B5A6D"/>
    <w:rsid w:val="001B5AFD"/>
    <w:rsid w:val="001B5D82"/>
    <w:rsid w:val="001B61B2"/>
    <w:rsid w:val="001B629E"/>
    <w:rsid w:val="001B67F8"/>
    <w:rsid w:val="001B6A27"/>
    <w:rsid w:val="001B6BCF"/>
    <w:rsid w:val="001B7226"/>
    <w:rsid w:val="001B7489"/>
    <w:rsid w:val="001B74D3"/>
    <w:rsid w:val="001B7CE6"/>
    <w:rsid w:val="001B7E20"/>
    <w:rsid w:val="001C0661"/>
    <w:rsid w:val="001C0C75"/>
    <w:rsid w:val="001C0EF4"/>
    <w:rsid w:val="001C0F02"/>
    <w:rsid w:val="001C0F67"/>
    <w:rsid w:val="001C19C4"/>
    <w:rsid w:val="001C1BBF"/>
    <w:rsid w:val="001C20D5"/>
    <w:rsid w:val="001C25FE"/>
    <w:rsid w:val="001C29E7"/>
    <w:rsid w:val="001C2C6F"/>
    <w:rsid w:val="001C2F70"/>
    <w:rsid w:val="001C2F9D"/>
    <w:rsid w:val="001C2FFC"/>
    <w:rsid w:val="001C3540"/>
    <w:rsid w:val="001C3632"/>
    <w:rsid w:val="001C3A1D"/>
    <w:rsid w:val="001C3C2B"/>
    <w:rsid w:val="001C3F29"/>
    <w:rsid w:val="001C41B9"/>
    <w:rsid w:val="001C443D"/>
    <w:rsid w:val="001C4BDA"/>
    <w:rsid w:val="001C4C2D"/>
    <w:rsid w:val="001C4E99"/>
    <w:rsid w:val="001C51C6"/>
    <w:rsid w:val="001C5378"/>
    <w:rsid w:val="001C5559"/>
    <w:rsid w:val="001C55E2"/>
    <w:rsid w:val="001C5B59"/>
    <w:rsid w:val="001C5BCB"/>
    <w:rsid w:val="001C6342"/>
    <w:rsid w:val="001C7300"/>
    <w:rsid w:val="001C73D2"/>
    <w:rsid w:val="001C7D0D"/>
    <w:rsid w:val="001C7D84"/>
    <w:rsid w:val="001C7E74"/>
    <w:rsid w:val="001C7F74"/>
    <w:rsid w:val="001D0979"/>
    <w:rsid w:val="001D0A57"/>
    <w:rsid w:val="001D0A61"/>
    <w:rsid w:val="001D0E3A"/>
    <w:rsid w:val="001D11EF"/>
    <w:rsid w:val="001D15F8"/>
    <w:rsid w:val="001D16FC"/>
    <w:rsid w:val="001D1951"/>
    <w:rsid w:val="001D1A3F"/>
    <w:rsid w:val="001D1C9C"/>
    <w:rsid w:val="001D1D8A"/>
    <w:rsid w:val="001D1DD3"/>
    <w:rsid w:val="001D1E53"/>
    <w:rsid w:val="001D1F1F"/>
    <w:rsid w:val="001D1F7E"/>
    <w:rsid w:val="001D2209"/>
    <w:rsid w:val="001D26CF"/>
    <w:rsid w:val="001D2B57"/>
    <w:rsid w:val="001D3C7E"/>
    <w:rsid w:val="001D3D89"/>
    <w:rsid w:val="001D429C"/>
    <w:rsid w:val="001D42A5"/>
    <w:rsid w:val="001D456D"/>
    <w:rsid w:val="001D4A1A"/>
    <w:rsid w:val="001D4D57"/>
    <w:rsid w:val="001D4FF7"/>
    <w:rsid w:val="001D4FFC"/>
    <w:rsid w:val="001D50D7"/>
    <w:rsid w:val="001D526E"/>
    <w:rsid w:val="001D56E9"/>
    <w:rsid w:val="001D5B61"/>
    <w:rsid w:val="001D5CA9"/>
    <w:rsid w:val="001D6288"/>
    <w:rsid w:val="001D634C"/>
    <w:rsid w:val="001D64D5"/>
    <w:rsid w:val="001D65C3"/>
    <w:rsid w:val="001D6859"/>
    <w:rsid w:val="001D6BEC"/>
    <w:rsid w:val="001D718B"/>
    <w:rsid w:val="001D71AF"/>
    <w:rsid w:val="001D71D6"/>
    <w:rsid w:val="001D7524"/>
    <w:rsid w:val="001D7601"/>
    <w:rsid w:val="001D76E3"/>
    <w:rsid w:val="001D7A68"/>
    <w:rsid w:val="001D7D7D"/>
    <w:rsid w:val="001D7DB2"/>
    <w:rsid w:val="001D7E9D"/>
    <w:rsid w:val="001E015F"/>
    <w:rsid w:val="001E021C"/>
    <w:rsid w:val="001E04B6"/>
    <w:rsid w:val="001E074C"/>
    <w:rsid w:val="001E0D72"/>
    <w:rsid w:val="001E11DF"/>
    <w:rsid w:val="001E155D"/>
    <w:rsid w:val="001E18C6"/>
    <w:rsid w:val="001E1FA8"/>
    <w:rsid w:val="001E2695"/>
    <w:rsid w:val="001E30A2"/>
    <w:rsid w:val="001E32C7"/>
    <w:rsid w:val="001E330D"/>
    <w:rsid w:val="001E35D2"/>
    <w:rsid w:val="001E3726"/>
    <w:rsid w:val="001E382F"/>
    <w:rsid w:val="001E3964"/>
    <w:rsid w:val="001E3C09"/>
    <w:rsid w:val="001E3D9E"/>
    <w:rsid w:val="001E401A"/>
    <w:rsid w:val="001E429D"/>
    <w:rsid w:val="001E4301"/>
    <w:rsid w:val="001E4857"/>
    <w:rsid w:val="001E49E1"/>
    <w:rsid w:val="001E4B57"/>
    <w:rsid w:val="001E4C4A"/>
    <w:rsid w:val="001E5069"/>
    <w:rsid w:val="001E50D5"/>
    <w:rsid w:val="001E52E4"/>
    <w:rsid w:val="001E53E0"/>
    <w:rsid w:val="001E5404"/>
    <w:rsid w:val="001E5473"/>
    <w:rsid w:val="001E5794"/>
    <w:rsid w:val="001E5B70"/>
    <w:rsid w:val="001E5B72"/>
    <w:rsid w:val="001E61D9"/>
    <w:rsid w:val="001E630E"/>
    <w:rsid w:val="001E6645"/>
    <w:rsid w:val="001E68F2"/>
    <w:rsid w:val="001E6983"/>
    <w:rsid w:val="001E6BF3"/>
    <w:rsid w:val="001E7514"/>
    <w:rsid w:val="001E7575"/>
    <w:rsid w:val="001E76EC"/>
    <w:rsid w:val="001E7854"/>
    <w:rsid w:val="001E7F00"/>
    <w:rsid w:val="001F023D"/>
    <w:rsid w:val="001F027D"/>
    <w:rsid w:val="001F0349"/>
    <w:rsid w:val="001F072F"/>
    <w:rsid w:val="001F0B51"/>
    <w:rsid w:val="001F0FF4"/>
    <w:rsid w:val="001F1148"/>
    <w:rsid w:val="001F12AB"/>
    <w:rsid w:val="001F1931"/>
    <w:rsid w:val="001F19A1"/>
    <w:rsid w:val="001F1E1E"/>
    <w:rsid w:val="001F1E5E"/>
    <w:rsid w:val="001F1FD4"/>
    <w:rsid w:val="001F2506"/>
    <w:rsid w:val="001F2B9D"/>
    <w:rsid w:val="001F2CE4"/>
    <w:rsid w:val="001F2D56"/>
    <w:rsid w:val="001F2F23"/>
    <w:rsid w:val="001F31FB"/>
    <w:rsid w:val="001F33F2"/>
    <w:rsid w:val="001F3FB9"/>
    <w:rsid w:val="001F40CA"/>
    <w:rsid w:val="001F41A2"/>
    <w:rsid w:val="001F429D"/>
    <w:rsid w:val="001F42E9"/>
    <w:rsid w:val="001F433F"/>
    <w:rsid w:val="001F44BE"/>
    <w:rsid w:val="001F4B00"/>
    <w:rsid w:val="001F51EE"/>
    <w:rsid w:val="001F58C6"/>
    <w:rsid w:val="001F5D14"/>
    <w:rsid w:val="001F5D5D"/>
    <w:rsid w:val="001F608C"/>
    <w:rsid w:val="001F6630"/>
    <w:rsid w:val="001F6939"/>
    <w:rsid w:val="001F6992"/>
    <w:rsid w:val="001F6C3A"/>
    <w:rsid w:val="001F6C7A"/>
    <w:rsid w:val="001F73AA"/>
    <w:rsid w:val="001F7E37"/>
    <w:rsid w:val="00200116"/>
    <w:rsid w:val="002003E6"/>
    <w:rsid w:val="00200665"/>
    <w:rsid w:val="00200A6C"/>
    <w:rsid w:val="00200E81"/>
    <w:rsid w:val="00201033"/>
    <w:rsid w:val="00201092"/>
    <w:rsid w:val="002010D7"/>
    <w:rsid w:val="00201366"/>
    <w:rsid w:val="002013C3"/>
    <w:rsid w:val="0020163A"/>
    <w:rsid w:val="002016FF"/>
    <w:rsid w:val="00201811"/>
    <w:rsid w:val="00201B62"/>
    <w:rsid w:val="00201F35"/>
    <w:rsid w:val="00202226"/>
    <w:rsid w:val="00202288"/>
    <w:rsid w:val="00202389"/>
    <w:rsid w:val="002023D8"/>
    <w:rsid w:val="0020271E"/>
    <w:rsid w:val="00202A05"/>
    <w:rsid w:val="00202D5D"/>
    <w:rsid w:val="00203AC4"/>
    <w:rsid w:val="002040C7"/>
    <w:rsid w:val="002045C0"/>
    <w:rsid w:val="00204640"/>
    <w:rsid w:val="00204678"/>
    <w:rsid w:val="002046A3"/>
    <w:rsid w:val="002046D6"/>
    <w:rsid w:val="00204B85"/>
    <w:rsid w:val="00204DDD"/>
    <w:rsid w:val="00204F87"/>
    <w:rsid w:val="002050A5"/>
    <w:rsid w:val="00205305"/>
    <w:rsid w:val="002054FD"/>
    <w:rsid w:val="00205505"/>
    <w:rsid w:val="0020596D"/>
    <w:rsid w:val="00205F12"/>
    <w:rsid w:val="00205FF2"/>
    <w:rsid w:val="00206225"/>
    <w:rsid w:val="002062E7"/>
    <w:rsid w:val="002063C0"/>
    <w:rsid w:val="002064F6"/>
    <w:rsid w:val="00206D71"/>
    <w:rsid w:val="0020713C"/>
    <w:rsid w:val="0020774D"/>
    <w:rsid w:val="00207904"/>
    <w:rsid w:val="00207B94"/>
    <w:rsid w:val="00207BB8"/>
    <w:rsid w:val="00207F1D"/>
    <w:rsid w:val="00207F8D"/>
    <w:rsid w:val="0021001B"/>
    <w:rsid w:val="00210B0B"/>
    <w:rsid w:val="002112CE"/>
    <w:rsid w:val="00211734"/>
    <w:rsid w:val="002119B3"/>
    <w:rsid w:val="00211FC4"/>
    <w:rsid w:val="00212052"/>
    <w:rsid w:val="00212617"/>
    <w:rsid w:val="0021277E"/>
    <w:rsid w:val="00212B0D"/>
    <w:rsid w:val="00212D0B"/>
    <w:rsid w:val="00212E56"/>
    <w:rsid w:val="00212FCB"/>
    <w:rsid w:val="00213057"/>
    <w:rsid w:val="002131E1"/>
    <w:rsid w:val="002133FC"/>
    <w:rsid w:val="002134DF"/>
    <w:rsid w:val="00213E4B"/>
    <w:rsid w:val="00213F30"/>
    <w:rsid w:val="00213F41"/>
    <w:rsid w:val="0021404F"/>
    <w:rsid w:val="002142BB"/>
    <w:rsid w:val="002145FB"/>
    <w:rsid w:val="0021464E"/>
    <w:rsid w:val="0021468F"/>
    <w:rsid w:val="002149AE"/>
    <w:rsid w:val="0021518C"/>
    <w:rsid w:val="002156A5"/>
    <w:rsid w:val="002160C8"/>
    <w:rsid w:val="00216384"/>
    <w:rsid w:val="002166B3"/>
    <w:rsid w:val="0021697F"/>
    <w:rsid w:val="002169F1"/>
    <w:rsid w:val="0021743F"/>
    <w:rsid w:val="002177BC"/>
    <w:rsid w:val="002179DB"/>
    <w:rsid w:val="002179ED"/>
    <w:rsid w:val="00217BD9"/>
    <w:rsid w:val="00217F16"/>
    <w:rsid w:val="00220088"/>
    <w:rsid w:val="002202F3"/>
    <w:rsid w:val="002203C0"/>
    <w:rsid w:val="00220944"/>
    <w:rsid w:val="00220A77"/>
    <w:rsid w:val="00220ACA"/>
    <w:rsid w:val="00220B38"/>
    <w:rsid w:val="00220C82"/>
    <w:rsid w:val="00221063"/>
    <w:rsid w:val="00221118"/>
    <w:rsid w:val="002212E6"/>
    <w:rsid w:val="002218B5"/>
    <w:rsid w:val="00221EC2"/>
    <w:rsid w:val="0022242C"/>
    <w:rsid w:val="002224AD"/>
    <w:rsid w:val="002225E2"/>
    <w:rsid w:val="00223251"/>
    <w:rsid w:val="00223362"/>
    <w:rsid w:val="00223437"/>
    <w:rsid w:val="00223560"/>
    <w:rsid w:val="00223571"/>
    <w:rsid w:val="0022360C"/>
    <w:rsid w:val="00223D22"/>
    <w:rsid w:val="00224390"/>
    <w:rsid w:val="002246BA"/>
    <w:rsid w:val="002246FC"/>
    <w:rsid w:val="00224948"/>
    <w:rsid w:val="0022523F"/>
    <w:rsid w:val="0022546E"/>
    <w:rsid w:val="00225ACF"/>
    <w:rsid w:val="00225E8E"/>
    <w:rsid w:val="00225F2B"/>
    <w:rsid w:val="00226135"/>
    <w:rsid w:val="00226AE7"/>
    <w:rsid w:val="0022716C"/>
    <w:rsid w:val="00227986"/>
    <w:rsid w:val="00227C03"/>
    <w:rsid w:val="00227DC8"/>
    <w:rsid w:val="002300B4"/>
    <w:rsid w:val="002305B0"/>
    <w:rsid w:val="00230752"/>
    <w:rsid w:val="002307CC"/>
    <w:rsid w:val="00230A28"/>
    <w:rsid w:val="00231085"/>
    <w:rsid w:val="002311C8"/>
    <w:rsid w:val="00231318"/>
    <w:rsid w:val="002316D6"/>
    <w:rsid w:val="002317F7"/>
    <w:rsid w:val="002318F7"/>
    <w:rsid w:val="00231942"/>
    <w:rsid w:val="00231A01"/>
    <w:rsid w:val="00231A7D"/>
    <w:rsid w:val="00231AB3"/>
    <w:rsid w:val="00231E0B"/>
    <w:rsid w:val="00231EEC"/>
    <w:rsid w:val="00232142"/>
    <w:rsid w:val="00233829"/>
    <w:rsid w:val="00233853"/>
    <w:rsid w:val="00233B80"/>
    <w:rsid w:val="00233F4D"/>
    <w:rsid w:val="002340C1"/>
    <w:rsid w:val="002341AF"/>
    <w:rsid w:val="002346F8"/>
    <w:rsid w:val="00234872"/>
    <w:rsid w:val="00234FD6"/>
    <w:rsid w:val="002351ED"/>
    <w:rsid w:val="0023533C"/>
    <w:rsid w:val="002354A3"/>
    <w:rsid w:val="002354B4"/>
    <w:rsid w:val="002355D4"/>
    <w:rsid w:val="0023560C"/>
    <w:rsid w:val="0023567A"/>
    <w:rsid w:val="00235D76"/>
    <w:rsid w:val="00235E8E"/>
    <w:rsid w:val="00235EBB"/>
    <w:rsid w:val="0023661A"/>
    <w:rsid w:val="002366D4"/>
    <w:rsid w:val="002367FD"/>
    <w:rsid w:val="00236B29"/>
    <w:rsid w:val="00236CB0"/>
    <w:rsid w:val="00237138"/>
    <w:rsid w:val="00237785"/>
    <w:rsid w:val="00237B23"/>
    <w:rsid w:val="00237E97"/>
    <w:rsid w:val="00237F37"/>
    <w:rsid w:val="002403F5"/>
    <w:rsid w:val="00240933"/>
    <w:rsid w:val="00240A28"/>
    <w:rsid w:val="00241055"/>
    <w:rsid w:val="0024108B"/>
    <w:rsid w:val="002410B9"/>
    <w:rsid w:val="002413D9"/>
    <w:rsid w:val="002415E2"/>
    <w:rsid w:val="00241F00"/>
    <w:rsid w:val="0024255E"/>
    <w:rsid w:val="002425A6"/>
    <w:rsid w:val="00242C08"/>
    <w:rsid w:val="00242D1C"/>
    <w:rsid w:val="002431BA"/>
    <w:rsid w:val="00243362"/>
    <w:rsid w:val="002437B3"/>
    <w:rsid w:val="002437FC"/>
    <w:rsid w:val="00243836"/>
    <w:rsid w:val="002439B0"/>
    <w:rsid w:val="00243A1F"/>
    <w:rsid w:val="00243E09"/>
    <w:rsid w:val="002440CB"/>
    <w:rsid w:val="00244928"/>
    <w:rsid w:val="00244C76"/>
    <w:rsid w:val="00244D23"/>
    <w:rsid w:val="00245284"/>
    <w:rsid w:val="0024552C"/>
    <w:rsid w:val="00245A32"/>
    <w:rsid w:val="00245ACB"/>
    <w:rsid w:val="00245AF0"/>
    <w:rsid w:val="00245B4D"/>
    <w:rsid w:val="00245BC8"/>
    <w:rsid w:val="00245E9B"/>
    <w:rsid w:val="00245E9D"/>
    <w:rsid w:val="00245FA5"/>
    <w:rsid w:val="002460A6"/>
    <w:rsid w:val="002460AE"/>
    <w:rsid w:val="0024659E"/>
    <w:rsid w:val="00246710"/>
    <w:rsid w:val="00246A3C"/>
    <w:rsid w:val="00247235"/>
    <w:rsid w:val="002474FB"/>
    <w:rsid w:val="002475C8"/>
    <w:rsid w:val="002476D8"/>
    <w:rsid w:val="00247BC0"/>
    <w:rsid w:val="00250168"/>
    <w:rsid w:val="00250D6B"/>
    <w:rsid w:val="00250D9A"/>
    <w:rsid w:val="00250DA0"/>
    <w:rsid w:val="00251009"/>
    <w:rsid w:val="0025105D"/>
    <w:rsid w:val="0025123E"/>
    <w:rsid w:val="00251449"/>
    <w:rsid w:val="00251465"/>
    <w:rsid w:val="00251C98"/>
    <w:rsid w:val="00251CCA"/>
    <w:rsid w:val="00251EB5"/>
    <w:rsid w:val="0025215A"/>
    <w:rsid w:val="00252418"/>
    <w:rsid w:val="00252A1E"/>
    <w:rsid w:val="00252AB2"/>
    <w:rsid w:val="00252F1F"/>
    <w:rsid w:val="0025339F"/>
    <w:rsid w:val="002535A5"/>
    <w:rsid w:val="002538FB"/>
    <w:rsid w:val="00253B74"/>
    <w:rsid w:val="00253ED5"/>
    <w:rsid w:val="00253F69"/>
    <w:rsid w:val="00253F79"/>
    <w:rsid w:val="00253FE1"/>
    <w:rsid w:val="0025427F"/>
    <w:rsid w:val="0025436D"/>
    <w:rsid w:val="00254662"/>
    <w:rsid w:val="002547A6"/>
    <w:rsid w:val="002547B9"/>
    <w:rsid w:val="00254805"/>
    <w:rsid w:val="0025493C"/>
    <w:rsid w:val="00254CED"/>
    <w:rsid w:val="00254D69"/>
    <w:rsid w:val="00255159"/>
    <w:rsid w:val="0025536F"/>
    <w:rsid w:val="00255560"/>
    <w:rsid w:val="002555E5"/>
    <w:rsid w:val="0025586D"/>
    <w:rsid w:val="00255DBE"/>
    <w:rsid w:val="00256543"/>
    <w:rsid w:val="00256673"/>
    <w:rsid w:val="00256813"/>
    <w:rsid w:val="00256CAC"/>
    <w:rsid w:val="002570BB"/>
    <w:rsid w:val="00257198"/>
    <w:rsid w:val="00257C0C"/>
    <w:rsid w:val="00257EE8"/>
    <w:rsid w:val="002601E1"/>
    <w:rsid w:val="00260670"/>
    <w:rsid w:val="00260719"/>
    <w:rsid w:val="00260827"/>
    <w:rsid w:val="00260874"/>
    <w:rsid w:val="0026089A"/>
    <w:rsid w:val="00260B3E"/>
    <w:rsid w:val="00260C70"/>
    <w:rsid w:val="00260E26"/>
    <w:rsid w:val="0026133A"/>
    <w:rsid w:val="00261458"/>
    <w:rsid w:val="00261755"/>
    <w:rsid w:val="002621EA"/>
    <w:rsid w:val="00262758"/>
    <w:rsid w:val="00262DE0"/>
    <w:rsid w:val="0026378C"/>
    <w:rsid w:val="0026393F"/>
    <w:rsid w:val="00263D11"/>
    <w:rsid w:val="00263E14"/>
    <w:rsid w:val="00263EAC"/>
    <w:rsid w:val="002640A8"/>
    <w:rsid w:val="002640CC"/>
    <w:rsid w:val="002642E1"/>
    <w:rsid w:val="002643FF"/>
    <w:rsid w:val="002645A3"/>
    <w:rsid w:val="002645CD"/>
    <w:rsid w:val="00264FFD"/>
    <w:rsid w:val="00265172"/>
    <w:rsid w:val="002653C2"/>
    <w:rsid w:val="002655CB"/>
    <w:rsid w:val="002656BA"/>
    <w:rsid w:val="00265AE6"/>
    <w:rsid w:val="00265D90"/>
    <w:rsid w:val="00266226"/>
    <w:rsid w:val="002663D5"/>
    <w:rsid w:val="0026666C"/>
    <w:rsid w:val="0026678A"/>
    <w:rsid w:val="0026688A"/>
    <w:rsid w:val="00266A86"/>
    <w:rsid w:val="00266B72"/>
    <w:rsid w:val="00267187"/>
    <w:rsid w:val="0026755B"/>
    <w:rsid w:val="00267900"/>
    <w:rsid w:val="0027071E"/>
    <w:rsid w:val="00270771"/>
    <w:rsid w:val="002707E4"/>
    <w:rsid w:val="00270942"/>
    <w:rsid w:val="0027153B"/>
    <w:rsid w:val="0027192B"/>
    <w:rsid w:val="00271A52"/>
    <w:rsid w:val="00271DAA"/>
    <w:rsid w:val="00271F42"/>
    <w:rsid w:val="002722CE"/>
    <w:rsid w:val="00272427"/>
    <w:rsid w:val="00272861"/>
    <w:rsid w:val="00272C81"/>
    <w:rsid w:val="00272D80"/>
    <w:rsid w:val="00272D9E"/>
    <w:rsid w:val="002737D6"/>
    <w:rsid w:val="002739EB"/>
    <w:rsid w:val="00273FA4"/>
    <w:rsid w:val="00273FED"/>
    <w:rsid w:val="002741BB"/>
    <w:rsid w:val="0027458E"/>
    <w:rsid w:val="00274B7F"/>
    <w:rsid w:val="00274BB3"/>
    <w:rsid w:val="002751F4"/>
    <w:rsid w:val="0027535A"/>
    <w:rsid w:val="00275571"/>
    <w:rsid w:val="002758F0"/>
    <w:rsid w:val="00275CDD"/>
    <w:rsid w:val="00275EEB"/>
    <w:rsid w:val="002771AE"/>
    <w:rsid w:val="002773C1"/>
    <w:rsid w:val="002776F9"/>
    <w:rsid w:val="002779DC"/>
    <w:rsid w:val="002800E3"/>
    <w:rsid w:val="0028034C"/>
    <w:rsid w:val="0028043B"/>
    <w:rsid w:val="00280699"/>
    <w:rsid w:val="00280847"/>
    <w:rsid w:val="00280F7D"/>
    <w:rsid w:val="00280F9E"/>
    <w:rsid w:val="0028138F"/>
    <w:rsid w:val="002816DD"/>
    <w:rsid w:val="00281B26"/>
    <w:rsid w:val="0028262D"/>
    <w:rsid w:val="00282B4E"/>
    <w:rsid w:val="002830C5"/>
    <w:rsid w:val="00283447"/>
    <w:rsid w:val="002834AD"/>
    <w:rsid w:val="002838A6"/>
    <w:rsid w:val="002839FA"/>
    <w:rsid w:val="00283EF8"/>
    <w:rsid w:val="00283FCC"/>
    <w:rsid w:val="00284158"/>
    <w:rsid w:val="00284189"/>
    <w:rsid w:val="00284CDA"/>
    <w:rsid w:val="002855F2"/>
    <w:rsid w:val="002855F8"/>
    <w:rsid w:val="00285682"/>
    <w:rsid w:val="0028585B"/>
    <w:rsid w:val="00285E06"/>
    <w:rsid w:val="002865E4"/>
    <w:rsid w:val="00286604"/>
    <w:rsid w:val="00286901"/>
    <w:rsid w:val="00286980"/>
    <w:rsid w:val="00286B8D"/>
    <w:rsid w:val="00286FD0"/>
    <w:rsid w:val="002874C5"/>
    <w:rsid w:val="00287DB3"/>
    <w:rsid w:val="00287DE7"/>
    <w:rsid w:val="00287E37"/>
    <w:rsid w:val="00287E8C"/>
    <w:rsid w:val="00287F48"/>
    <w:rsid w:val="00290783"/>
    <w:rsid w:val="0029095F"/>
    <w:rsid w:val="00290AED"/>
    <w:rsid w:val="00290CE0"/>
    <w:rsid w:val="00290D20"/>
    <w:rsid w:val="00290EF0"/>
    <w:rsid w:val="002912E2"/>
    <w:rsid w:val="00291A1E"/>
    <w:rsid w:val="00292719"/>
    <w:rsid w:val="00292A98"/>
    <w:rsid w:val="00292AE9"/>
    <w:rsid w:val="00292B3C"/>
    <w:rsid w:val="00292F25"/>
    <w:rsid w:val="0029303C"/>
    <w:rsid w:val="0029310E"/>
    <w:rsid w:val="00293457"/>
    <w:rsid w:val="002934C4"/>
    <w:rsid w:val="002936F1"/>
    <w:rsid w:val="00293745"/>
    <w:rsid w:val="00293BED"/>
    <w:rsid w:val="00293F75"/>
    <w:rsid w:val="00294077"/>
    <w:rsid w:val="002941B1"/>
    <w:rsid w:val="0029420D"/>
    <w:rsid w:val="00294784"/>
    <w:rsid w:val="002948C5"/>
    <w:rsid w:val="00294A7C"/>
    <w:rsid w:val="00294CC1"/>
    <w:rsid w:val="00294DED"/>
    <w:rsid w:val="00295483"/>
    <w:rsid w:val="002954F4"/>
    <w:rsid w:val="002955CB"/>
    <w:rsid w:val="00295BCE"/>
    <w:rsid w:val="0029600E"/>
    <w:rsid w:val="00296567"/>
    <w:rsid w:val="00296B2F"/>
    <w:rsid w:val="00296C04"/>
    <w:rsid w:val="00297469"/>
    <w:rsid w:val="002974AA"/>
    <w:rsid w:val="00297BBC"/>
    <w:rsid w:val="00297C35"/>
    <w:rsid w:val="002A0682"/>
    <w:rsid w:val="002A085C"/>
    <w:rsid w:val="002A08F9"/>
    <w:rsid w:val="002A10A8"/>
    <w:rsid w:val="002A14E5"/>
    <w:rsid w:val="002A1793"/>
    <w:rsid w:val="002A187C"/>
    <w:rsid w:val="002A1ABC"/>
    <w:rsid w:val="002A1DD1"/>
    <w:rsid w:val="002A2048"/>
    <w:rsid w:val="002A2296"/>
    <w:rsid w:val="002A24F0"/>
    <w:rsid w:val="002A257C"/>
    <w:rsid w:val="002A2807"/>
    <w:rsid w:val="002A2A8F"/>
    <w:rsid w:val="002A2D35"/>
    <w:rsid w:val="002A316E"/>
    <w:rsid w:val="002A3517"/>
    <w:rsid w:val="002A38E5"/>
    <w:rsid w:val="002A3976"/>
    <w:rsid w:val="002A3BC0"/>
    <w:rsid w:val="002A40F1"/>
    <w:rsid w:val="002A47CF"/>
    <w:rsid w:val="002A49AD"/>
    <w:rsid w:val="002A4A87"/>
    <w:rsid w:val="002A4CF4"/>
    <w:rsid w:val="002A5329"/>
    <w:rsid w:val="002A5451"/>
    <w:rsid w:val="002A56C7"/>
    <w:rsid w:val="002A5919"/>
    <w:rsid w:val="002A5C0F"/>
    <w:rsid w:val="002A5F88"/>
    <w:rsid w:val="002A6137"/>
    <w:rsid w:val="002A6319"/>
    <w:rsid w:val="002A6404"/>
    <w:rsid w:val="002A646B"/>
    <w:rsid w:val="002A6BB1"/>
    <w:rsid w:val="002A72B5"/>
    <w:rsid w:val="002A76C8"/>
    <w:rsid w:val="002A7758"/>
    <w:rsid w:val="002A78C3"/>
    <w:rsid w:val="002B0D58"/>
    <w:rsid w:val="002B0D5A"/>
    <w:rsid w:val="002B14D7"/>
    <w:rsid w:val="002B176A"/>
    <w:rsid w:val="002B1791"/>
    <w:rsid w:val="002B1A3B"/>
    <w:rsid w:val="002B1B32"/>
    <w:rsid w:val="002B22DC"/>
    <w:rsid w:val="002B2562"/>
    <w:rsid w:val="002B29A9"/>
    <w:rsid w:val="002B2CA6"/>
    <w:rsid w:val="002B311D"/>
    <w:rsid w:val="002B3558"/>
    <w:rsid w:val="002B374A"/>
    <w:rsid w:val="002B3758"/>
    <w:rsid w:val="002B38C5"/>
    <w:rsid w:val="002B3B32"/>
    <w:rsid w:val="002B3C20"/>
    <w:rsid w:val="002B3E5F"/>
    <w:rsid w:val="002B45C0"/>
    <w:rsid w:val="002B4895"/>
    <w:rsid w:val="002B4ACF"/>
    <w:rsid w:val="002B4CBE"/>
    <w:rsid w:val="002B4DDF"/>
    <w:rsid w:val="002B4F46"/>
    <w:rsid w:val="002B5455"/>
    <w:rsid w:val="002B55F5"/>
    <w:rsid w:val="002B573F"/>
    <w:rsid w:val="002B5796"/>
    <w:rsid w:val="002B5A7A"/>
    <w:rsid w:val="002B5B15"/>
    <w:rsid w:val="002B5CB7"/>
    <w:rsid w:val="002B5FF9"/>
    <w:rsid w:val="002B6483"/>
    <w:rsid w:val="002B6A24"/>
    <w:rsid w:val="002B6AF1"/>
    <w:rsid w:val="002B6F37"/>
    <w:rsid w:val="002B707E"/>
    <w:rsid w:val="002B75C1"/>
    <w:rsid w:val="002B75F2"/>
    <w:rsid w:val="002B76A3"/>
    <w:rsid w:val="002B76C6"/>
    <w:rsid w:val="002B7929"/>
    <w:rsid w:val="002B7B86"/>
    <w:rsid w:val="002B7CD7"/>
    <w:rsid w:val="002B7E8B"/>
    <w:rsid w:val="002C024B"/>
    <w:rsid w:val="002C08AD"/>
    <w:rsid w:val="002C0B7A"/>
    <w:rsid w:val="002C0EE1"/>
    <w:rsid w:val="002C0F03"/>
    <w:rsid w:val="002C14A3"/>
    <w:rsid w:val="002C1648"/>
    <w:rsid w:val="002C16A2"/>
    <w:rsid w:val="002C2145"/>
    <w:rsid w:val="002C27AB"/>
    <w:rsid w:val="002C351A"/>
    <w:rsid w:val="002C3A00"/>
    <w:rsid w:val="002C3D81"/>
    <w:rsid w:val="002C42EF"/>
    <w:rsid w:val="002C430C"/>
    <w:rsid w:val="002C44CA"/>
    <w:rsid w:val="002C48D3"/>
    <w:rsid w:val="002C4C36"/>
    <w:rsid w:val="002C570C"/>
    <w:rsid w:val="002C5E5C"/>
    <w:rsid w:val="002C60DD"/>
    <w:rsid w:val="002C6AC3"/>
    <w:rsid w:val="002C6EFF"/>
    <w:rsid w:val="002C7051"/>
    <w:rsid w:val="002C7174"/>
    <w:rsid w:val="002C77E2"/>
    <w:rsid w:val="002C7CA7"/>
    <w:rsid w:val="002D039C"/>
    <w:rsid w:val="002D084F"/>
    <w:rsid w:val="002D0B58"/>
    <w:rsid w:val="002D0C04"/>
    <w:rsid w:val="002D116C"/>
    <w:rsid w:val="002D13DA"/>
    <w:rsid w:val="002D1C9A"/>
    <w:rsid w:val="002D1D4A"/>
    <w:rsid w:val="002D2571"/>
    <w:rsid w:val="002D26BE"/>
    <w:rsid w:val="002D282D"/>
    <w:rsid w:val="002D2AED"/>
    <w:rsid w:val="002D3302"/>
    <w:rsid w:val="002D352C"/>
    <w:rsid w:val="002D3AE5"/>
    <w:rsid w:val="002D3B3A"/>
    <w:rsid w:val="002D3D14"/>
    <w:rsid w:val="002D42B3"/>
    <w:rsid w:val="002D42E5"/>
    <w:rsid w:val="002D43C4"/>
    <w:rsid w:val="002D4E17"/>
    <w:rsid w:val="002D5774"/>
    <w:rsid w:val="002D5982"/>
    <w:rsid w:val="002D5CA3"/>
    <w:rsid w:val="002D5E91"/>
    <w:rsid w:val="002D6649"/>
    <w:rsid w:val="002D66DA"/>
    <w:rsid w:val="002D67F7"/>
    <w:rsid w:val="002D745F"/>
    <w:rsid w:val="002D74CF"/>
    <w:rsid w:val="002D7634"/>
    <w:rsid w:val="002D79AA"/>
    <w:rsid w:val="002D7BC9"/>
    <w:rsid w:val="002D7D54"/>
    <w:rsid w:val="002D7D6F"/>
    <w:rsid w:val="002D7F50"/>
    <w:rsid w:val="002E0201"/>
    <w:rsid w:val="002E04F1"/>
    <w:rsid w:val="002E07CC"/>
    <w:rsid w:val="002E07F7"/>
    <w:rsid w:val="002E0897"/>
    <w:rsid w:val="002E0A63"/>
    <w:rsid w:val="002E0C03"/>
    <w:rsid w:val="002E0C68"/>
    <w:rsid w:val="002E1118"/>
    <w:rsid w:val="002E16EB"/>
    <w:rsid w:val="002E1D34"/>
    <w:rsid w:val="002E20AB"/>
    <w:rsid w:val="002E26C8"/>
    <w:rsid w:val="002E27E1"/>
    <w:rsid w:val="002E2AC3"/>
    <w:rsid w:val="002E2BF8"/>
    <w:rsid w:val="002E2FFC"/>
    <w:rsid w:val="002E33D4"/>
    <w:rsid w:val="002E35CF"/>
    <w:rsid w:val="002E37AC"/>
    <w:rsid w:val="002E3C8D"/>
    <w:rsid w:val="002E3E51"/>
    <w:rsid w:val="002E3E7F"/>
    <w:rsid w:val="002E3F13"/>
    <w:rsid w:val="002E4431"/>
    <w:rsid w:val="002E447E"/>
    <w:rsid w:val="002E471D"/>
    <w:rsid w:val="002E4903"/>
    <w:rsid w:val="002E4A44"/>
    <w:rsid w:val="002E4C9D"/>
    <w:rsid w:val="002E4CD9"/>
    <w:rsid w:val="002E4ECE"/>
    <w:rsid w:val="002E55D9"/>
    <w:rsid w:val="002E5712"/>
    <w:rsid w:val="002E58E1"/>
    <w:rsid w:val="002E5B78"/>
    <w:rsid w:val="002E5C97"/>
    <w:rsid w:val="002E614F"/>
    <w:rsid w:val="002E6174"/>
    <w:rsid w:val="002E6184"/>
    <w:rsid w:val="002E65CA"/>
    <w:rsid w:val="002E6661"/>
    <w:rsid w:val="002E68EA"/>
    <w:rsid w:val="002E71AF"/>
    <w:rsid w:val="002E749A"/>
    <w:rsid w:val="002E7543"/>
    <w:rsid w:val="002E7605"/>
    <w:rsid w:val="002E76BB"/>
    <w:rsid w:val="002E770E"/>
    <w:rsid w:val="002E7880"/>
    <w:rsid w:val="002E7AB5"/>
    <w:rsid w:val="002E7D66"/>
    <w:rsid w:val="002F0041"/>
    <w:rsid w:val="002F00DD"/>
    <w:rsid w:val="002F0217"/>
    <w:rsid w:val="002F053B"/>
    <w:rsid w:val="002F0B64"/>
    <w:rsid w:val="002F0F2E"/>
    <w:rsid w:val="002F1083"/>
    <w:rsid w:val="002F1195"/>
    <w:rsid w:val="002F1390"/>
    <w:rsid w:val="002F13D4"/>
    <w:rsid w:val="002F190A"/>
    <w:rsid w:val="002F1926"/>
    <w:rsid w:val="002F198E"/>
    <w:rsid w:val="002F19EB"/>
    <w:rsid w:val="002F1BEF"/>
    <w:rsid w:val="002F1F13"/>
    <w:rsid w:val="002F24A2"/>
    <w:rsid w:val="002F275A"/>
    <w:rsid w:val="002F278F"/>
    <w:rsid w:val="002F2941"/>
    <w:rsid w:val="002F30BD"/>
    <w:rsid w:val="002F3964"/>
    <w:rsid w:val="002F39D9"/>
    <w:rsid w:val="002F3A18"/>
    <w:rsid w:val="002F3CE6"/>
    <w:rsid w:val="002F40EF"/>
    <w:rsid w:val="002F45DA"/>
    <w:rsid w:val="002F4658"/>
    <w:rsid w:val="002F47E5"/>
    <w:rsid w:val="002F490A"/>
    <w:rsid w:val="002F4A2B"/>
    <w:rsid w:val="002F4A6D"/>
    <w:rsid w:val="002F4BC3"/>
    <w:rsid w:val="002F503D"/>
    <w:rsid w:val="002F5629"/>
    <w:rsid w:val="002F576E"/>
    <w:rsid w:val="002F59A1"/>
    <w:rsid w:val="002F5A1B"/>
    <w:rsid w:val="002F5E57"/>
    <w:rsid w:val="002F7117"/>
    <w:rsid w:val="002F72AA"/>
    <w:rsid w:val="002F77D0"/>
    <w:rsid w:val="002F79B1"/>
    <w:rsid w:val="002F7DA1"/>
    <w:rsid w:val="00300344"/>
    <w:rsid w:val="003009EE"/>
    <w:rsid w:val="00300E77"/>
    <w:rsid w:val="003011FE"/>
    <w:rsid w:val="003014C5"/>
    <w:rsid w:val="0030163B"/>
    <w:rsid w:val="00301871"/>
    <w:rsid w:val="00301E74"/>
    <w:rsid w:val="00301E78"/>
    <w:rsid w:val="00301F22"/>
    <w:rsid w:val="0030208F"/>
    <w:rsid w:val="0030258F"/>
    <w:rsid w:val="003027D6"/>
    <w:rsid w:val="00302D2D"/>
    <w:rsid w:val="00302D4C"/>
    <w:rsid w:val="00303117"/>
    <w:rsid w:val="00303158"/>
    <w:rsid w:val="003031C8"/>
    <w:rsid w:val="003032D3"/>
    <w:rsid w:val="00303472"/>
    <w:rsid w:val="00303A89"/>
    <w:rsid w:val="00303AD2"/>
    <w:rsid w:val="0030447F"/>
    <w:rsid w:val="003044C6"/>
    <w:rsid w:val="0030481E"/>
    <w:rsid w:val="00304A99"/>
    <w:rsid w:val="00304B1E"/>
    <w:rsid w:val="0030520D"/>
    <w:rsid w:val="003053F2"/>
    <w:rsid w:val="00305792"/>
    <w:rsid w:val="00305B2A"/>
    <w:rsid w:val="00305DEA"/>
    <w:rsid w:val="0030602F"/>
    <w:rsid w:val="00306084"/>
    <w:rsid w:val="003062CF"/>
    <w:rsid w:val="003063C0"/>
    <w:rsid w:val="003064B8"/>
    <w:rsid w:val="0030652F"/>
    <w:rsid w:val="00306705"/>
    <w:rsid w:val="00306C4D"/>
    <w:rsid w:val="00306CB0"/>
    <w:rsid w:val="00306F3E"/>
    <w:rsid w:val="00307023"/>
    <w:rsid w:val="00307725"/>
    <w:rsid w:val="00307F04"/>
    <w:rsid w:val="0031029D"/>
    <w:rsid w:val="00310307"/>
    <w:rsid w:val="00310562"/>
    <w:rsid w:val="00310C9F"/>
    <w:rsid w:val="00310F50"/>
    <w:rsid w:val="003113B9"/>
    <w:rsid w:val="003114E1"/>
    <w:rsid w:val="0031188D"/>
    <w:rsid w:val="003119DC"/>
    <w:rsid w:val="00311AAB"/>
    <w:rsid w:val="00311B99"/>
    <w:rsid w:val="00312407"/>
    <w:rsid w:val="003126A0"/>
    <w:rsid w:val="00312B02"/>
    <w:rsid w:val="00313181"/>
    <w:rsid w:val="00313B5D"/>
    <w:rsid w:val="00313CFA"/>
    <w:rsid w:val="00313E6C"/>
    <w:rsid w:val="003140AF"/>
    <w:rsid w:val="00314603"/>
    <w:rsid w:val="00314BEC"/>
    <w:rsid w:val="00314F58"/>
    <w:rsid w:val="003151F0"/>
    <w:rsid w:val="003154AC"/>
    <w:rsid w:val="003154FF"/>
    <w:rsid w:val="00315826"/>
    <w:rsid w:val="0031582B"/>
    <w:rsid w:val="0031635E"/>
    <w:rsid w:val="00316661"/>
    <w:rsid w:val="003168FD"/>
    <w:rsid w:val="00317390"/>
    <w:rsid w:val="0031740E"/>
    <w:rsid w:val="0031766E"/>
    <w:rsid w:val="00320140"/>
    <w:rsid w:val="003207EF"/>
    <w:rsid w:val="00320CBA"/>
    <w:rsid w:val="00320F0B"/>
    <w:rsid w:val="003211A4"/>
    <w:rsid w:val="003211A6"/>
    <w:rsid w:val="00321510"/>
    <w:rsid w:val="00321631"/>
    <w:rsid w:val="00321671"/>
    <w:rsid w:val="00321BF6"/>
    <w:rsid w:val="00321EF1"/>
    <w:rsid w:val="00322007"/>
    <w:rsid w:val="003225E8"/>
    <w:rsid w:val="003227D3"/>
    <w:rsid w:val="00322AB3"/>
    <w:rsid w:val="00322C38"/>
    <w:rsid w:val="00322CE1"/>
    <w:rsid w:val="003232FA"/>
    <w:rsid w:val="00323A63"/>
    <w:rsid w:val="00323B02"/>
    <w:rsid w:val="00323C24"/>
    <w:rsid w:val="00323CAE"/>
    <w:rsid w:val="00324036"/>
    <w:rsid w:val="003243F9"/>
    <w:rsid w:val="00324695"/>
    <w:rsid w:val="0032496A"/>
    <w:rsid w:val="00324B19"/>
    <w:rsid w:val="003252DB"/>
    <w:rsid w:val="0032548F"/>
    <w:rsid w:val="00325CB4"/>
    <w:rsid w:val="00325FE4"/>
    <w:rsid w:val="0032685C"/>
    <w:rsid w:val="003269A9"/>
    <w:rsid w:val="00326E25"/>
    <w:rsid w:val="00327030"/>
    <w:rsid w:val="0032704C"/>
    <w:rsid w:val="00327CF2"/>
    <w:rsid w:val="00327FED"/>
    <w:rsid w:val="003300E0"/>
    <w:rsid w:val="003300F4"/>
    <w:rsid w:val="00330BE7"/>
    <w:rsid w:val="00331115"/>
    <w:rsid w:val="0033119C"/>
    <w:rsid w:val="00331241"/>
    <w:rsid w:val="0033187A"/>
    <w:rsid w:val="00331D35"/>
    <w:rsid w:val="00331E97"/>
    <w:rsid w:val="00331E98"/>
    <w:rsid w:val="00332130"/>
    <w:rsid w:val="0033231E"/>
    <w:rsid w:val="003324EE"/>
    <w:rsid w:val="003326C2"/>
    <w:rsid w:val="0033276B"/>
    <w:rsid w:val="00332BD2"/>
    <w:rsid w:val="00332E09"/>
    <w:rsid w:val="00332F20"/>
    <w:rsid w:val="003330F4"/>
    <w:rsid w:val="003332FC"/>
    <w:rsid w:val="003338CD"/>
    <w:rsid w:val="0033391B"/>
    <w:rsid w:val="00333968"/>
    <w:rsid w:val="00334090"/>
    <w:rsid w:val="003345A3"/>
    <w:rsid w:val="003345CF"/>
    <w:rsid w:val="00334B5B"/>
    <w:rsid w:val="003351D6"/>
    <w:rsid w:val="003354F9"/>
    <w:rsid w:val="003360E9"/>
    <w:rsid w:val="0033615C"/>
    <w:rsid w:val="003362DB"/>
    <w:rsid w:val="003363A4"/>
    <w:rsid w:val="0033659F"/>
    <w:rsid w:val="00336B67"/>
    <w:rsid w:val="00336B90"/>
    <w:rsid w:val="00336B92"/>
    <w:rsid w:val="00336FF9"/>
    <w:rsid w:val="00337045"/>
    <w:rsid w:val="003372AD"/>
    <w:rsid w:val="0033772F"/>
    <w:rsid w:val="00337993"/>
    <w:rsid w:val="00337CD2"/>
    <w:rsid w:val="0034026E"/>
    <w:rsid w:val="003406EA"/>
    <w:rsid w:val="00340D7F"/>
    <w:rsid w:val="00341139"/>
    <w:rsid w:val="003414C6"/>
    <w:rsid w:val="00341842"/>
    <w:rsid w:val="00341845"/>
    <w:rsid w:val="00341887"/>
    <w:rsid w:val="003420DE"/>
    <w:rsid w:val="0034212B"/>
    <w:rsid w:val="00342140"/>
    <w:rsid w:val="003422D3"/>
    <w:rsid w:val="00342B4F"/>
    <w:rsid w:val="00342BA1"/>
    <w:rsid w:val="00342DBC"/>
    <w:rsid w:val="00342E0F"/>
    <w:rsid w:val="00342E95"/>
    <w:rsid w:val="00342F86"/>
    <w:rsid w:val="00342FDA"/>
    <w:rsid w:val="00343020"/>
    <w:rsid w:val="00343342"/>
    <w:rsid w:val="0034344B"/>
    <w:rsid w:val="0034345B"/>
    <w:rsid w:val="00343517"/>
    <w:rsid w:val="00343B50"/>
    <w:rsid w:val="00343D5B"/>
    <w:rsid w:val="00344522"/>
    <w:rsid w:val="00344BBB"/>
    <w:rsid w:val="00344BEE"/>
    <w:rsid w:val="00344D22"/>
    <w:rsid w:val="00344F01"/>
    <w:rsid w:val="0034589F"/>
    <w:rsid w:val="00345995"/>
    <w:rsid w:val="00345C90"/>
    <w:rsid w:val="003464AB"/>
    <w:rsid w:val="003464FD"/>
    <w:rsid w:val="00346728"/>
    <w:rsid w:val="00346880"/>
    <w:rsid w:val="003469F8"/>
    <w:rsid w:val="00346C76"/>
    <w:rsid w:val="00347001"/>
    <w:rsid w:val="003476C6"/>
    <w:rsid w:val="00347C8B"/>
    <w:rsid w:val="003500F6"/>
    <w:rsid w:val="00350EB9"/>
    <w:rsid w:val="003515FD"/>
    <w:rsid w:val="003516E9"/>
    <w:rsid w:val="00351C8D"/>
    <w:rsid w:val="00351F08"/>
    <w:rsid w:val="0035201A"/>
    <w:rsid w:val="003521DC"/>
    <w:rsid w:val="003528C3"/>
    <w:rsid w:val="00352920"/>
    <w:rsid w:val="00352B16"/>
    <w:rsid w:val="00352BA1"/>
    <w:rsid w:val="00352DCE"/>
    <w:rsid w:val="00352E6D"/>
    <w:rsid w:val="00353283"/>
    <w:rsid w:val="00353319"/>
    <w:rsid w:val="00353D74"/>
    <w:rsid w:val="00354128"/>
    <w:rsid w:val="00354170"/>
    <w:rsid w:val="00354340"/>
    <w:rsid w:val="00354414"/>
    <w:rsid w:val="0035458D"/>
    <w:rsid w:val="00354632"/>
    <w:rsid w:val="003549EE"/>
    <w:rsid w:val="003554EF"/>
    <w:rsid w:val="003557FF"/>
    <w:rsid w:val="00355B04"/>
    <w:rsid w:val="00355B7F"/>
    <w:rsid w:val="00355F3B"/>
    <w:rsid w:val="00356112"/>
    <w:rsid w:val="00356491"/>
    <w:rsid w:val="0035664E"/>
    <w:rsid w:val="00356924"/>
    <w:rsid w:val="00356AF4"/>
    <w:rsid w:val="00356ED5"/>
    <w:rsid w:val="00357033"/>
    <w:rsid w:val="003576CC"/>
    <w:rsid w:val="00357DBA"/>
    <w:rsid w:val="003600E9"/>
    <w:rsid w:val="00361610"/>
    <w:rsid w:val="00361900"/>
    <w:rsid w:val="003619E9"/>
    <w:rsid w:val="00361B3F"/>
    <w:rsid w:val="00361C9C"/>
    <w:rsid w:val="00361F33"/>
    <w:rsid w:val="00361F43"/>
    <w:rsid w:val="00361FF9"/>
    <w:rsid w:val="003620CD"/>
    <w:rsid w:val="003633FB"/>
    <w:rsid w:val="003635E4"/>
    <w:rsid w:val="0036382E"/>
    <w:rsid w:val="00363B8D"/>
    <w:rsid w:val="00364733"/>
    <w:rsid w:val="0036510E"/>
    <w:rsid w:val="00365177"/>
    <w:rsid w:val="003651BC"/>
    <w:rsid w:val="003653B9"/>
    <w:rsid w:val="00365462"/>
    <w:rsid w:val="00365494"/>
    <w:rsid w:val="003655AA"/>
    <w:rsid w:val="003657A9"/>
    <w:rsid w:val="00365BC9"/>
    <w:rsid w:val="00365F49"/>
    <w:rsid w:val="003662E9"/>
    <w:rsid w:val="003666DD"/>
    <w:rsid w:val="00366CB1"/>
    <w:rsid w:val="00366E39"/>
    <w:rsid w:val="00367385"/>
    <w:rsid w:val="00367829"/>
    <w:rsid w:val="00367B5D"/>
    <w:rsid w:val="00367BE5"/>
    <w:rsid w:val="00367F91"/>
    <w:rsid w:val="0037000F"/>
    <w:rsid w:val="003702C9"/>
    <w:rsid w:val="003713BA"/>
    <w:rsid w:val="003714E4"/>
    <w:rsid w:val="003715B8"/>
    <w:rsid w:val="00371728"/>
    <w:rsid w:val="00371DA6"/>
    <w:rsid w:val="00371E2D"/>
    <w:rsid w:val="00371F27"/>
    <w:rsid w:val="003722D3"/>
    <w:rsid w:val="00372765"/>
    <w:rsid w:val="00373072"/>
    <w:rsid w:val="003738B2"/>
    <w:rsid w:val="003739E7"/>
    <w:rsid w:val="003739F8"/>
    <w:rsid w:val="00373AE6"/>
    <w:rsid w:val="00373C72"/>
    <w:rsid w:val="00373D92"/>
    <w:rsid w:val="003749F2"/>
    <w:rsid w:val="00374AE9"/>
    <w:rsid w:val="00374F50"/>
    <w:rsid w:val="00375152"/>
    <w:rsid w:val="00375249"/>
    <w:rsid w:val="0037539F"/>
    <w:rsid w:val="00375A50"/>
    <w:rsid w:val="00375B41"/>
    <w:rsid w:val="003769B9"/>
    <w:rsid w:val="003770A3"/>
    <w:rsid w:val="003773FC"/>
    <w:rsid w:val="003773FD"/>
    <w:rsid w:val="00377560"/>
    <w:rsid w:val="00377614"/>
    <w:rsid w:val="003776FF"/>
    <w:rsid w:val="00380203"/>
    <w:rsid w:val="00380A94"/>
    <w:rsid w:val="00380BB2"/>
    <w:rsid w:val="00380E87"/>
    <w:rsid w:val="0038134F"/>
    <w:rsid w:val="003818C0"/>
    <w:rsid w:val="003819AB"/>
    <w:rsid w:val="00381CF9"/>
    <w:rsid w:val="0038230B"/>
    <w:rsid w:val="00382409"/>
    <w:rsid w:val="00382B55"/>
    <w:rsid w:val="00382E70"/>
    <w:rsid w:val="00382EDB"/>
    <w:rsid w:val="003834E7"/>
    <w:rsid w:val="0038396D"/>
    <w:rsid w:val="00383A63"/>
    <w:rsid w:val="00383F67"/>
    <w:rsid w:val="00384722"/>
    <w:rsid w:val="003847C5"/>
    <w:rsid w:val="0038487D"/>
    <w:rsid w:val="00384957"/>
    <w:rsid w:val="003849A5"/>
    <w:rsid w:val="003849DE"/>
    <w:rsid w:val="00384D1A"/>
    <w:rsid w:val="003850C7"/>
    <w:rsid w:val="00385308"/>
    <w:rsid w:val="00385384"/>
    <w:rsid w:val="003853D3"/>
    <w:rsid w:val="003857C1"/>
    <w:rsid w:val="00385F1C"/>
    <w:rsid w:val="0038628D"/>
    <w:rsid w:val="003862A0"/>
    <w:rsid w:val="003862BF"/>
    <w:rsid w:val="0038662A"/>
    <w:rsid w:val="00386903"/>
    <w:rsid w:val="00386CA2"/>
    <w:rsid w:val="00386E23"/>
    <w:rsid w:val="003871DC"/>
    <w:rsid w:val="0038764E"/>
    <w:rsid w:val="00387CAF"/>
    <w:rsid w:val="00390DA8"/>
    <w:rsid w:val="00390E2C"/>
    <w:rsid w:val="00390E79"/>
    <w:rsid w:val="00391262"/>
    <w:rsid w:val="0039136E"/>
    <w:rsid w:val="0039167A"/>
    <w:rsid w:val="00391B7B"/>
    <w:rsid w:val="00391D55"/>
    <w:rsid w:val="00391D89"/>
    <w:rsid w:val="00391FE0"/>
    <w:rsid w:val="003920C7"/>
    <w:rsid w:val="00392390"/>
    <w:rsid w:val="003925D3"/>
    <w:rsid w:val="00392A5F"/>
    <w:rsid w:val="00392B8C"/>
    <w:rsid w:val="00392D8D"/>
    <w:rsid w:val="00392F3B"/>
    <w:rsid w:val="00392F6D"/>
    <w:rsid w:val="003931CA"/>
    <w:rsid w:val="00393271"/>
    <w:rsid w:val="003933AE"/>
    <w:rsid w:val="003936CF"/>
    <w:rsid w:val="00393AC9"/>
    <w:rsid w:val="0039452C"/>
    <w:rsid w:val="00394593"/>
    <w:rsid w:val="00394831"/>
    <w:rsid w:val="003949E3"/>
    <w:rsid w:val="0039520F"/>
    <w:rsid w:val="00395633"/>
    <w:rsid w:val="00395831"/>
    <w:rsid w:val="003959D1"/>
    <w:rsid w:val="0039625E"/>
    <w:rsid w:val="00396CF6"/>
    <w:rsid w:val="00396EDD"/>
    <w:rsid w:val="00396F18"/>
    <w:rsid w:val="00397067"/>
    <w:rsid w:val="0039765E"/>
    <w:rsid w:val="0039790B"/>
    <w:rsid w:val="003979F1"/>
    <w:rsid w:val="00397CC5"/>
    <w:rsid w:val="00397DA1"/>
    <w:rsid w:val="00397EBA"/>
    <w:rsid w:val="003A0141"/>
    <w:rsid w:val="003A0245"/>
    <w:rsid w:val="003A028D"/>
    <w:rsid w:val="003A0873"/>
    <w:rsid w:val="003A0A90"/>
    <w:rsid w:val="003A0D47"/>
    <w:rsid w:val="003A0DF4"/>
    <w:rsid w:val="003A1D88"/>
    <w:rsid w:val="003A1DB7"/>
    <w:rsid w:val="003A1DE7"/>
    <w:rsid w:val="003A203E"/>
    <w:rsid w:val="003A2275"/>
    <w:rsid w:val="003A286E"/>
    <w:rsid w:val="003A2870"/>
    <w:rsid w:val="003A2A33"/>
    <w:rsid w:val="003A2A68"/>
    <w:rsid w:val="003A2BB8"/>
    <w:rsid w:val="003A2E86"/>
    <w:rsid w:val="003A3009"/>
    <w:rsid w:val="003A3187"/>
    <w:rsid w:val="003A332C"/>
    <w:rsid w:val="003A3F17"/>
    <w:rsid w:val="003A3F4C"/>
    <w:rsid w:val="003A4200"/>
    <w:rsid w:val="003A455F"/>
    <w:rsid w:val="003A458A"/>
    <w:rsid w:val="003A46F1"/>
    <w:rsid w:val="003A4932"/>
    <w:rsid w:val="003A4AB8"/>
    <w:rsid w:val="003A4B47"/>
    <w:rsid w:val="003A4FB8"/>
    <w:rsid w:val="003A4FB9"/>
    <w:rsid w:val="003A5448"/>
    <w:rsid w:val="003A578C"/>
    <w:rsid w:val="003A589C"/>
    <w:rsid w:val="003A5E0F"/>
    <w:rsid w:val="003A5E94"/>
    <w:rsid w:val="003A5EC4"/>
    <w:rsid w:val="003A6005"/>
    <w:rsid w:val="003A61F5"/>
    <w:rsid w:val="003A66F7"/>
    <w:rsid w:val="003A6765"/>
    <w:rsid w:val="003A6B36"/>
    <w:rsid w:val="003A70B0"/>
    <w:rsid w:val="003A75E0"/>
    <w:rsid w:val="003A762B"/>
    <w:rsid w:val="003A762F"/>
    <w:rsid w:val="003A77A3"/>
    <w:rsid w:val="003A77D7"/>
    <w:rsid w:val="003A7C36"/>
    <w:rsid w:val="003A7CC8"/>
    <w:rsid w:val="003A7E7D"/>
    <w:rsid w:val="003B0040"/>
    <w:rsid w:val="003B0390"/>
    <w:rsid w:val="003B06A5"/>
    <w:rsid w:val="003B0D11"/>
    <w:rsid w:val="003B0E74"/>
    <w:rsid w:val="003B0FB7"/>
    <w:rsid w:val="003B1461"/>
    <w:rsid w:val="003B172B"/>
    <w:rsid w:val="003B18F0"/>
    <w:rsid w:val="003B20D8"/>
    <w:rsid w:val="003B210A"/>
    <w:rsid w:val="003B2148"/>
    <w:rsid w:val="003B2760"/>
    <w:rsid w:val="003B28B6"/>
    <w:rsid w:val="003B2984"/>
    <w:rsid w:val="003B3A33"/>
    <w:rsid w:val="003B3A5F"/>
    <w:rsid w:val="003B3B95"/>
    <w:rsid w:val="003B3CA3"/>
    <w:rsid w:val="003B3E2E"/>
    <w:rsid w:val="003B4373"/>
    <w:rsid w:val="003B455F"/>
    <w:rsid w:val="003B4677"/>
    <w:rsid w:val="003B4864"/>
    <w:rsid w:val="003B4C49"/>
    <w:rsid w:val="003B52D0"/>
    <w:rsid w:val="003B5A50"/>
    <w:rsid w:val="003B5BA9"/>
    <w:rsid w:val="003B5F0A"/>
    <w:rsid w:val="003B650F"/>
    <w:rsid w:val="003B65F6"/>
    <w:rsid w:val="003B696D"/>
    <w:rsid w:val="003B6CB7"/>
    <w:rsid w:val="003B7012"/>
    <w:rsid w:val="003B703E"/>
    <w:rsid w:val="003B72C3"/>
    <w:rsid w:val="003B7471"/>
    <w:rsid w:val="003B7485"/>
    <w:rsid w:val="003B772B"/>
    <w:rsid w:val="003B78CB"/>
    <w:rsid w:val="003B7B2F"/>
    <w:rsid w:val="003B7E0C"/>
    <w:rsid w:val="003B7F66"/>
    <w:rsid w:val="003C03E0"/>
    <w:rsid w:val="003C0443"/>
    <w:rsid w:val="003C04B7"/>
    <w:rsid w:val="003C0604"/>
    <w:rsid w:val="003C08CA"/>
    <w:rsid w:val="003C0BCC"/>
    <w:rsid w:val="003C0DD5"/>
    <w:rsid w:val="003C0E79"/>
    <w:rsid w:val="003C0EF5"/>
    <w:rsid w:val="003C10FC"/>
    <w:rsid w:val="003C12BE"/>
    <w:rsid w:val="003C1459"/>
    <w:rsid w:val="003C1628"/>
    <w:rsid w:val="003C195A"/>
    <w:rsid w:val="003C1CE0"/>
    <w:rsid w:val="003C2227"/>
    <w:rsid w:val="003C2274"/>
    <w:rsid w:val="003C22EF"/>
    <w:rsid w:val="003C24F8"/>
    <w:rsid w:val="003C250B"/>
    <w:rsid w:val="003C2AED"/>
    <w:rsid w:val="003C2D04"/>
    <w:rsid w:val="003C31ED"/>
    <w:rsid w:val="003C3578"/>
    <w:rsid w:val="003C38B1"/>
    <w:rsid w:val="003C3ABC"/>
    <w:rsid w:val="003C3AC4"/>
    <w:rsid w:val="003C400F"/>
    <w:rsid w:val="003C44BF"/>
    <w:rsid w:val="003C462C"/>
    <w:rsid w:val="003C4B34"/>
    <w:rsid w:val="003C4D2C"/>
    <w:rsid w:val="003C520B"/>
    <w:rsid w:val="003C5435"/>
    <w:rsid w:val="003C54E6"/>
    <w:rsid w:val="003C585D"/>
    <w:rsid w:val="003C5B1D"/>
    <w:rsid w:val="003C5D90"/>
    <w:rsid w:val="003C6280"/>
    <w:rsid w:val="003C670C"/>
    <w:rsid w:val="003C6895"/>
    <w:rsid w:val="003C6ABE"/>
    <w:rsid w:val="003C6BA6"/>
    <w:rsid w:val="003C7807"/>
    <w:rsid w:val="003C7DBD"/>
    <w:rsid w:val="003C7F03"/>
    <w:rsid w:val="003C7FA4"/>
    <w:rsid w:val="003D0307"/>
    <w:rsid w:val="003D0806"/>
    <w:rsid w:val="003D0CB4"/>
    <w:rsid w:val="003D0D29"/>
    <w:rsid w:val="003D0D7F"/>
    <w:rsid w:val="003D10EC"/>
    <w:rsid w:val="003D16C1"/>
    <w:rsid w:val="003D16CE"/>
    <w:rsid w:val="003D1A06"/>
    <w:rsid w:val="003D1B86"/>
    <w:rsid w:val="003D1D4B"/>
    <w:rsid w:val="003D1FA4"/>
    <w:rsid w:val="003D2447"/>
    <w:rsid w:val="003D2D49"/>
    <w:rsid w:val="003D33ED"/>
    <w:rsid w:val="003D3797"/>
    <w:rsid w:val="003D38A7"/>
    <w:rsid w:val="003D3945"/>
    <w:rsid w:val="003D39E0"/>
    <w:rsid w:val="003D3D38"/>
    <w:rsid w:val="003D4369"/>
    <w:rsid w:val="003D4435"/>
    <w:rsid w:val="003D4610"/>
    <w:rsid w:val="003D4864"/>
    <w:rsid w:val="003D4E15"/>
    <w:rsid w:val="003D512D"/>
    <w:rsid w:val="003D5287"/>
    <w:rsid w:val="003D5A68"/>
    <w:rsid w:val="003D5C4C"/>
    <w:rsid w:val="003D5EA1"/>
    <w:rsid w:val="003D5EA7"/>
    <w:rsid w:val="003D612F"/>
    <w:rsid w:val="003D6260"/>
    <w:rsid w:val="003D650B"/>
    <w:rsid w:val="003D66B0"/>
    <w:rsid w:val="003D67B1"/>
    <w:rsid w:val="003D68CC"/>
    <w:rsid w:val="003D6BF9"/>
    <w:rsid w:val="003D71A1"/>
    <w:rsid w:val="003D722E"/>
    <w:rsid w:val="003D7278"/>
    <w:rsid w:val="003D72E5"/>
    <w:rsid w:val="003D73DA"/>
    <w:rsid w:val="003D7554"/>
    <w:rsid w:val="003D7669"/>
    <w:rsid w:val="003D793E"/>
    <w:rsid w:val="003D7BD5"/>
    <w:rsid w:val="003E033C"/>
    <w:rsid w:val="003E033F"/>
    <w:rsid w:val="003E0CB5"/>
    <w:rsid w:val="003E0DB3"/>
    <w:rsid w:val="003E1311"/>
    <w:rsid w:val="003E1397"/>
    <w:rsid w:val="003E18CC"/>
    <w:rsid w:val="003E1917"/>
    <w:rsid w:val="003E1D68"/>
    <w:rsid w:val="003E1F49"/>
    <w:rsid w:val="003E2398"/>
    <w:rsid w:val="003E24FA"/>
    <w:rsid w:val="003E26EB"/>
    <w:rsid w:val="003E27B4"/>
    <w:rsid w:val="003E293A"/>
    <w:rsid w:val="003E2D21"/>
    <w:rsid w:val="003E2DCA"/>
    <w:rsid w:val="003E2DD4"/>
    <w:rsid w:val="003E2F01"/>
    <w:rsid w:val="003E33C7"/>
    <w:rsid w:val="003E33F0"/>
    <w:rsid w:val="003E3B59"/>
    <w:rsid w:val="003E3C40"/>
    <w:rsid w:val="003E42BB"/>
    <w:rsid w:val="003E432A"/>
    <w:rsid w:val="003E4336"/>
    <w:rsid w:val="003E49E7"/>
    <w:rsid w:val="003E4FA5"/>
    <w:rsid w:val="003E5082"/>
    <w:rsid w:val="003E50AA"/>
    <w:rsid w:val="003E5465"/>
    <w:rsid w:val="003E5780"/>
    <w:rsid w:val="003E5971"/>
    <w:rsid w:val="003E5DED"/>
    <w:rsid w:val="003E601F"/>
    <w:rsid w:val="003E6273"/>
    <w:rsid w:val="003E6474"/>
    <w:rsid w:val="003E65C2"/>
    <w:rsid w:val="003E6662"/>
    <w:rsid w:val="003E6764"/>
    <w:rsid w:val="003E67AF"/>
    <w:rsid w:val="003E6BFE"/>
    <w:rsid w:val="003E70D8"/>
    <w:rsid w:val="003E7314"/>
    <w:rsid w:val="003E7611"/>
    <w:rsid w:val="003E78C3"/>
    <w:rsid w:val="003E78F6"/>
    <w:rsid w:val="003E7B37"/>
    <w:rsid w:val="003E7F45"/>
    <w:rsid w:val="003F0078"/>
    <w:rsid w:val="003F01A0"/>
    <w:rsid w:val="003F02D8"/>
    <w:rsid w:val="003F07F2"/>
    <w:rsid w:val="003F0829"/>
    <w:rsid w:val="003F0914"/>
    <w:rsid w:val="003F09B8"/>
    <w:rsid w:val="003F09C6"/>
    <w:rsid w:val="003F0F6E"/>
    <w:rsid w:val="003F0F9E"/>
    <w:rsid w:val="003F111B"/>
    <w:rsid w:val="003F1569"/>
    <w:rsid w:val="003F182C"/>
    <w:rsid w:val="003F1B50"/>
    <w:rsid w:val="003F1C6D"/>
    <w:rsid w:val="003F22F6"/>
    <w:rsid w:val="003F2349"/>
    <w:rsid w:val="003F239B"/>
    <w:rsid w:val="003F28C6"/>
    <w:rsid w:val="003F29A3"/>
    <w:rsid w:val="003F2E24"/>
    <w:rsid w:val="003F2E76"/>
    <w:rsid w:val="003F3623"/>
    <w:rsid w:val="003F3725"/>
    <w:rsid w:val="003F3A6E"/>
    <w:rsid w:val="003F3CD8"/>
    <w:rsid w:val="003F4119"/>
    <w:rsid w:val="003F4448"/>
    <w:rsid w:val="003F4648"/>
    <w:rsid w:val="003F4AC0"/>
    <w:rsid w:val="003F4D2E"/>
    <w:rsid w:val="003F4E35"/>
    <w:rsid w:val="003F4ED0"/>
    <w:rsid w:val="003F51D2"/>
    <w:rsid w:val="003F5394"/>
    <w:rsid w:val="003F56C6"/>
    <w:rsid w:val="003F5EEA"/>
    <w:rsid w:val="003F6B0B"/>
    <w:rsid w:val="003F6BC4"/>
    <w:rsid w:val="003F6DCF"/>
    <w:rsid w:val="003F74C0"/>
    <w:rsid w:val="003F757F"/>
    <w:rsid w:val="003F7628"/>
    <w:rsid w:val="003F771A"/>
    <w:rsid w:val="003F777D"/>
    <w:rsid w:val="003F77DC"/>
    <w:rsid w:val="003F7B27"/>
    <w:rsid w:val="003F7E0D"/>
    <w:rsid w:val="00400025"/>
    <w:rsid w:val="0040016E"/>
    <w:rsid w:val="00400F53"/>
    <w:rsid w:val="00401260"/>
    <w:rsid w:val="0040128C"/>
    <w:rsid w:val="004014E3"/>
    <w:rsid w:val="004014F6"/>
    <w:rsid w:val="00401C0B"/>
    <w:rsid w:val="004020E5"/>
    <w:rsid w:val="00402346"/>
    <w:rsid w:val="0040259D"/>
    <w:rsid w:val="00402AC6"/>
    <w:rsid w:val="00402BA0"/>
    <w:rsid w:val="0040309F"/>
    <w:rsid w:val="00403115"/>
    <w:rsid w:val="004035AF"/>
    <w:rsid w:val="00403B38"/>
    <w:rsid w:val="00403C47"/>
    <w:rsid w:val="00403D0E"/>
    <w:rsid w:val="00403EA0"/>
    <w:rsid w:val="00405116"/>
    <w:rsid w:val="00405387"/>
    <w:rsid w:val="00405489"/>
    <w:rsid w:val="00405607"/>
    <w:rsid w:val="0040588F"/>
    <w:rsid w:val="00405B3F"/>
    <w:rsid w:val="0040616A"/>
    <w:rsid w:val="00406182"/>
    <w:rsid w:val="00406607"/>
    <w:rsid w:val="004067E6"/>
    <w:rsid w:val="00406BAE"/>
    <w:rsid w:val="00406D82"/>
    <w:rsid w:val="00406E9F"/>
    <w:rsid w:val="00406EC9"/>
    <w:rsid w:val="004070F4"/>
    <w:rsid w:val="0040718B"/>
    <w:rsid w:val="00407326"/>
    <w:rsid w:val="004077B9"/>
    <w:rsid w:val="00407B0F"/>
    <w:rsid w:val="00407B1B"/>
    <w:rsid w:val="00407C4A"/>
    <w:rsid w:val="004105F0"/>
    <w:rsid w:val="004106F1"/>
    <w:rsid w:val="00410760"/>
    <w:rsid w:val="00410B56"/>
    <w:rsid w:val="0041114E"/>
    <w:rsid w:val="004120DC"/>
    <w:rsid w:val="00412456"/>
    <w:rsid w:val="004125D1"/>
    <w:rsid w:val="00412623"/>
    <w:rsid w:val="00412B69"/>
    <w:rsid w:val="004132AD"/>
    <w:rsid w:val="00413A3E"/>
    <w:rsid w:val="00413A74"/>
    <w:rsid w:val="00413B1B"/>
    <w:rsid w:val="00413D32"/>
    <w:rsid w:val="00413D3C"/>
    <w:rsid w:val="00414078"/>
    <w:rsid w:val="00414276"/>
    <w:rsid w:val="00414404"/>
    <w:rsid w:val="00414514"/>
    <w:rsid w:val="00414D83"/>
    <w:rsid w:val="00414F28"/>
    <w:rsid w:val="0041561F"/>
    <w:rsid w:val="00415718"/>
    <w:rsid w:val="00415A14"/>
    <w:rsid w:val="00415F05"/>
    <w:rsid w:val="0041629C"/>
    <w:rsid w:val="00416593"/>
    <w:rsid w:val="004165AF"/>
    <w:rsid w:val="0041673F"/>
    <w:rsid w:val="00417472"/>
    <w:rsid w:val="004176D2"/>
    <w:rsid w:val="00417EE5"/>
    <w:rsid w:val="00417F3D"/>
    <w:rsid w:val="00420048"/>
    <w:rsid w:val="00420748"/>
    <w:rsid w:val="00420933"/>
    <w:rsid w:val="0042099F"/>
    <w:rsid w:val="00420BC7"/>
    <w:rsid w:val="00420F18"/>
    <w:rsid w:val="004212A8"/>
    <w:rsid w:val="0042266C"/>
    <w:rsid w:val="004226E6"/>
    <w:rsid w:val="00422C95"/>
    <w:rsid w:val="0042310C"/>
    <w:rsid w:val="00423130"/>
    <w:rsid w:val="0042354D"/>
    <w:rsid w:val="0042356D"/>
    <w:rsid w:val="00423619"/>
    <w:rsid w:val="00423670"/>
    <w:rsid w:val="00423FC7"/>
    <w:rsid w:val="0042455B"/>
    <w:rsid w:val="004246E6"/>
    <w:rsid w:val="00424BD5"/>
    <w:rsid w:val="00424BE4"/>
    <w:rsid w:val="00424C33"/>
    <w:rsid w:val="00424EDB"/>
    <w:rsid w:val="004251E2"/>
    <w:rsid w:val="004254CC"/>
    <w:rsid w:val="0042579C"/>
    <w:rsid w:val="00425839"/>
    <w:rsid w:val="00425905"/>
    <w:rsid w:val="00425D16"/>
    <w:rsid w:val="00426B4A"/>
    <w:rsid w:val="00426E65"/>
    <w:rsid w:val="00426F05"/>
    <w:rsid w:val="004271AB"/>
    <w:rsid w:val="00427406"/>
    <w:rsid w:val="00427899"/>
    <w:rsid w:val="004278A1"/>
    <w:rsid w:val="0042799C"/>
    <w:rsid w:val="00427B5D"/>
    <w:rsid w:val="00427CC5"/>
    <w:rsid w:val="00430009"/>
    <w:rsid w:val="0043005C"/>
    <w:rsid w:val="0043043F"/>
    <w:rsid w:val="00430739"/>
    <w:rsid w:val="004307F8"/>
    <w:rsid w:val="00430AE7"/>
    <w:rsid w:val="00430D13"/>
    <w:rsid w:val="004311E4"/>
    <w:rsid w:val="00431336"/>
    <w:rsid w:val="00431827"/>
    <w:rsid w:val="00431D6F"/>
    <w:rsid w:val="0043207A"/>
    <w:rsid w:val="00432177"/>
    <w:rsid w:val="0043224D"/>
    <w:rsid w:val="0043237A"/>
    <w:rsid w:val="0043280E"/>
    <w:rsid w:val="004328C7"/>
    <w:rsid w:val="004329C1"/>
    <w:rsid w:val="00432A62"/>
    <w:rsid w:val="00432BF6"/>
    <w:rsid w:val="00432FD4"/>
    <w:rsid w:val="004330FD"/>
    <w:rsid w:val="0043367A"/>
    <w:rsid w:val="00433BB2"/>
    <w:rsid w:val="00433C08"/>
    <w:rsid w:val="00433DCC"/>
    <w:rsid w:val="004347B3"/>
    <w:rsid w:val="00434890"/>
    <w:rsid w:val="00434F34"/>
    <w:rsid w:val="00435C4D"/>
    <w:rsid w:val="00436256"/>
    <w:rsid w:val="00436292"/>
    <w:rsid w:val="00436569"/>
    <w:rsid w:val="00436796"/>
    <w:rsid w:val="004367D0"/>
    <w:rsid w:val="004368E1"/>
    <w:rsid w:val="004369A5"/>
    <w:rsid w:val="00436B02"/>
    <w:rsid w:val="00436F29"/>
    <w:rsid w:val="00437194"/>
    <w:rsid w:val="0043753B"/>
    <w:rsid w:val="00437924"/>
    <w:rsid w:val="0043794E"/>
    <w:rsid w:val="00437E82"/>
    <w:rsid w:val="00440002"/>
    <w:rsid w:val="0044034F"/>
    <w:rsid w:val="00440544"/>
    <w:rsid w:val="0044072F"/>
    <w:rsid w:val="0044097C"/>
    <w:rsid w:val="00440C58"/>
    <w:rsid w:val="00440C93"/>
    <w:rsid w:val="0044166E"/>
    <w:rsid w:val="00441973"/>
    <w:rsid w:val="00441B84"/>
    <w:rsid w:val="00441C2D"/>
    <w:rsid w:val="00441D69"/>
    <w:rsid w:val="0044222D"/>
    <w:rsid w:val="0044248E"/>
    <w:rsid w:val="004427E5"/>
    <w:rsid w:val="00443416"/>
    <w:rsid w:val="004439DF"/>
    <w:rsid w:val="00443D4E"/>
    <w:rsid w:val="00443EA9"/>
    <w:rsid w:val="00443FCC"/>
    <w:rsid w:val="00444184"/>
    <w:rsid w:val="0044490D"/>
    <w:rsid w:val="004449CB"/>
    <w:rsid w:val="00444A7F"/>
    <w:rsid w:val="00444C0E"/>
    <w:rsid w:val="00445092"/>
    <w:rsid w:val="004452F0"/>
    <w:rsid w:val="004455CA"/>
    <w:rsid w:val="00445669"/>
    <w:rsid w:val="00445992"/>
    <w:rsid w:val="00445A1E"/>
    <w:rsid w:val="004464F9"/>
    <w:rsid w:val="00446518"/>
    <w:rsid w:val="004468D9"/>
    <w:rsid w:val="0044728D"/>
    <w:rsid w:val="004473E8"/>
    <w:rsid w:val="00447539"/>
    <w:rsid w:val="004477EB"/>
    <w:rsid w:val="00447F2D"/>
    <w:rsid w:val="00447F7F"/>
    <w:rsid w:val="004501CD"/>
    <w:rsid w:val="004501D5"/>
    <w:rsid w:val="00450216"/>
    <w:rsid w:val="00450310"/>
    <w:rsid w:val="00450477"/>
    <w:rsid w:val="00450D47"/>
    <w:rsid w:val="00451077"/>
    <w:rsid w:val="00451348"/>
    <w:rsid w:val="00451A3B"/>
    <w:rsid w:val="00451BDB"/>
    <w:rsid w:val="00451E6E"/>
    <w:rsid w:val="00452790"/>
    <w:rsid w:val="00452A23"/>
    <w:rsid w:val="004537B6"/>
    <w:rsid w:val="004539E4"/>
    <w:rsid w:val="00453E84"/>
    <w:rsid w:val="00454291"/>
    <w:rsid w:val="00454611"/>
    <w:rsid w:val="004549D9"/>
    <w:rsid w:val="004549DB"/>
    <w:rsid w:val="00454CCA"/>
    <w:rsid w:val="00454E73"/>
    <w:rsid w:val="00455242"/>
    <w:rsid w:val="004556BE"/>
    <w:rsid w:val="004557DA"/>
    <w:rsid w:val="00455D2B"/>
    <w:rsid w:val="00455E5A"/>
    <w:rsid w:val="00455F40"/>
    <w:rsid w:val="00455FB6"/>
    <w:rsid w:val="0045610C"/>
    <w:rsid w:val="0045612A"/>
    <w:rsid w:val="00456197"/>
    <w:rsid w:val="00456290"/>
    <w:rsid w:val="00456362"/>
    <w:rsid w:val="0045664A"/>
    <w:rsid w:val="00456709"/>
    <w:rsid w:val="004569BD"/>
    <w:rsid w:val="00456C3A"/>
    <w:rsid w:val="00456CAA"/>
    <w:rsid w:val="00456E13"/>
    <w:rsid w:val="00456E3A"/>
    <w:rsid w:val="00456E8E"/>
    <w:rsid w:val="0045708A"/>
    <w:rsid w:val="00457287"/>
    <w:rsid w:val="0045750C"/>
    <w:rsid w:val="00457581"/>
    <w:rsid w:val="00457D04"/>
    <w:rsid w:val="00457E10"/>
    <w:rsid w:val="0046006E"/>
    <w:rsid w:val="004600AC"/>
    <w:rsid w:val="00460149"/>
    <w:rsid w:val="00460417"/>
    <w:rsid w:val="00460A0B"/>
    <w:rsid w:val="00460D79"/>
    <w:rsid w:val="00460DA2"/>
    <w:rsid w:val="00460F39"/>
    <w:rsid w:val="00461119"/>
    <w:rsid w:val="00461713"/>
    <w:rsid w:val="00461A86"/>
    <w:rsid w:val="00461ABB"/>
    <w:rsid w:val="00461B58"/>
    <w:rsid w:val="00461C58"/>
    <w:rsid w:val="00461D8D"/>
    <w:rsid w:val="00461F0B"/>
    <w:rsid w:val="00461F7C"/>
    <w:rsid w:val="00461FF4"/>
    <w:rsid w:val="00462964"/>
    <w:rsid w:val="00462A64"/>
    <w:rsid w:val="004630F9"/>
    <w:rsid w:val="00463240"/>
    <w:rsid w:val="004634E5"/>
    <w:rsid w:val="00463657"/>
    <w:rsid w:val="0046367A"/>
    <w:rsid w:val="00463AA2"/>
    <w:rsid w:val="00464296"/>
    <w:rsid w:val="00464306"/>
    <w:rsid w:val="0046445E"/>
    <w:rsid w:val="00464531"/>
    <w:rsid w:val="00464939"/>
    <w:rsid w:val="00464A0D"/>
    <w:rsid w:val="00464D2B"/>
    <w:rsid w:val="00464D88"/>
    <w:rsid w:val="00464F51"/>
    <w:rsid w:val="00465354"/>
    <w:rsid w:val="004657FF"/>
    <w:rsid w:val="004658DB"/>
    <w:rsid w:val="00466019"/>
    <w:rsid w:val="00466739"/>
    <w:rsid w:val="00466C21"/>
    <w:rsid w:val="004677F2"/>
    <w:rsid w:val="004678A1"/>
    <w:rsid w:val="00467953"/>
    <w:rsid w:val="00470771"/>
    <w:rsid w:val="004708DA"/>
    <w:rsid w:val="00470D3A"/>
    <w:rsid w:val="00470D60"/>
    <w:rsid w:val="0047122E"/>
    <w:rsid w:val="0047148B"/>
    <w:rsid w:val="00471C55"/>
    <w:rsid w:val="00471E09"/>
    <w:rsid w:val="00471FEC"/>
    <w:rsid w:val="0047213B"/>
    <w:rsid w:val="0047278E"/>
    <w:rsid w:val="00472ABD"/>
    <w:rsid w:val="00472DE1"/>
    <w:rsid w:val="00473581"/>
    <w:rsid w:val="004736D2"/>
    <w:rsid w:val="00473889"/>
    <w:rsid w:val="00473959"/>
    <w:rsid w:val="004741DC"/>
    <w:rsid w:val="0047420B"/>
    <w:rsid w:val="00474B5D"/>
    <w:rsid w:val="00474C2D"/>
    <w:rsid w:val="00474D3E"/>
    <w:rsid w:val="004758AE"/>
    <w:rsid w:val="00475B1E"/>
    <w:rsid w:val="00475BF3"/>
    <w:rsid w:val="00475C57"/>
    <w:rsid w:val="00475DED"/>
    <w:rsid w:val="00476190"/>
    <w:rsid w:val="004762E9"/>
    <w:rsid w:val="00476317"/>
    <w:rsid w:val="004763AC"/>
    <w:rsid w:val="004768E9"/>
    <w:rsid w:val="00476A8E"/>
    <w:rsid w:val="00476EAB"/>
    <w:rsid w:val="00477852"/>
    <w:rsid w:val="00477C59"/>
    <w:rsid w:val="00477E8F"/>
    <w:rsid w:val="004803F1"/>
    <w:rsid w:val="00480605"/>
    <w:rsid w:val="00480D36"/>
    <w:rsid w:val="00480F14"/>
    <w:rsid w:val="00480F81"/>
    <w:rsid w:val="0048144C"/>
    <w:rsid w:val="004814FC"/>
    <w:rsid w:val="004815DA"/>
    <w:rsid w:val="004816EC"/>
    <w:rsid w:val="004818EF"/>
    <w:rsid w:val="004818F7"/>
    <w:rsid w:val="00481994"/>
    <w:rsid w:val="004822C8"/>
    <w:rsid w:val="004822DE"/>
    <w:rsid w:val="0048234D"/>
    <w:rsid w:val="00482474"/>
    <w:rsid w:val="004826B3"/>
    <w:rsid w:val="00482793"/>
    <w:rsid w:val="004828DC"/>
    <w:rsid w:val="00482AB4"/>
    <w:rsid w:val="00482AF6"/>
    <w:rsid w:val="00482C6E"/>
    <w:rsid w:val="00482D43"/>
    <w:rsid w:val="004830EE"/>
    <w:rsid w:val="0048362D"/>
    <w:rsid w:val="00483C47"/>
    <w:rsid w:val="00483FBF"/>
    <w:rsid w:val="004842C0"/>
    <w:rsid w:val="00484344"/>
    <w:rsid w:val="00484349"/>
    <w:rsid w:val="004845F5"/>
    <w:rsid w:val="00484AF0"/>
    <w:rsid w:val="00485427"/>
    <w:rsid w:val="0048561A"/>
    <w:rsid w:val="00485D2D"/>
    <w:rsid w:val="00486173"/>
    <w:rsid w:val="00486294"/>
    <w:rsid w:val="00486713"/>
    <w:rsid w:val="00486721"/>
    <w:rsid w:val="004871C2"/>
    <w:rsid w:val="004872DE"/>
    <w:rsid w:val="00487B30"/>
    <w:rsid w:val="00487B31"/>
    <w:rsid w:val="00487E67"/>
    <w:rsid w:val="004906F4"/>
    <w:rsid w:val="00490703"/>
    <w:rsid w:val="004907F0"/>
    <w:rsid w:val="00490D6D"/>
    <w:rsid w:val="00490ED3"/>
    <w:rsid w:val="00490F35"/>
    <w:rsid w:val="00490F94"/>
    <w:rsid w:val="004912EF"/>
    <w:rsid w:val="004914CA"/>
    <w:rsid w:val="0049153C"/>
    <w:rsid w:val="00491E17"/>
    <w:rsid w:val="00491E8A"/>
    <w:rsid w:val="0049236B"/>
    <w:rsid w:val="004924BD"/>
    <w:rsid w:val="00492559"/>
    <w:rsid w:val="0049298C"/>
    <w:rsid w:val="00492A25"/>
    <w:rsid w:val="00493164"/>
    <w:rsid w:val="00493711"/>
    <w:rsid w:val="00493B12"/>
    <w:rsid w:val="00494029"/>
    <w:rsid w:val="004941C8"/>
    <w:rsid w:val="00494828"/>
    <w:rsid w:val="00494C43"/>
    <w:rsid w:val="00495410"/>
    <w:rsid w:val="00495718"/>
    <w:rsid w:val="004958D3"/>
    <w:rsid w:val="00495A6A"/>
    <w:rsid w:val="00495E74"/>
    <w:rsid w:val="004964C2"/>
    <w:rsid w:val="00496603"/>
    <w:rsid w:val="00496FEE"/>
    <w:rsid w:val="0049707C"/>
    <w:rsid w:val="004971D8"/>
    <w:rsid w:val="0049742A"/>
    <w:rsid w:val="004974C2"/>
    <w:rsid w:val="00497845"/>
    <w:rsid w:val="0049799F"/>
    <w:rsid w:val="00497AD0"/>
    <w:rsid w:val="00497F50"/>
    <w:rsid w:val="004A019E"/>
    <w:rsid w:val="004A062A"/>
    <w:rsid w:val="004A066D"/>
    <w:rsid w:val="004A0670"/>
    <w:rsid w:val="004A06ED"/>
    <w:rsid w:val="004A0CFF"/>
    <w:rsid w:val="004A0E13"/>
    <w:rsid w:val="004A0FFB"/>
    <w:rsid w:val="004A1043"/>
    <w:rsid w:val="004A1DB9"/>
    <w:rsid w:val="004A2167"/>
    <w:rsid w:val="004A22CB"/>
    <w:rsid w:val="004A26B1"/>
    <w:rsid w:val="004A27A7"/>
    <w:rsid w:val="004A28E8"/>
    <w:rsid w:val="004A2996"/>
    <w:rsid w:val="004A299B"/>
    <w:rsid w:val="004A3ACF"/>
    <w:rsid w:val="004A3C45"/>
    <w:rsid w:val="004A3C54"/>
    <w:rsid w:val="004A40A7"/>
    <w:rsid w:val="004A42F4"/>
    <w:rsid w:val="004A4454"/>
    <w:rsid w:val="004A4605"/>
    <w:rsid w:val="004A4616"/>
    <w:rsid w:val="004A4754"/>
    <w:rsid w:val="004A4DDB"/>
    <w:rsid w:val="004A4E72"/>
    <w:rsid w:val="004A52F9"/>
    <w:rsid w:val="004A5874"/>
    <w:rsid w:val="004A5BC4"/>
    <w:rsid w:val="004A5C59"/>
    <w:rsid w:val="004A5F89"/>
    <w:rsid w:val="004A64D3"/>
    <w:rsid w:val="004A6612"/>
    <w:rsid w:val="004A6B53"/>
    <w:rsid w:val="004A6E0B"/>
    <w:rsid w:val="004A724A"/>
    <w:rsid w:val="004A75E6"/>
    <w:rsid w:val="004A76DD"/>
    <w:rsid w:val="004A76F1"/>
    <w:rsid w:val="004A7B59"/>
    <w:rsid w:val="004A7D55"/>
    <w:rsid w:val="004B0006"/>
    <w:rsid w:val="004B0261"/>
    <w:rsid w:val="004B0532"/>
    <w:rsid w:val="004B0775"/>
    <w:rsid w:val="004B08A6"/>
    <w:rsid w:val="004B09C5"/>
    <w:rsid w:val="004B0AA4"/>
    <w:rsid w:val="004B0D23"/>
    <w:rsid w:val="004B0F8D"/>
    <w:rsid w:val="004B10E5"/>
    <w:rsid w:val="004B14F8"/>
    <w:rsid w:val="004B1591"/>
    <w:rsid w:val="004B166B"/>
    <w:rsid w:val="004B16DD"/>
    <w:rsid w:val="004B1885"/>
    <w:rsid w:val="004B19D4"/>
    <w:rsid w:val="004B1A85"/>
    <w:rsid w:val="004B1A9B"/>
    <w:rsid w:val="004B215C"/>
    <w:rsid w:val="004B21C8"/>
    <w:rsid w:val="004B274B"/>
    <w:rsid w:val="004B2A15"/>
    <w:rsid w:val="004B2D55"/>
    <w:rsid w:val="004B3243"/>
    <w:rsid w:val="004B325C"/>
    <w:rsid w:val="004B34DC"/>
    <w:rsid w:val="004B3933"/>
    <w:rsid w:val="004B3B86"/>
    <w:rsid w:val="004B3D4B"/>
    <w:rsid w:val="004B41A4"/>
    <w:rsid w:val="004B4299"/>
    <w:rsid w:val="004B432D"/>
    <w:rsid w:val="004B477E"/>
    <w:rsid w:val="004B49F3"/>
    <w:rsid w:val="004B4F0A"/>
    <w:rsid w:val="004B5123"/>
    <w:rsid w:val="004B5164"/>
    <w:rsid w:val="004B5230"/>
    <w:rsid w:val="004B5306"/>
    <w:rsid w:val="004B54DC"/>
    <w:rsid w:val="004B60D5"/>
    <w:rsid w:val="004B656E"/>
    <w:rsid w:val="004B6DCD"/>
    <w:rsid w:val="004B710E"/>
    <w:rsid w:val="004B7214"/>
    <w:rsid w:val="004B7442"/>
    <w:rsid w:val="004B772B"/>
    <w:rsid w:val="004B7CF0"/>
    <w:rsid w:val="004C042A"/>
    <w:rsid w:val="004C047C"/>
    <w:rsid w:val="004C069D"/>
    <w:rsid w:val="004C0C89"/>
    <w:rsid w:val="004C0C8C"/>
    <w:rsid w:val="004C0DA1"/>
    <w:rsid w:val="004C0DFF"/>
    <w:rsid w:val="004C10A4"/>
    <w:rsid w:val="004C12F6"/>
    <w:rsid w:val="004C136A"/>
    <w:rsid w:val="004C14C4"/>
    <w:rsid w:val="004C205C"/>
    <w:rsid w:val="004C21BF"/>
    <w:rsid w:val="004C2611"/>
    <w:rsid w:val="004C2F3A"/>
    <w:rsid w:val="004C34E0"/>
    <w:rsid w:val="004C3798"/>
    <w:rsid w:val="004C3D3B"/>
    <w:rsid w:val="004C4523"/>
    <w:rsid w:val="004C4542"/>
    <w:rsid w:val="004C463C"/>
    <w:rsid w:val="004C57EF"/>
    <w:rsid w:val="004C5BD4"/>
    <w:rsid w:val="004C6271"/>
    <w:rsid w:val="004C6471"/>
    <w:rsid w:val="004C6880"/>
    <w:rsid w:val="004C690E"/>
    <w:rsid w:val="004C69CC"/>
    <w:rsid w:val="004C70AA"/>
    <w:rsid w:val="004C71F2"/>
    <w:rsid w:val="004C75EB"/>
    <w:rsid w:val="004C7647"/>
    <w:rsid w:val="004C7AE1"/>
    <w:rsid w:val="004D0001"/>
    <w:rsid w:val="004D0078"/>
    <w:rsid w:val="004D020F"/>
    <w:rsid w:val="004D021A"/>
    <w:rsid w:val="004D054C"/>
    <w:rsid w:val="004D0607"/>
    <w:rsid w:val="004D08CA"/>
    <w:rsid w:val="004D0F85"/>
    <w:rsid w:val="004D0FF7"/>
    <w:rsid w:val="004D17E6"/>
    <w:rsid w:val="004D1C1F"/>
    <w:rsid w:val="004D1E50"/>
    <w:rsid w:val="004D2748"/>
    <w:rsid w:val="004D2821"/>
    <w:rsid w:val="004D2AB0"/>
    <w:rsid w:val="004D3346"/>
    <w:rsid w:val="004D3A41"/>
    <w:rsid w:val="004D3BE0"/>
    <w:rsid w:val="004D3E31"/>
    <w:rsid w:val="004D4335"/>
    <w:rsid w:val="004D45C6"/>
    <w:rsid w:val="004D4859"/>
    <w:rsid w:val="004D5195"/>
    <w:rsid w:val="004D52CA"/>
    <w:rsid w:val="004D5AA0"/>
    <w:rsid w:val="004D61A2"/>
    <w:rsid w:val="004D6454"/>
    <w:rsid w:val="004D6642"/>
    <w:rsid w:val="004D673F"/>
    <w:rsid w:val="004D69EE"/>
    <w:rsid w:val="004D72E4"/>
    <w:rsid w:val="004D7488"/>
    <w:rsid w:val="004D74B8"/>
    <w:rsid w:val="004D7548"/>
    <w:rsid w:val="004D76ED"/>
    <w:rsid w:val="004D7BEE"/>
    <w:rsid w:val="004D7E2A"/>
    <w:rsid w:val="004D7F89"/>
    <w:rsid w:val="004E0042"/>
    <w:rsid w:val="004E0635"/>
    <w:rsid w:val="004E0C91"/>
    <w:rsid w:val="004E0FB5"/>
    <w:rsid w:val="004E1086"/>
    <w:rsid w:val="004E10C9"/>
    <w:rsid w:val="004E1298"/>
    <w:rsid w:val="004E15A6"/>
    <w:rsid w:val="004E1A14"/>
    <w:rsid w:val="004E1E71"/>
    <w:rsid w:val="004E2072"/>
    <w:rsid w:val="004E320E"/>
    <w:rsid w:val="004E3FB3"/>
    <w:rsid w:val="004E4191"/>
    <w:rsid w:val="004E4980"/>
    <w:rsid w:val="004E4B6D"/>
    <w:rsid w:val="004E4D7E"/>
    <w:rsid w:val="004E4D95"/>
    <w:rsid w:val="004E57FF"/>
    <w:rsid w:val="004E5931"/>
    <w:rsid w:val="004E5943"/>
    <w:rsid w:val="004E5CAE"/>
    <w:rsid w:val="004E60C7"/>
    <w:rsid w:val="004E63B8"/>
    <w:rsid w:val="004E6842"/>
    <w:rsid w:val="004E68E8"/>
    <w:rsid w:val="004E6A1B"/>
    <w:rsid w:val="004E6DC7"/>
    <w:rsid w:val="004E70E7"/>
    <w:rsid w:val="004E710B"/>
    <w:rsid w:val="004E7178"/>
    <w:rsid w:val="004E74A4"/>
    <w:rsid w:val="004E74DA"/>
    <w:rsid w:val="004E74F2"/>
    <w:rsid w:val="004E772D"/>
    <w:rsid w:val="004E7C05"/>
    <w:rsid w:val="004E7EFE"/>
    <w:rsid w:val="004F0230"/>
    <w:rsid w:val="004F02B1"/>
    <w:rsid w:val="004F03B1"/>
    <w:rsid w:val="004F097C"/>
    <w:rsid w:val="004F0C5E"/>
    <w:rsid w:val="004F0F72"/>
    <w:rsid w:val="004F18E2"/>
    <w:rsid w:val="004F1981"/>
    <w:rsid w:val="004F1BDE"/>
    <w:rsid w:val="004F1E20"/>
    <w:rsid w:val="004F1F3F"/>
    <w:rsid w:val="004F2072"/>
    <w:rsid w:val="004F20D8"/>
    <w:rsid w:val="004F2447"/>
    <w:rsid w:val="004F3222"/>
    <w:rsid w:val="004F36B8"/>
    <w:rsid w:val="004F36D5"/>
    <w:rsid w:val="004F385C"/>
    <w:rsid w:val="004F3A7C"/>
    <w:rsid w:val="004F3AC3"/>
    <w:rsid w:val="004F4C11"/>
    <w:rsid w:val="004F4D04"/>
    <w:rsid w:val="004F50AA"/>
    <w:rsid w:val="004F5311"/>
    <w:rsid w:val="004F5315"/>
    <w:rsid w:val="004F5474"/>
    <w:rsid w:val="004F54B5"/>
    <w:rsid w:val="004F5627"/>
    <w:rsid w:val="004F586B"/>
    <w:rsid w:val="004F6073"/>
    <w:rsid w:val="004F60DB"/>
    <w:rsid w:val="004F66A3"/>
    <w:rsid w:val="004F6785"/>
    <w:rsid w:val="004F6933"/>
    <w:rsid w:val="004F69AB"/>
    <w:rsid w:val="004F6BAD"/>
    <w:rsid w:val="004F6C69"/>
    <w:rsid w:val="004F71D6"/>
    <w:rsid w:val="004F7674"/>
    <w:rsid w:val="004F791A"/>
    <w:rsid w:val="004F7ADA"/>
    <w:rsid w:val="004F7DAB"/>
    <w:rsid w:val="004F7E39"/>
    <w:rsid w:val="004F7F9E"/>
    <w:rsid w:val="0050006B"/>
    <w:rsid w:val="0050007F"/>
    <w:rsid w:val="00500086"/>
    <w:rsid w:val="005001BF"/>
    <w:rsid w:val="005002A9"/>
    <w:rsid w:val="00500313"/>
    <w:rsid w:val="005005E1"/>
    <w:rsid w:val="005005E7"/>
    <w:rsid w:val="0050076F"/>
    <w:rsid w:val="005014D3"/>
    <w:rsid w:val="00501C03"/>
    <w:rsid w:val="00501C5E"/>
    <w:rsid w:val="00503074"/>
    <w:rsid w:val="0050358F"/>
    <w:rsid w:val="005037EA"/>
    <w:rsid w:val="00503A6E"/>
    <w:rsid w:val="00503A8F"/>
    <w:rsid w:val="00503BC6"/>
    <w:rsid w:val="005040B0"/>
    <w:rsid w:val="005040EF"/>
    <w:rsid w:val="005042A1"/>
    <w:rsid w:val="005045DC"/>
    <w:rsid w:val="005047EE"/>
    <w:rsid w:val="00504943"/>
    <w:rsid w:val="00504A1A"/>
    <w:rsid w:val="00504C37"/>
    <w:rsid w:val="00504DBE"/>
    <w:rsid w:val="005054AC"/>
    <w:rsid w:val="005055E4"/>
    <w:rsid w:val="00505A0D"/>
    <w:rsid w:val="00505D0D"/>
    <w:rsid w:val="00506133"/>
    <w:rsid w:val="005061D2"/>
    <w:rsid w:val="005063ED"/>
    <w:rsid w:val="00506554"/>
    <w:rsid w:val="005065A0"/>
    <w:rsid w:val="005067C7"/>
    <w:rsid w:val="00506819"/>
    <w:rsid w:val="005068D5"/>
    <w:rsid w:val="00506A96"/>
    <w:rsid w:val="00506EE6"/>
    <w:rsid w:val="0050753F"/>
    <w:rsid w:val="005077FB"/>
    <w:rsid w:val="005103F4"/>
    <w:rsid w:val="005108BC"/>
    <w:rsid w:val="005109AE"/>
    <w:rsid w:val="00510D0D"/>
    <w:rsid w:val="00510D59"/>
    <w:rsid w:val="00511032"/>
    <w:rsid w:val="00511276"/>
    <w:rsid w:val="0051147E"/>
    <w:rsid w:val="0051148D"/>
    <w:rsid w:val="00511D92"/>
    <w:rsid w:val="00512065"/>
    <w:rsid w:val="005128C4"/>
    <w:rsid w:val="00512DA3"/>
    <w:rsid w:val="00512FDE"/>
    <w:rsid w:val="005130FB"/>
    <w:rsid w:val="0051332B"/>
    <w:rsid w:val="00513638"/>
    <w:rsid w:val="005136B2"/>
    <w:rsid w:val="00513B73"/>
    <w:rsid w:val="00513F0B"/>
    <w:rsid w:val="0051433B"/>
    <w:rsid w:val="005143DA"/>
    <w:rsid w:val="005144C3"/>
    <w:rsid w:val="005146F5"/>
    <w:rsid w:val="00514814"/>
    <w:rsid w:val="00514A89"/>
    <w:rsid w:val="00515051"/>
    <w:rsid w:val="00515117"/>
    <w:rsid w:val="005152FE"/>
    <w:rsid w:val="0051544D"/>
    <w:rsid w:val="0051572D"/>
    <w:rsid w:val="005157D4"/>
    <w:rsid w:val="00515A0C"/>
    <w:rsid w:val="00515B42"/>
    <w:rsid w:val="00515B8A"/>
    <w:rsid w:val="00515BAF"/>
    <w:rsid w:val="00515E91"/>
    <w:rsid w:val="00515FE8"/>
    <w:rsid w:val="005164AF"/>
    <w:rsid w:val="00516763"/>
    <w:rsid w:val="00516E2E"/>
    <w:rsid w:val="00517495"/>
    <w:rsid w:val="00517746"/>
    <w:rsid w:val="005179B9"/>
    <w:rsid w:val="00517B51"/>
    <w:rsid w:val="00517B67"/>
    <w:rsid w:val="00517D89"/>
    <w:rsid w:val="00520029"/>
    <w:rsid w:val="00520128"/>
    <w:rsid w:val="0052076E"/>
    <w:rsid w:val="00520799"/>
    <w:rsid w:val="00521104"/>
    <w:rsid w:val="00521469"/>
    <w:rsid w:val="005217EB"/>
    <w:rsid w:val="005221F6"/>
    <w:rsid w:val="0052225B"/>
    <w:rsid w:val="005223A3"/>
    <w:rsid w:val="00522527"/>
    <w:rsid w:val="005225A5"/>
    <w:rsid w:val="00522C7D"/>
    <w:rsid w:val="005232D4"/>
    <w:rsid w:val="0052360C"/>
    <w:rsid w:val="00523AD8"/>
    <w:rsid w:val="00524046"/>
    <w:rsid w:val="00524271"/>
    <w:rsid w:val="005245A2"/>
    <w:rsid w:val="00524CA8"/>
    <w:rsid w:val="005250EF"/>
    <w:rsid w:val="00525101"/>
    <w:rsid w:val="00525756"/>
    <w:rsid w:val="0052579D"/>
    <w:rsid w:val="005257FB"/>
    <w:rsid w:val="00525847"/>
    <w:rsid w:val="005259FF"/>
    <w:rsid w:val="00525DD7"/>
    <w:rsid w:val="005262E2"/>
    <w:rsid w:val="00526E4D"/>
    <w:rsid w:val="00527268"/>
    <w:rsid w:val="005274AF"/>
    <w:rsid w:val="0052752A"/>
    <w:rsid w:val="005278E0"/>
    <w:rsid w:val="00527C03"/>
    <w:rsid w:val="00530091"/>
    <w:rsid w:val="00530274"/>
    <w:rsid w:val="005303DE"/>
    <w:rsid w:val="005304B4"/>
    <w:rsid w:val="005304BE"/>
    <w:rsid w:val="00530846"/>
    <w:rsid w:val="00530B7D"/>
    <w:rsid w:val="00530BAB"/>
    <w:rsid w:val="00530BE1"/>
    <w:rsid w:val="00530D9F"/>
    <w:rsid w:val="00530F19"/>
    <w:rsid w:val="00530FD5"/>
    <w:rsid w:val="00531098"/>
    <w:rsid w:val="00531140"/>
    <w:rsid w:val="0053138F"/>
    <w:rsid w:val="005313E3"/>
    <w:rsid w:val="00531810"/>
    <w:rsid w:val="005319D3"/>
    <w:rsid w:val="005320B2"/>
    <w:rsid w:val="005323CA"/>
    <w:rsid w:val="00532882"/>
    <w:rsid w:val="0053289A"/>
    <w:rsid w:val="00532CE7"/>
    <w:rsid w:val="00532F84"/>
    <w:rsid w:val="0053308E"/>
    <w:rsid w:val="005330DB"/>
    <w:rsid w:val="0053330F"/>
    <w:rsid w:val="00533363"/>
    <w:rsid w:val="005339BD"/>
    <w:rsid w:val="00533BEB"/>
    <w:rsid w:val="00533DDA"/>
    <w:rsid w:val="0053461F"/>
    <w:rsid w:val="00534796"/>
    <w:rsid w:val="00534828"/>
    <w:rsid w:val="005348EA"/>
    <w:rsid w:val="00535176"/>
    <w:rsid w:val="00535295"/>
    <w:rsid w:val="005356F4"/>
    <w:rsid w:val="005358D7"/>
    <w:rsid w:val="00535C96"/>
    <w:rsid w:val="00535EBD"/>
    <w:rsid w:val="005361B0"/>
    <w:rsid w:val="005362C0"/>
    <w:rsid w:val="005365E3"/>
    <w:rsid w:val="00536B5E"/>
    <w:rsid w:val="005371EC"/>
    <w:rsid w:val="005373D3"/>
    <w:rsid w:val="00537545"/>
    <w:rsid w:val="0053759E"/>
    <w:rsid w:val="00537F79"/>
    <w:rsid w:val="0054016B"/>
    <w:rsid w:val="005401E7"/>
    <w:rsid w:val="00540731"/>
    <w:rsid w:val="005408AB"/>
    <w:rsid w:val="00540E01"/>
    <w:rsid w:val="00540FF2"/>
    <w:rsid w:val="0054125D"/>
    <w:rsid w:val="005416E8"/>
    <w:rsid w:val="00541D51"/>
    <w:rsid w:val="00541DE7"/>
    <w:rsid w:val="00541E18"/>
    <w:rsid w:val="00542031"/>
    <w:rsid w:val="005420AD"/>
    <w:rsid w:val="00542905"/>
    <w:rsid w:val="00542B44"/>
    <w:rsid w:val="00542B70"/>
    <w:rsid w:val="00542FC7"/>
    <w:rsid w:val="00543128"/>
    <w:rsid w:val="005434D2"/>
    <w:rsid w:val="00543758"/>
    <w:rsid w:val="005437FA"/>
    <w:rsid w:val="00543931"/>
    <w:rsid w:val="00543AD7"/>
    <w:rsid w:val="00543BC2"/>
    <w:rsid w:val="00543D3E"/>
    <w:rsid w:val="00543EE5"/>
    <w:rsid w:val="00544041"/>
    <w:rsid w:val="005442D6"/>
    <w:rsid w:val="0054449A"/>
    <w:rsid w:val="00544889"/>
    <w:rsid w:val="0054499C"/>
    <w:rsid w:val="00544D87"/>
    <w:rsid w:val="00545309"/>
    <w:rsid w:val="00545328"/>
    <w:rsid w:val="00545A7D"/>
    <w:rsid w:val="00545D80"/>
    <w:rsid w:val="00545D89"/>
    <w:rsid w:val="00545DB7"/>
    <w:rsid w:val="0054621F"/>
    <w:rsid w:val="00546317"/>
    <w:rsid w:val="00546595"/>
    <w:rsid w:val="005466F9"/>
    <w:rsid w:val="00546BEA"/>
    <w:rsid w:val="00546DEC"/>
    <w:rsid w:val="00546FEC"/>
    <w:rsid w:val="005472A4"/>
    <w:rsid w:val="005474B5"/>
    <w:rsid w:val="00547812"/>
    <w:rsid w:val="00547A64"/>
    <w:rsid w:val="00547ED0"/>
    <w:rsid w:val="0055031F"/>
    <w:rsid w:val="0055033B"/>
    <w:rsid w:val="00550607"/>
    <w:rsid w:val="00550609"/>
    <w:rsid w:val="0055061D"/>
    <w:rsid w:val="0055070D"/>
    <w:rsid w:val="00550DD4"/>
    <w:rsid w:val="005514CF"/>
    <w:rsid w:val="00551781"/>
    <w:rsid w:val="00551C17"/>
    <w:rsid w:val="00552512"/>
    <w:rsid w:val="0055278C"/>
    <w:rsid w:val="00552807"/>
    <w:rsid w:val="00552886"/>
    <w:rsid w:val="00552BBE"/>
    <w:rsid w:val="00553060"/>
    <w:rsid w:val="00553080"/>
    <w:rsid w:val="00553191"/>
    <w:rsid w:val="0055329A"/>
    <w:rsid w:val="00553392"/>
    <w:rsid w:val="005533B1"/>
    <w:rsid w:val="0055344F"/>
    <w:rsid w:val="005538C5"/>
    <w:rsid w:val="005539B9"/>
    <w:rsid w:val="00553A9B"/>
    <w:rsid w:val="0055461F"/>
    <w:rsid w:val="00554B97"/>
    <w:rsid w:val="005557D7"/>
    <w:rsid w:val="00555D0B"/>
    <w:rsid w:val="00555FB1"/>
    <w:rsid w:val="005562F9"/>
    <w:rsid w:val="005563A6"/>
    <w:rsid w:val="0055669C"/>
    <w:rsid w:val="005566F3"/>
    <w:rsid w:val="005568DF"/>
    <w:rsid w:val="00556AF3"/>
    <w:rsid w:val="00557221"/>
    <w:rsid w:val="00557332"/>
    <w:rsid w:val="005573D1"/>
    <w:rsid w:val="0055741E"/>
    <w:rsid w:val="00557E65"/>
    <w:rsid w:val="00557EF2"/>
    <w:rsid w:val="00560036"/>
    <w:rsid w:val="0056039D"/>
    <w:rsid w:val="00560616"/>
    <w:rsid w:val="005606ED"/>
    <w:rsid w:val="00560801"/>
    <w:rsid w:val="005608C0"/>
    <w:rsid w:val="00560BAD"/>
    <w:rsid w:val="00560E3D"/>
    <w:rsid w:val="005611D3"/>
    <w:rsid w:val="00561403"/>
    <w:rsid w:val="005615DD"/>
    <w:rsid w:val="005618C0"/>
    <w:rsid w:val="00561917"/>
    <w:rsid w:val="00561BBF"/>
    <w:rsid w:val="00561C5D"/>
    <w:rsid w:val="00561FDD"/>
    <w:rsid w:val="00562090"/>
    <w:rsid w:val="00562113"/>
    <w:rsid w:val="0056241F"/>
    <w:rsid w:val="005624AA"/>
    <w:rsid w:val="00562581"/>
    <w:rsid w:val="005627F6"/>
    <w:rsid w:val="00562C76"/>
    <w:rsid w:val="00563D72"/>
    <w:rsid w:val="00564311"/>
    <w:rsid w:val="00564637"/>
    <w:rsid w:val="005646B4"/>
    <w:rsid w:val="00564B77"/>
    <w:rsid w:val="00564BEC"/>
    <w:rsid w:val="00564DF7"/>
    <w:rsid w:val="00565356"/>
    <w:rsid w:val="005658EE"/>
    <w:rsid w:val="00565C21"/>
    <w:rsid w:val="00566042"/>
    <w:rsid w:val="00566241"/>
    <w:rsid w:val="00566629"/>
    <w:rsid w:val="00566C22"/>
    <w:rsid w:val="00566FA6"/>
    <w:rsid w:val="00567079"/>
    <w:rsid w:val="00567134"/>
    <w:rsid w:val="0056713B"/>
    <w:rsid w:val="00567294"/>
    <w:rsid w:val="005677E9"/>
    <w:rsid w:val="005678DA"/>
    <w:rsid w:val="005679C9"/>
    <w:rsid w:val="00567A26"/>
    <w:rsid w:val="00567B5E"/>
    <w:rsid w:val="00567BDF"/>
    <w:rsid w:val="00567D66"/>
    <w:rsid w:val="00567EBD"/>
    <w:rsid w:val="005700A9"/>
    <w:rsid w:val="00570277"/>
    <w:rsid w:val="00570315"/>
    <w:rsid w:val="005703B4"/>
    <w:rsid w:val="0057070A"/>
    <w:rsid w:val="0057109E"/>
    <w:rsid w:val="00571624"/>
    <w:rsid w:val="00571B9A"/>
    <w:rsid w:val="00571F05"/>
    <w:rsid w:val="00572346"/>
    <w:rsid w:val="00572531"/>
    <w:rsid w:val="00572580"/>
    <w:rsid w:val="00572AE7"/>
    <w:rsid w:val="00572B2A"/>
    <w:rsid w:val="00572CEB"/>
    <w:rsid w:val="0057315B"/>
    <w:rsid w:val="00573411"/>
    <w:rsid w:val="005736AA"/>
    <w:rsid w:val="005739A8"/>
    <w:rsid w:val="00573AB0"/>
    <w:rsid w:val="0057411D"/>
    <w:rsid w:val="005745AF"/>
    <w:rsid w:val="00574D9E"/>
    <w:rsid w:val="005751E9"/>
    <w:rsid w:val="005753F6"/>
    <w:rsid w:val="005755AF"/>
    <w:rsid w:val="005755E4"/>
    <w:rsid w:val="00575664"/>
    <w:rsid w:val="005757E2"/>
    <w:rsid w:val="0057591B"/>
    <w:rsid w:val="00575A6A"/>
    <w:rsid w:val="00575CF8"/>
    <w:rsid w:val="00576173"/>
    <w:rsid w:val="005762D4"/>
    <w:rsid w:val="005767FD"/>
    <w:rsid w:val="00576B33"/>
    <w:rsid w:val="00576C06"/>
    <w:rsid w:val="00576C1D"/>
    <w:rsid w:val="00576F48"/>
    <w:rsid w:val="00577108"/>
    <w:rsid w:val="0057731C"/>
    <w:rsid w:val="005775DA"/>
    <w:rsid w:val="0057788A"/>
    <w:rsid w:val="00577C68"/>
    <w:rsid w:val="00577CE5"/>
    <w:rsid w:val="00577E4C"/>
    <w:rsid w:val="00577EE9"/>
    <w:rsid w:val="00577FBC"/>
    <w:rsid w:val="005802F1"/>
    <w:rsid w:val="005805E8"/>
    <w:rsid w:val="00580AF2"/>
    <w:rsid w:val="00580BB6"/>
    <w:rsid w:val="00580CE5"/>
    <w:rsid w:val="00581178"/>
    <w:rsid w:val="005812BE"/>
    <w:rsid w:val="005815B9"/>
    <w:rsid w:val="00581650"/>
    <w:rsid w:val="00582230"/>
    <w:rsid w:val="0058254D"/>
    <w:rsid w:val="0058283F"/>
    <w:rsid w:val="00582929"/>
    <w:rsid w:val="00582B1D"/>
    <w:rsid w:val="00583237"/>
    <w:rsid w:val="00583267"/>
    <w:rsid w:val="00583371"/>
    <w:rsid w:val="005835C9"/>
    <w:rsid w:val="00583F2C"/>
    <w:rsid w:val="005846FF"/>
    <w:rsid w:val="00584966"/>
    <w:rsid w:val="005849AC"/>
    <w:rsid w:val="00584BA6"/>
    <w:rsid w:val="005852E4"/>
    <w:rsid w:val="00585519"/>
    <w:rsid w:val="005857EA"/>
    <w:rsid w:val="00585882"/>
    <w:rsid w:val="005862B7"/>
    <w:rsid w:val="00586558"/>
    <w:rsid w:val="00586B35"/>
    <w:rsid w:val="00586C96"/>
    <w:rsid w:val="00586D66"/>
    <w:rsid w:val="00586FB6"/>
    <w:rsid w:val="0058706F"/>
    <w:rsid w:val="00587398"/>
    <w:rsid w:val="0058740E"/>
    <w:rsid w:val="00587418"/>
    <w:rsid w:val="005874C7"/>
    <w:rsid w:val="0058755C"/>
    <w:rsid w:val="00587A96"/>
    <w:rsid w:val="00590943"/>
    <w:rsid w:val="00591217"/>
    <w:rsid w:val="0059130D"/>
    <w:rsid w:val="005913D6"/>
    <w:rsid w:val="005915AD"/>
    <w:rsid w:val="00591863"/>
    <w:rsid w:val="00591D7B"/>
    <w:rsid w:val="005921A5"/>
    <w:rsid w:val="00592332"/>
    <w:rsid w:val="0059246E"/>
    <w:rsid w:val="005924B6"/>
    <w:rsid w:val="00592539"/>
    <w:rsid w:val="00592A63"/>
    <w:rsid w:val="00592FF3"/>
    <w:rsid w:val="005932FC"/>
    <w:rsid w:val="005939B8"/>
    <w:rsid w:val="00593BC1"/>
    <w:rsid w:val="0059458C"/>
    <w:rsid w:val="0059464D"/>
    <w:rsid w:val="00594D3C"/>
    <w:rsid w:val="00594D97"/>
    <w:rsid w:val="005951A0"/>
    <w:rsid w:val="00595208"/>
    <w:rsid w:val="0059527B"/>
    <w:rsid w:val="00595E9A"/>
    <w:rsid w:val="00596185"/>
    <w:rsid w:val="005961AD"/>
    <w:rsid w:val="0059629D"/>
    <w:rsid w:val="0059669D"/>
    <w:rsid w:val="00596C75"/>
    <w:rsid w:val="005974F4"/>
    <w:rsid w:val="00597AEB"/>
    <w:rsid w:val="005A0051"/>
    <w:rsid w:val="005A0111"/>
    <w:rsid w:val="005A13A2"/>
    <w:rsid w:val="005A163C"/>
    <w:rsid w:val="005A16D0"/>
    <w:rsid w:val="005A1849"/>
    <w:rsid w:val="005A19F6"/>
    <w:rsid w:val="005A1A0D"/>
    <w:rsid w:val="005A1B15"/>
    <w:rsid w:val="005A1D3C"/>
    <w:rsid w:val="005A284A"/>
    <w:rsid w:val="005A2A1F"/>
    <w:rsid w:val="005A2C09"/>
    <w:rsid w:val="005A2C35"/>
    <w:rsid w:val="005A2C4F"/>
    <w:rsid w:val="005A309F"/>
    <w:rsid w:val="005A364B"/>
    <w:rsid w:val="005A365A"/>
    <w:rsid w:val="005A372D"/>
    <w:rsid w:val="005A37BC"/>
    <w:rsid w:val="005A381F"/>
    <w:rsid w:val="005A38E6"/>
    <w:rsid w:val="005A3F58"/>
    <w:rsid w:val="005A4654"/>
    <w:rsid w:val="005A4C5D"/>
    <w:rsid w:val="005A4D70"/>
    <w:rsid w:val="005A584B"/>
    <w:rsid w:val="005A5904"/>
    <w:rsid w:val="005A5E05"/>
    <w:rsid w:val="005A625B"/>
    <w:rsid w:val="005A6B95"/>
    <w:rsid w:val="005A7301"/>
    <w:rsid w:val="005A7790"/>
    <w:rsid w:val="005A7C09"/>
    <w:rsid w:val="005A7E3D"/>
    <w:rsid w:val="005A7E76"/>
    <w:rsid w:val="005B0A1B"/>
    <w:rsid w:val="005B0C68"/>
    <w:rsid w:val="005B14FA"/>
    <w:rsid w:val="005B156C"/>
    <w:rsid w:val="005B1747"/>
    <w:rsid w:val="005B178C"/>
    <w:rsid w:val="005B1AA7"/>
    <w:rsid w:val="005B1AC3"/>
    <w:rsid w:val="005B1BED"/>
    <w:rsid w:val="005B20F6"/>
    <w:rsid w:val="005B244B"/>
    <w:rsid w:val="005B2670"/>
    <w:rsid w:val="005B27F7"/>
    <w:rsid w:val="005B2D11"/>
    <w:rsid w:val="005B3248"/>
    <w:rsid w:val="005B359E"/>
    <w:rsid w:val="005B3623"/>
    <w:rsid w:val="005B3886"/>
    <w:rsid w:val="005B419F"/>
    <w:rsid w:val="005B428D"/>
    <w:rsid w:val="005B453A"/>
    <w:rsid w:val="005B4B9E"/>
    <w:rsid w:val="005B4BE6"/>
    <w:rsid w:val="005B4C14"/>
    <w:rsid w:val="005B4FE8"/>
    <w:rsid w:val="005B5280"/>
    <w:rsid w:val="005B58B9"/>
    <w:rsid w:val="005B591B"/>
    <w:rsid w:val="005B5AE4"/>
    <w:rsid w:val="005B5B64"/>
    <w:rsid w:val="005B5D59"/>
    <w:rsid w:val="005B5FF9"/>
    <w:rsid w:val="005B6322"/>
    <w:rsid w:val="005B63A2"/>
    <w:rsid w:val="005B655C"/>
    <w:rsid w:val="005B6999"/>
    <w:rsid w:val="005B6D98"/>
    <w:rsid w:val="005B74A2"/>
    <w:rsid w:val="005B765A"/>
    <w:rsid w:val="005B7A63"/>
    <w:rsid w:val="005B7C53"/>
    <w:rsid w:val="005B7CCB"/>
    <w:rsid w:val="005C00ED"/>
    <w:rsid w:val="005C038E"/>
    <w:rsid w:val="005C0416"/>
    <w:rsid w:val="005C05A3"/>
    <w:rsid w:val="005C0619"/>
    <w:rsid w:val="005C0854"/>
    <w:rsid w:val="005C09A9"/>
    <w:rsid w:val="005C0C87"/>
    <w:rsid w:val="005C10A5"/>
    <w:rsid w:val="005C1B65"/>
    <w:rsid w:val="005C1C6E"/>
    <w:rsid w:val="005C1FE6"/>
    <w:rsid w:val="005C2566"/>
    <w:rsid w:val="005C27E4"/>
    <w:rsid w:val="005C2A2C"/>
    <w:rsid w:val="005C2A75"/>
    <w:rsid w:val="005C2D74"/>
    <w:rsid w:val="005C35C6"/>
    <w:rsid w:val="005C47A2"/>
    <w:rsid w:val="005C48F7"/>
    <w:rsid w:val="005C4944"/>
    <w:rsid w:val="005C4A8D"/>
    <w:rsid w:val="005C4B7D"/>
    <w:rsid w:val="005C4B85"/>
    <w:rsid w:val="005C4C20"/>
    <w:rsid w:val="005C4E26"/>
    <w:rsid w:val="005C5020"/>
    <w:rsid w:val="005C50F1"/>
    <w:rsid w:val="005C5337"/>
    <w:rsid w:val="005C5560"/>
    <w:rsid w:val="005C5B82"/>
    <w:rsid w:val="005C5C27"/>
    <w:rsid w:val="005C5DB0"/>
    <w:rsid w:val="005C5DC4"/>
    <w:rsid w:val="005C5E83"/>
    <w:rsid w:val="005C5EE1"/>
    <w:rsid w:val="005C62F1"/>
    <w:rsid w:val="005C6320"/>
    <w:rsid w:val="005C696E"/>
    <w:rsid w:val="005C6AB5"/>
    <w:rsid w:val="005C6C70"/>
    <w:rsid w:val="005C6CAA"/>
    <w:rsid w:val="005C75E7"/>
    <w:rsid w:val="005C7717"/>
    <w:rsid w:val="005C7A7B"/>
    <w:rsid w:val="005C7BB6"/>
    <w:rsid w:val="005C7DA4"/>
    <w:rsid w:val="005D022D"/>
    <w:rsid w:val="005D041D"/>
    <w:rsid w:val="005D0E8C"/>
    <w:rsid w:val="005D11DC"/>
    <w:rsid w:val="005D1804"/>
    <w:rsid w:val="005D18F3"/>
    <w:rsid w:val="005D1A29"/>
    <w:rsid w:val="005D1DF5"/>
    <w:rsid w:val="005D21FB"/>
    <w:rsid w:val="005D2568"/>
    <w:rsid w:val="005D275B"/>
    <w:rsid w:val="005D28D3"/>
    <w:rsid w:val="005D2C34"/>
    <w:rsid w:val="005D2F78"/>
    <w:rsid w:val="005D2FCA"/>
    <w:rsid w:val="005D36AF"/>
    <w:rsid w:val="005D3706"/>
    <w:rsid w:val="005D3955"/>
    <w:rsid w:val="005D3F05"/>
    <w:rsid w:val="005D41FF"/>
    <w:rsid w:val="005D442B"/>
    <w:rsid w:val="005D4927"/>
    <w:rsid w:val="005D4955"/>
    <w:rsid w:val="005D4AE5"/>
    <w:rsid w:val="005D4B40"/>
    <w:rsid w:val="005D4FAC"/>
    <w:rsid w:val="005D554F"/>
    <w:rsid w:val="005D558F"/>
    <w:rsid w:val="005D57F6"/>
    <w:rsid w:val="005D597F"/>
    <w:rsid w:val="005D5A46"/>
    <w:rsid w:val="005D5B03"/>
    <w:rsid w:val="005D6258"/>
    <w:rsid w:val="005D65BF"/>
    <w:rsid w:val="005D67ED"/>
    <w:rsid w:val="005D6886"/>
    <w:rsid w:val="005D6B8A"/>
    <w:rsid w:val="005D6D30"/>
    <w:rsid w:val="005D714A"/>
    <w:rsid w:val="005D7348"/>
    <w:rsid w:val="005D745B"/>
    <w:rsid w:val="005D74CC"/>
    <w:rsid w:val="005D75D0"/>
    <w:rsid w:val="005D7EF3"/>
    <w:rsid w:val="005E0202"/>
    <w:rsid w:val="005E0406"/>
    <w:rsid w:val="005E0792"/>
    <w:rsid w:val="005E07EB"/>
    <w:rsid w:val="005E0E61"/>
    <w:rsid w:val="005E0F95"/>
    <w:rsid w:val="005E0FFE"/>
    <w:rsid w:val="005E1002"/>
    <w:rsid w:val="005E13CA"/>
    <w:rsid w:val="005E191D"/>
    <w:rsid w:val="005E1CF9"/>
    <w:rsid w:val="005E24B9"/>
    <w:rsid w:val="005E25D4"/>
    <w:rsid w:val="005E2761"/>
    <w:rsid w:val="005E2B8E"/>
    <w:rsid w:val="005E2F47"/>
    <w:rsid w:val="005E360F"/>
    <w:rsid w:val="005E3773"/>
    <w:rsid w:val="005E3806"/>
    <w:rsid w:val="005E3ADF"/>
    <w:rsid w:val="005E466F"/>
    <w:rsid w:val="005E48C0"/>
    <w:rsid w:val="005E4952"/>
    <w:rsid w:val="005E4B38"/>
    <w:rsid w:val="005E4C36"/>
    <w:rsid w:val="005E4C66"/>
    <w:rsid w:val="005E4E1F"/>
    <w:rsid w:val="005E4F7E"/>
    <w:rsid w:val="005E504E"/>
    <w:rsid w:val="005E50F4"/>
    <w:rsid w:val="005E5192"/>
    <w:rsid w:val="005E52BC"/>
    <w:rsid w:val="005E561E"/>
    <w:rsid w:val="005E5662"/>
    <w:rsid w:val="005E5A84"/>
    <w:rsid w:val="005E5FEB"/>
    <w:rsid w:val="005E5FEF"/>
    <w:rsid w:val="005E6232"/>
    <w:rsid w:val="005E638B"/>
    <w:rsid w:val="005E6ED2"/>
    <w:rsid w:val="005E709F"/>
    <w:rsid w:val="005E7D98"/>
    <w:rsid w:val="005E7EA8"/>
    <w:rsid w:val="005F00FC"/>
    <w:rsid w:val="005F0144"/>
    <w:rsid w:val="005F0815"/>
    <w:rsid w:val="005F09B0"/>
    <w:rsid w:val="005F0A72"/>
    <w:rsid w:val="005F0C0A"/>
    <w:rsid w:val="005F0ED6"/>
    <w:rsid w:val="005F116B"/>
    <w:rsid w:val="005F1298"/>
    <w:rsid w:val="005F14A3"/>
    <w:rsid w:val="005F1C91"/>
    <w:rsid w:val="005F1DD4"/>
    <w:rsid w:val="005F1EE4"/>
    <w:rsid w:val="005F2016"/>
    <w:rsid w:val="005F2117"/>
    <w:rsid w:val="005F2346"/>
    <w:rsid w:val="005F2BD9"/>
    <w:rsid w:val="005F2E42"/>
    <w:rsid w:val="005F307B"/>
    <w:rsid w:val="005F31AB"/>
    <w:rsid w:val="005F3722"/>
    <w:rsid w:val="005F3CA1"/>
    <w:rsid w:val="005F3CDC"/>
    <w:rsid w:val="005F3D17"/>
    <w:rsid w:val="005F3D4A"/>
    <w:rsid w:val="005F42BA"/>
    <w:rsid w:val="005F466D"/>
    <w:rsid w:val="005F49A7"/>
    <w:rsid w:val="005F4A98"/>
    <w:rsid w:val="005F4D4D"/>
    <w:rsid w:val="005F4E97"/>
    <w:rsid w:val="005F4FBE"/>
    <w:rsid w:val="005F5067"/>
    <w:rsid w:val="005F572B"/>
    <w:rsid w:val="005F5912"/>
    <w:rsid w:val="005F5AE2"/>
    <w:rsid w:val="005F5AEF"/>
    <w:rsid w:val="005F5DB3"/>
    <w:rsid w:val="005F5FC4"/>
    <w:rsid w:val="005F66CB"/>
    <w:rsid w:val="005F6BA0"/>
    <w:rsid w:val="005F6EF6"/>
    <w:rsid w:val="005F7238"/>
    <w:rsid w:val="005F7389"/>
    <w:rsid w:val="005F752F"/>
    <w:rsid w:val="005F77F2"/>
    <w:rsid w:val="005F786C"/>
    <w:rsid w:val="005F7939"/>
    <w:rsid w:val="005F793C"/>
    <w:rsid w:val="005F7F86"/>
    <w:rsid w:val="006000E7"/>
    <w:rsid w:val="00600119"/>
    <w:rsid w:val="00600229"/>
    <w:rsid w:val="00600474"/>
    <w:rsid w:val="00600760"/>
    <w:rsid w:val="00600818"/>
    <w:rsid w:val="00600865"/>
    <w:rsid w:val="00600C4B"/>
    <w:rsid w:val="00601161"/>
    <w:rsid w:val="00601460"/>
    <w:rsid w:val="006015B2"/>
    <w:rsid w:val="00601666"/>
    <w:rsid w:val="006017A4"/>
    <w:rsid w:val="006017C2"/>
    <w:rsid w:val="006018AD"/>
    <w:rsid w:val="00602131"/>
    <w:rsid w:val="006024DA"/>
    <w:rsid w:val="00602834"/>
    <w:rsid w:val="00602D0B"/>
    <w:rsid w:val="00602E5F"/>
    <w:rsid w:val="0060301A"/>
    <w:rsid w:val="006031BC"/>
    <w:rsid w:val="0060331B"/>
    <w:rsid w:val="0060345D"/>
    <w:rsid w:val="00603B7D"/>
    <w:rsid w:val="0060424E"/>
    <w:rsid w:val="00604345"/>
    <w:rsid w:val="0060479D"/>
    <w:rsid w:val="00604A45"/>
    <w:rsid w:val="00604A72"/>
    <w:rsid w:val="00604C60"/>
    <w:rsid w:val="00605009"/>
    <w:rsid w:val="00605401"/>
    <w:rsid w:val="006058FD"/>
    <w:rsid w:val="00605C53"/>
    <w:rsid w:val="00605E71"/>
    <w:rsid w:val="006061F6"/>
    <w:rsid w:val="00606C22"/>
    <w:rsid w:val="00606CC0"/>
    <w:rsid w:val="00606EB5"/>
    <w:rsid w:val="00607566"/>
    <w:rsid w:val="006078F0"/>
    <w:rsid w:val="006079A6"/>
    <w:rsid w:val="00610027"/>
    <w:rsid w:val="00610393"/>
    <w:rsid w:val="00610673"/>
    <w:rsid w:val="00610993"/>
    <w:rsid w:val="00610C0F"/>
    <w:rsid w:val="00610F71"/>
    <w:rsid w:val="006116C6"/>
    <w:rsid w:val="00611B9F"/>
    <w:rsid w:val="00612482"/>
    <w:rsid w:val="006124C6"/>
    <w:rsid w:val="0061299B"/>
    <w:rsid w:val="00613391"/>
    <w:rsid w:val="006133B0"/>
    <w:rsid w:val="00613AB8"/>
    <w:rsid w:val="00613E07"/>
    <w:rsid w:val="006143E5"/>
    <w:rsid w:val="00614A8A"/>
    <w:rsid w:val="00614C9D"/>
    <w:rsid w:val="00614DEE"/>
    <w:rsid w:val="00615173"/>
    <w:rsid w:val="00615621"/>
    <w:rsid w:val="00615C52"/>
    <w:rsid w:val="00615DA9"/>
    <w:rsid w:val="00615EC2"/>
    <w:rsid w:val="0061622D"/>
    <w:rsid w:val="00616603"/>
    <w:rsid w:val="006168C7"/>
    <w:rsid w:val="00616A88"/>
    <w:rsid w:val="00616CCA"/>
    <w:rsid w:val="00616E07"/>
    <w:rsid w:val="00616E32"/>
    <w:rsid w:val="00616F7B"/>
    <w:rsid w:val="006172FC"/>
    <w:rsid w:val="006177FB"/>
    <w:rsid w:val="006178C9"/>
    <w:rsid w:val="00617FAB"/>
    <w:rsid w:val="0062002E"/>
    <w:rsid w:val="0062030E"/>
    <w:rsid w:val="006203BD"/>
    <w:rsid w:val="00620414"/>
    <w:rsid w:val="006205F2"/>
    <w:rsid w:val="00620729"/>
    <w:rsid w:val="00620D76"/>
    <w:rsid w:val="00621225"/>
    <w:rsid w:val="006212DA"/>
    <w:rsid w:val="006213B9"/>
    <w:rsid w:val="0062151E"/>
    <w:rsid w:val="0062182D"/>
    <w:rsid w:val="00621A41"/>
    <w:rsid w:val="00621BE5"/>
    <w:rsid w:val="00621C74"/>
    <w:rsid w:val="00621CC5"/>
    <w:rsid w:val="00621D15"/>
    <w:rsid w:val="00621D96"/>
    <w:rsid w:val="00621E64"/>
    <w:rsid w:val="006220A9"/>
    <w:rsid w:val="00622341"/>
    <w:rsid w:val="0062255D"/>
    <w:rsid w:val="00622E1B"/>
    <w:rsid w:val="00622F98"/>
    <w:rsid w:val="00623340"/>
    <w:rsid w:val="00623490"/>
    <w:rsid w:val="00623605"/>
    <w:rsid w:val="00623A33"/>
    <w:rsid w:val="00623DF1"/>
    <w:rsid w:val="00624281"/>
    <w:rsid w:val="006249C2"/>
    <w:rsid w:val="0062524E"/>
    <w:rsid w:val="00625505"/>
    <w:rsid w:val="00625790"/>
    <w:rsid w:val="00625ACA"/>
    <w:rsid w:val="0062609A"/>
    <w:rsid w:val="006260ED"/>
    <w:rsid w:val="0062616C"/>
    <w:rsid w:val="00626262"/>
    <w:rsid w:val="00626560"/>
    <w:rsid w:val="006269B3"/>
    <w:rsid w:val="00626D67"/>
    <w:rsid w:val="00626D75"/>
    <w:rsid w:val="00626DC0"/>
    <w:rsid w:val="00627387"/>
    <w:rsid w:val="00627388"/>
    <w:rsid w:val="00627619"/>
    <w:rsid w:val="0062792A"/>
    <w:rsid w:val="00627952"/>
    <w:rsid w:val="00627C2E"/>
    <w:rsid w:val="00627CB2"/>
    <w:rsid w:val="006300C1"/>
    <w:rsid w:val="0063039C"/>
    <w:rsid w:val="006303A9"/>
    <w:rsid w:val="0063062D"/>
    <w:rsid w:val="0063063F"/>
    <w:rsid w:val="00630683"/>
    <w:rsid w:val="00630852"/>
    <w:rsid w:val="00630B40"/>
    <w:rsid w:val="00630B47"/>
    <w:rsid w:val="00630DB0"/>
    <w:rsid w:val="006313E4"/>
    <w:rsid w:val="00631A27"/>
    <w:rsid w:val="00631E2C"/>
    <w:rsid w:val="00632340"/>
    <w:rsid w:val="00632855"/>
    <w:rsid w:val="00632B37"/>
    <w:rsid w:val="00632DA4"/>
    <w:rsid w:val="00633147"/>
    <w:rsid w:val="006337CD"/>
    <w:rsid w:val="006339BC"/>
    <w:rsid w:val="00633A3F"/>
    <w:rsid w:val="00633D62"/>
    <w:rsid w:val="00634421"/>
    <w:rsid w:val="0063443E"/>
    <w:rsid w:val="00634567"/>
    <w:rsid w:val="00634632"/>
    <w:rsid w:val="00634963"/>
    <w:rsid w:val="006349EE"/>
    <w:rsid w:val="00634C84"/>
    <w:rsid w:val="00634CF5"/>
    <w:rsid w:val="006352B6"/>
    <w:rsid w:val="006353C4"/>
    <w:rsid w:val="00635517"/>
    <w:rsid w:val="006355B0"/>
    <w:rsid w:val="006358B8"/>
    <w:rsid w:val="0063610A"/>
    <w:rsid w:val="006362B1"/>
    <w:rsid w:val="0063631F"/>
    <w:rsid w:val="00636347"/>
    <w:rsid w:val="00636488"/>
    <w:rsid w:val="00636555"/>
    <w:rsid w:val="0063691E"/>
    <w:rsid w:val="00636989"/>
    <w:rsid w:val="00636A92"/>
    <w:rsid w:val="006371BB"/>
    <w:rsid w:val="006371E5"/>
    <w:rsid w:val="00637EB9"/>
    <w:rsid w:val="006400F8"/>
    <w:rsid w:val="00640310"/>
    <w:rsid w:val="00640EA1"/>
    <w:rsid w:val="00640F5D"/>
    <w:rsid w:val="00641012"/>
    <w:rsid w:val="00641141"/>
    <w:rsid w:val="00641174"/>
    <w:rsid w:val="006412EB"/>
    <w:rsid w:val="00641B31"/>
    <w:rsid w:val="00641D88"/>
    <w:rsid w:val="00642DD7"/>
    <w:rsid w:val="0064309D"/>
    <w:rsid w:val="00643473"/>
    <w:rsid w:val="00643518"/>
    <w:rsid w:val="00643543"/>
    <w:rsid w:val="006435CB"/>
    <w:rsid w:val="00643AB0"/>
    <w:rsid w:val="00643AD1"/>
    <w:rsid w:val="00644214"/>
    <w:rsid w:val="006442C0"/>
    <w:rsid w:val="00644396"/>
    <w:rsid w:val="00644536"/>
    <w:rsid w:val="0064488D"/>
    <w:rsid w:val="00644D5F"/>
    <w:rsid w:val="00644F6D"/>
    <w:rsid w:val="006459AE"/>
    <w:rsid w:val="00645C32"/>
    <w:rsid w:val="00645FDC"/>
    <w:rsid w:val="00645FF4"/>
    <w:rsid w:val="006462B6"/>
    <w:rsid w:val="00646513"/>
    <w:rsid w:val="0064658B"/>
    <w:rsid w:val="00646D06"/>
    <w:rsid w:val="00647414"/>
    <w:rsid w:val="006475FD"/>
    <w:rsid w:val="006476B7"/>
    <w:rsid w:val="00647C5C"/>
    <w:rsid w:val="00647D99"/>
    <w:rsid w:val="00647EB7"/>
    <w:rsid w:val="00647EDB"/>
    <w:rsid w:val="00647EF6"/>
    <w:rsid w:val="00647F1C"/>
    <w:rsid w:val="00647FDB"/>
    <w:rsid w:val="0065016C"/>
    <w:rsid w:val="0065026D"/>
    <w:rsid w:val="006504E9"/>
    <w:rsid w:val="0065069C"/>
    <w:rsid w:val="00650B69"/>
    <w:rsid w:val="00650E11"/>
    <w:rsid w:val="00650FE1"/>
    <w:rsid w:val="0065168B"/>
    <w:rsid w:val="006517FE"/>
    <w:rsid w:val="00651927"/>
    <w:rsid w:val="00651B1C"/>
    <w:rsid w:val="00651D74"/>
    <w:rsid w:val="00652B8F"/>
    <w:rsid w:val="00652F5B"/>
    <w:rsid w:val="00652F66"/>
    <w:rsid w:val="006532A4"/>
    <w:rsid w:val="006533B1"/>
    <w:rsid w:val="00653596"/>
    <w:rsid w:val="006539A2"/>
    <w:rsid w:val="00653A83"/>
    <w:rsid w:val="00653B33"/>
    <w:rsid w:val="00653D0B"/>
    <w:rsid w:val="0065417A"/>
    <w:rsid w:val="0065442C"/>
    <w:rsid w:val="006549D5"/>
    <w:rsid w:val="00654AC6"/>
    <w:rsid w:val="00654B1D"/>
    <w:rsid w:val="00654B4F"/>
    <w:rsid w:val="00654BE8"/>
    <w:rsid w:val="006556AD"/>
    <w:rsid w:val="00655E66"/>
    <w:rsid w:val="00655F33"/>
    <w:rsid w:val="00655FAB"/>
    <w:rsid w:val="006564B6"/>
    <w:rsid w:val="00656527"/>
    <w:rsid w:val="00656706"/>
    <w:rsid w:val="00656779"/>
    <w:rsid w:val="0065679F"/>
    <w:rsid w:val="00656920"/>
    <w:rsid w:val="00656CA9"/>
    <w:rsid w:val="00657154"/>
    <w:rsid w:val="00657318"/>
    <w:rsid w:val="006577B8"/>
    <w:rsid w:val="006578BA"/>
    <w:rsid w:val="006578CD"/>
    <w:rsid w:val="00657B63"/>
    <w:rsid w:val="00657CAF"/>
    <w:rsid w:val="00657CE9"/>
    <w:rsid w:val="00657DC6"/>
    <w:rsid w:val="00657ECD"/>
    <w:rsid w:val="006601B2"/>
    <w:rsid w:val="006603B5"/>
    <w:rsid w:val="006605DF"/>
    <w:rsid w:val="00660657"/>
    <w:rsid w:val="00660770"/>
    <w:rsid w:val="006607DA"/>
    <w:rsid w:val="00660AEB"/>
    <w:rsid w:val="00660BAB"/>
    <w:rsid w:val="00661728"/>
    <w:rsid w:val="006617DE"/>
    <w:rsid w:val="00661DB1"/>
    <w:rsid w:val="00661E0F"/>
    <w:rsid w:val="00661E36"/>
    <w:rsid w:val="006620F2"/>
    <w:rsid w:val="0066239B"/>
    <w:rsid w:val="00662586"/>
    <w:rsid w:val="006628B3"/>
    <w:rsid w:val="00662AA6"/>
    <w:rsid w:val="00662F8F"/>
    <w:rsid w:val="00663204"/>
    <w:rsid w:val="006633FE"/>
    <w:rsid w:val="00663458"/>
    <w:rsid w:val="00663496"/>
    <w:rsid w:val="00663636"/>
    <w:rsid w:val="006636A7"/>
    <w:rsid w:val="0066386C"/>
    <w:rsid w:val="0066433C"/>
    <w:rsid w:val="006647D8"/>
    <w:rsid w:val="00664A40"/>
    <w:rsid w:val="00664AC3"/>
    <w:rsid w:val="00664C36"/>
    <w:rsid w:val="00664F4C"/>
    <w:rsid w:val="0066506D"/>
    <w:rsid w:val="0066509C"/>
    <w:rsid w:val="00665190"/>
    <w:rsid w:val="006655A7"/>
    <w:rsid w:val="00665B30"/>
    <w:rsid w:val="00665C59"/>
    <w:rsid w:val="00666009"/>
    <w:rsid w:val="006660BB"/>
    <w:rsid w:val="00666648"/>
    <w:rsid w:val="00666A8E"/>
    <w:rsid w:val="00666E54"/>
    <w:rsid w:val="0066723A"/>
    <w:rsid w:val="00667357"/>
    <w:rsid w:val="006673E3"/>
    <w:rsid w:val="006673F3"/>
    <w:rsid w:val="006674F5"/>
    <w:rsid w:val="00667672"/>
    <w:rsid w:val="006677E1"/>
    <w:rsid w:val="00667BA7"/>
    <w:rsid w:val="00670271"/>
    <w:rsid w:val="0067052A"/>
    <w:rsid w:val="00670835"/>
    <w:rsid w:val="00670AEE"/>
    <w:rsid w:val="00670B11"/>
    <w:rsid w:val="00670C16"/>
    <w:rsid w:val="00670CDC"/>
    <w:rsid w:val="00670D05"/>
    <w:rsid w:val="00670D82"/>
    <w:rsid w:val="006710BB"/>
    <w:rsid w:val="00671FA1"/>
    <w:rsid w:val="00672073"/>
    <w:rsid w:val="00672210"/>
    <w:rsid w:val="006729A9"/>
    <w:rsid w:val="00672E52"/>
    <w:rsid w:val="00672F2F"/>
    <w:rsid w:val="006730CE"/>
    <w:rsid w:val="006733D0"/>
    <w:rsid w:val="00673770"/>
    <w:rsid w:val="00673813"/>
    <w:rsid w:val="00673F12"/>
    <w:rsid w:val="00674242"/>
    <w:rsid w:val="00674AB1"/>
    <w:rsid w:val="00674ACD"/>
    <w:rsid w:val="00674BF8"/>
    <w:rsid w:val="00674EDD"/>
    <w:rsid w:val="00674F53"/>
    <w:rsid w:val="0067504C"/>
    <w:rsid w:val="00675274"/>
    <w:rsid w:val="006752BC"/>
    <w:rsid w:val="00675757"/>
    <w:rsid w:val="00675FBC"/>
    <w:rsid w:val="006760CF"/>
    <w:rsid w:val="006767A2"/>
    <w:rsid w:val="006767F0"/>
    <w:rsid w:val="006768A8"/>
    <w:rsid w:val="00676994"/>
    <w:rsid w:val="00676E4A"/>
    <w:rsid w:val="00676F7F"/>
    <w:rsid w:val="00677377"/>
    <w:rsid w:val="00677392"/>
    <w:rsid w:val="00677428"/>
    <w:rsid w:val="00677597"/>
    <w:rsid w:val="006776AC"/>
    <w:rsid w:val="00677864"/>
    <w:rsid w:val="0067791E"/>
    <w:rsid w:val="00677C4A"/>
    <w:rsid w:val="00680483"/>
    <w:rsid w:val="0068049A"/>
    <w:rsid w:val="00680816"/>
    <w:rsid w:val="00680961"/>
    <w:rsid w:val="00680C31"/>
    <w:rsid w:val="006817CA"/>
    <w:rsid w:val="00681F69"/>
    <w:rsid w:val="00682364"/>
    <w:rsid w:val="006829B6"/>
    <w:rsid w:val="00682CBB"/>
    <w:rsid w:val="00682DE6"/>
    <w:rsid w:val="00682E1F"/>
    <w:rsid w:val="00683086"/>
    <w:rsid w:val="0068348D"/>
    <w:rsid w:val="006834CB"/>
    <w:rsid w:val="00683A05"/>
    <w:rsid w:val="00683BF5"/>
    <w:rsid w:val="006841DD"/>
    <w:rsid w:val="0068429B"/>
    <w:rsid w:val="00684337"/>
    <w:rsid w:val="0068439F"/>
    <w:rsid w:val="00684596"/>
    <w:rsid w:val="00684941"/>
    <w:rsid w:val="006849EE"/>
    <w:rsid w:val="006849FB"/>
    <w:rsid w:val="00684D12"/>
    <w:rsid w:val="00685013"/>
    <w:rsid w:val="00685049"/>
    <w:rsid w:val="006851D3"/>
    <w:rsid w:val="006854FB"/>
    <w:rsid w:val="006857C5"/>
    <w:rsid w:val="00685B96"/>
    <w:rsid w:val="00685C43"/>
    <w:rsid w:val="00686886"/>
    <w:rsid w:val="006870BB"/>
    <w:rsid w:val="00687669"/>
    <w:rsid w:val="00687944"/>
    <w:rsid w:val="0069069E"/>
    <w:rsid w:val="00690705"/>
    <w:rsid w:val="0069070A"/>
    <w:rsid w:val="00690C34"/>
    <w:rsid w:val="006911B9"/>
    <w:rsid w:val="0069128D"/>
    <w:rsid w:val="00691A4C"/>
    <w:rsid w:val="0069210E"/>
    <w:rsid w:val="00692140"/>
    <w:rsid w:val="0069226D"/>
    <w:rsid w:val="006925F9"/>
    <w:rsid w:val="00692744"/>
    <w:rsid w:val="006929B1"/>
    <w:rsid w:val="00692AB8"/>
    <w:rsid w:val="00692B81"/>
    <w:rsid w:val="00692B87"/>
    <w:rsid w:val="00692BF0"/>
    <w:rsid w:val="00692C03"/>
    <w:rsid w:val="00692DBB"/>
    <w:rsid w:val="00692DCB"/>
    <w:rsid w:val="00692E06"/>
    <w:rsid w:val="00692F4F"/>
    <w:rsid w:val="006937FA"/>
    <w:rsid w:val="00693AB3"/>
    <w:rsid w:val="00693D32"/>
    <w:rsid w:val="00693D74"/>
    <w:rsid w:val="00693FF2"/>
    <w:rsid w:val="0069455E"/>
    <w:rsid w:val="006948F3"/>
    <w:rsid w:val="00694A19"/>
    <w:rsid w:val="00694A29"/>
    <w:rsid w:val="00694F29"/>
    <w:rsid w:val="00694FEF"/>
    <w:rsid w:val="00695232"/>
    <w:rsid w:val="006955D5"/>
    <w:rsid w:val="00695722"/>
    <w:rsid w:val="0069573D"/>
    <w:rsid w:val="006958AB"/>
    <w:rsid w:val="00695B5A"/>
    <w:rsid w:val="00695D18"/>
    <w:rsid w:val="006962E4"/>
    <w:rsid w:val="00696440"/>
    <w:rsid w:val="006964C3"/>
    <w:rsid w:val="0069661E"/>
    <w:rsid w:val="00696858"/>
    <w:rsid w:val="00696951"/>
    <w:rsid w:val="00696A64"/>
    <w:rsid w:val="00696BFC"/>
    <w:rsid w:val="00697102"/>
    <w:rsid w:val="006972F5"/>
    <w:rsid w:val="006978C6"/>
    <w:rsid w:val="00697A21"/>
    <w:rsid w:val="00697CB9"/>
    <w:rsid w:val="006A0356"/>
    <w:rsid w:val="006A03DB"/>
    <w:rsid w:val="006A0A08"/>
    <w:rsid w:val="006A0F06"/>
    <w:rsid w:val="006A1CC2"/>
    <w:rsid w:val="006A1D32"/>
    <w:rsid w:val="006A1E72"/>
    <w:rsid w:val="006A253C"/>
    <w:rsid w:val="006A27B4"/>
    <w:rsid w:val="006A2839"/>
    <w:rsid w:val="006A29A1"/>
    <w:rsid w:val="006A2A6F"/>
    <w:rsid w:val="006A2F28"/>
    <w:rsid w:val="006A3236"/>
    <w:rsid w:val="006A3298"/>
    <w:rsid w:val="006A330B"/>
    <w:rsid w:val="006A37BA"/>
    <w:rsid w:val="006A3B8E"/>
    <w:rsid w:val="006A3E20"/>
    <w:rsid w:val="006A3E6A"/>
    <w:rsid w:val="006A3EC9"/>
    <w:rsid w:val="006A4121"/>
    <w:rsid w:val="006A44BE"/>
    <w:rsid w:val="006A4864"/>
    <w:rsid w:val="006A48D5"/>
    <w:rsid w:val="006A4E40"/>
    <w:rsid w:val="006A50EF"/>
    <w:rsid w:val="006A5846"/>
    <w:rsid w:val="006A5ADA"/>
    <w:rsid w:val="006A614E"/>
    <w:rsid w:val="006A61FB"/>
    <w:rsid w:val="006A63C3"/>
    <w:rsid w:val="006A67AC"/>
    <w:rsid w:val="006A6A55"/>
    <w:rsid w:val="006A6BAA"/>
    <w:rsid w:val="006A6BAE"/>
    <w:rsid w:val="006A6CF0"/>
    <w:rsid w:val="006A7520"/>
    <w:rsid w:val="006A7AFB"/>
    <w:rsid w:val="006A7E6C"/>
    <w:rsid w:val="006A7FCE"/>
    <w:rsid w:val="006B06F5"/>
    <w:rsid w:val="006B0928"/>
    <w:rsid w:val="006B0A9B"/>
    <w:rsid w:val="006B0DC1"/>
    <w:rsid w:val="006B10EB"/>
    <w:rsid w:val="006B1801"/>
    <w:rsid w:val="006B1B57"/>
    <w:rsid w:val="006B1DE9"/>
    <w:rsid w:val="006B21E5"/>
    <w:rsid w:val="006B285C"/>
    <w:rsid w:val="006B3487"/>
    <w:rsid w:val="006B3D11"/>
    <w:rsid w:val="006B3DF9"/>
    <w:rsid w:val="006B3E6E"/>
    <w:rsid w:val="006B41DF"/>
    <w:rsid w:val="006B4471"/>
    <w:rsid w:val="006B4F53"/>
    <w:rsid w:val="006B50A9"/>
    <w:rsid w:val="006B50F0"/>
    <w:rsid w:val="006B52C3"/>
    <w:rsid w:val="006B549B"/>
    <w:rsid w:val="006B58B2"/>
    <w:rsid w:val="006B5B9D"/>
    <w:rsid w:val="006B5C58"/>
    <w:rsid w:val="006B5F49"/>
    <w:rsid w:val="006B60B7"/>
    <w:rsid w:val="006B60DB"/>
    <w:rsid w:val="006B6333"/>
    <w:rsid w:val="006B69C2"/>
    <w:rsid w:val="006B6A32"/>
    <w:rsid w:val="006B6E5F"/>
    <w:rsid w:val="006B701E"/>
    <w:rsid w:val="006B7279"/>
    <w:rsid w:val="006B74E4"/>
    <w:rsid w:val="006B7677"/>
    <w:rsid w:val="006B7798"/>
    <w:rsid w:val="006B7824"/>
    <w:rsid w:val="006B7884"/>
    <w:rsid w:val="006B7B16"/>
    <w:rsid w:val="006B7EFF"/>
    <w:rsid w:val="006C0276"/>
    <w:rsid w:val="006C052D"/>
    <w:rsid w:val="006C09EB"/>
    <w:rsid w:val="006C0B10"/>
    <w:rsid w:val="006C0FBE"/>
    <w:rsid w:val="006C133B"/>
    <w:rsid w:val="006C14A6"/>
    <w:rsid w:val="006C17FC"/>
    <w:rsid w:val="006C1901"/>
    <w:rsid w:val="006C190D"/>
    <w:rsid w:val="006C19F1"/>
    <w:rsid w:val="006C1BBC"/>
    <w:rsid w:val="006C1CFD"/>
    <w:rsid w:val="006C1EF8"/>
    <w:rsid w:val="006C1FE5"/>
    <w:rsid w:val="006C2A22"/>
    <w:rsid w:val="006C2AA2"/>
    <w:rsid w:val="006C2E3D"/>
    <w:rsid w:val="006C2EBF"/>
    <w:rsid w:val="006C30B3"/>
    <w:rsid w:val="006C340C"/>
    <w:rsid w:val="006C3559"/>
    <w:rsid w:val="006C3750"/>
    <w:rsid w:val="006C37A2"/>
    <w:rsid w:val="006C382F"/>
    <w:rsid w:val="006C3858"/>
    <w:rsid w:val="006C40AB"/>
    <w:rsid w:val="006C4118"/>
    <w:rsid w:val="006C434F"/>
    <w:rsid w:val="006C4433"/>
    <w:rsid w:val="006C45D3"/>
    <w:rsid w:val="006C4A7F"/>
    <w:rsid w:val="006C4C58"/>
    <w:rsid w:val="006C5744"/>
    <w:rsid w:val="006C5D60"/>
    <w:rsid w:val="006C5F3B"/>
    <w:rsid w:val="006C6190"/>
    <w:rsid w:val="006C61F9"/>
    <w:rsid w:val="006C67A7"/>
    <w:rsid w:val="006C6860"/>
    <w:rsid w:val="006C6B78"/>
    <w:rsid w:val="006C6D3D"/>
    <w:rsid w:val="006C6E28"/>
    <w:rsid w:val="006C70E1"/>
    <w:rsid w:val="006C7324"/>
    <w:rsid w:val="006C74E2"/>
    <w:rsid w:val="006C7662"/>
    <w:rsid w:val="006C795B"/>
    <w:rsid w:val="006C79D5"/>
    <w:rsid w:val="006D04EF"/>
    <w:rsid w:val="006D06DF"/>
    <w:rsid w:val="006D0957"/>
    <w:rsid w:val="006D0B05"/>
    <w:rsid w:val="006D0BE2"/>
    <w:rsid w:val="006D0CE0"/>
    <w:rsid w:val="006D15A0"/>
    <w:rsid w:val="006D2194"/>
    <w:rsid w:val="006D2213"/>
    <w:rsid w:val="006D2295"/>
    <w:rsid w:val="006D24AD"/>
    <w:rsid w:val="006D2675"/>
    <w:rsid w:val="006D26A4"/>
    <w:rsid w:val="006D2775"/>
    <w:rsid w:val="006D2A01"/>
    <w:rsid w:val="006D2F3A"/>
    <w:rsid w:val="006D31B6"/>
    <w:rsid w:val="006D3437"/>
    <w:rsid w:val="006D3570"/>
    <w:rsid w:val="006D3594"/>
    <w:rsid w:val="006D377F"/>
    <w:rsid w:val="006D392D"/>
    <w:rsid w:val="006D42B2"/>
    <w:rsid w:val="006D4594"/>
    <w:rsid w:val="006D4663"/>
    <w:rsid w:val="006D46EF"/>
    <w:rsid w:val="006D4D6B"/>
    <w:rsid w:val="006D4EFE"/>
    <w:rsid w:val="006D52B2"/>
    <w:rsid w:val="006D5436"/>
    <w:rsid w:val="006D6107"/>
    <w:rsid w:val="006D6148"/>
    <w:rsid w:val="006D6C31"/>
    <w:rsid w:val="006D6D74"/>
    <w:rsid w:val="006D6FAD"/>
    <w:rsid w:val="006D7187"/>
    <w:rsid w:val="006D7204"/>
    <w:rsid w:val="006D792B"/>
    <w:rsid w:val="006D793C"/>
    <w:rsid w:val="006D7D33"/>
    <w:rsid w:val="006E000F"/>
    <w:rsid w:val="006E0055"/>
    <w:rsid w:val="006E0529"/>
    <w:rsid w:val="006E05E5"/>
    <w:rsid w:val="006E08B9"/>
    <w:rsid w:val="006E0907"/>
    <w:rsid w:val="006E108A"/>
    <w:rsid w:val="006E13E2"/>
    <w:rsid w:val="006E152E"/>
    <w:rsid w:val="006E1964"/>
    <w:rsid w:val="006E199D"/>
    <w:rsid w:val="006E19E4"/>
    <w:rsid w:val="006E1B03"/>
    <w:rsid w:val="006E1CA9"/>
    <w:rsid w:val="006E1DD0"/>
    <w:rsid w:val="006E236B"/>
    <w:rsid w:val="006E24CF"/>
    <w:rsid w:val="006E28ED"/>
    <w:rsid w:val="006E29E6"/>
    <w:rsid w:val="006E2BE6"/>
    <w:rsid w:val="006E2D63"/>
    <w:rsid w:val="006E2F17"/>
    <w:rsid w:val="006E3256"/>
    <w:rsid w:val="006E32C0"/>
    <w:rsid w:val="006E3499"/>
    <w:rsid w:val="006E37E7"/>
    <w:rsid w:val="006E37F4"/>
    <w:rsid w:val="006E38AD"/>
    <w:rsid w:val="006E3B06"/>
    <w:rsid w:val="006E4423"/>
    <w:rsid w:val="006E468C"/>
    <w:rsid w:val="006E4F99"/>
    <w:rsid w:val="006E5029"/>
    <w:rsid w:val="006E51F4"/>
    <w:rsid w:val="006E5434"/>
    <w:rsid w:val="006E5739"/>
    <w:rsid w:val="006E5C11"/>
    <w:rsid w:val="006E625A"/>
    <w:rsid w:val="006E6353"/>
    <w:rsid w:val="006E6402"/>
    <w:rsid w:val="006E6AFB"/>
    <w:rsid w:val="006E6B12"/>
    <w:rsid w:val="006E6BD5"/>
    <w:rsid w:val="006E7246"/>
    <w:rsid w:val="006E746F"/>
    <w:rsid w:val="006E74C8"/>
    <w:rsid w:val="006E771B"/>
    <w:rsid w:val="006E78DF"/>
    <w:rsid w:val="006E7CC0"/>
    <w:rsid w:val="006E7CC5"/>
    <w:rsid w:val="006E7DE4"/>
    <w:rsid w:val="006F0363"/>
    <w:rsid w:val="006F0590"/>
    <w:rsid w:val="006F0C26"/>
    <w:rsid w:val="006F0C43"/>
    <w:rsid w:val="006F0FF0"/>
    <w:rsid w:val="006F1076"/>
    <w:rsid w:val="006F1085"/>
    <w:rsid w:val="006F10B4"/>
    <w:rsid w:val="006F14C8"/>
    <w:rsid w:val="006F1615"/>
    <w:rsid w:val="006F181D"/>
    <w:rsid w:val="006F19B9"/>
    <w:rsid w:val="006F1A9F"/>
    <w:rsid w:val="006F2041"/>
    <w:rsid w:val="006F2926"/>
    <w:rsid w:val="006F2992"/>
    <w:rsid w:val="006F300E"/>
    <w:rsid w:val="006F30DE"/>
    <w:rsid w:val="006F353E"/>
    <w:rsid w:val="006F36AD"/>
    <w:rsid w:val="006F3E01"/>
    <w:rsid w:val="006F3EB7"/>
    <w:rsid w:val="006F41CB"/>
    <w:rsid w:val="006F42BD"/>
    <w:rsid w:val="006F43B4"/>
    <w:rsid w:val="006F455D"/>
    <w:rsid w:val="006F469A"/>
    <w:rsid w:val="006F4887"/>
    <w:rsid w:val="006F5260"/>
    <w:rsid w:val="006F56F1"/>
    <w:rsid w:val="006F5733"/>
    <w:rsid w:val="006F5DC1"/>
    <w:rsid w:val="006F5EB0"/>
    <w:rsid w:val="006F6036"/>
    <w:rsid w:val="006F6D08"/>
    <w:rsid w:val="006F6E4B"/>
    <w:rsid w:val="006F713A"/>
    <w:rsid w:val="006F7366"/>
    <w:rsid w:val="006F747B"/>
    <w:rsid w:val="006F75CD"/>
    <w:rsid w:val="0070015C"/>
    <w:rsid w:val="00700949"/>
    <w:rsid w:val="00700BCC"/>
    <w:rsid w:val="007013E3"/>
    <w:rsid w:val="00701776"/>
    <w:rsid w:val="0070180A"/>
    <w:rsid w:val="00701855"/>
    <w:rsid w:val="00701966"/>
    <w:rsid w:val="00701ACC"/>
    <w:rsid w:val="00701BE1"/>
    <w:rsid w:val="00701D4A"/>
    <w:rsid w:val="00702455"/>
    <w:rsid w:val="00702604"/>
    <w:rsid w:val="007027EB"/>
    <w:rsid w:val="00702C71"/>
    <w:rsid w:val="00702D99"/>
    <w:rsid w:val="007032F4"/>
    <w:rsid w:val="00703387"/>
    <w:rsid w:val="007034E1"/>
    <w:rsid w:val="00703C82"/>
    <w:rsid w:val="007043FD"/>
    <w:rsid w:val="00704645"/>
    <w:rsid w:val="007046FC"/>
    <w:rsid w:val="00704787"/>
    <w:rsid w:val="00704EC9"/>
    <w:rsid w:val="00704EF3"/>
    <w:rsid w:val="007051C3"/>
    <w:rsid w:val="00705350"/>
    <w:rsid w:val="00705399"/>
    <w:rsid w:val="0070569C"/>
    <w:rsid w:val="00705738"/>
    <w:rsid w:val="00705768"/>
    <w:rsid w:val="007057C4"/>
    <w:rsid w:val="0070595A"/>
    <w:rsid w:val="00705D50"/>
    <w:rsid w:val="00705EE8"/>
    <w:rsid w:val="00705F0C"/>
    <w:rsid w:val="00706283"/>
    <w:rsid w:val="00706C11"/>
    <w:rsid w:val="00706F61"/>
    <w:rsid w:val="00707591"/>
    <w:rsid w:val="00707760"/>
    <w:rsid w:val="0071017E"/>
    <w:rsid w:val="007108F8"/>
    <w:rsid w:val="00710CED"/>
    <w:rsid w:val="00710F0B"/>
    <w:rsid w:val="00710FA7"/>
    <w:rsid w:val="007111AD"/>
    <w:rsid w:val="00711596"/>
    <w:rsid w:val="007115AC"/>
    <w:rsid w:val="00711F4E"/>
    <w:rsid w:val="00712C25"/>
    <w:rsid w:val="00712E39"/>
    <w:rsid w:val="00712EE1"/>
    <w:rsid w:val="00712F35"/>
    <w:rsid w:val="007133EF"/>
    <w:rsid w:val="00713647"/>
    <w:rsid w:val="00713717"/>
    <w:rsid w:val="00713835"/>
    <w:rsid w:val="0071395A"/>
    <w:rsid w:val="00713AB3"/>
    <w:rsid w:val="00713AED"/>
    <w:rsid w:val="00713B02"/>
    <w:rsid w:val="007141EE"/>
    <w:rsid w:val="00714B40"/>
    <w:rsid w:val="00714B51"/>
    <w:rsid w:val="00714BD1"/>
    <w:rsid w:val="00714EA6"/>
    <w:rsid w:val="00715122"/>
    <w:rsid w:val="00715348"/>
    <w:rsid w:val="00715E6F"/>
    <w:rsid w:val="00715FB5"/>
    <w:rsid w:val="00716BCF"/>
    <w:rsid w:val="00716CE0"/>
    <w:rsid w:val="00717042"/>
    <w:rsid w:val="007170ED"/>
    <w:rsid w:val="007171D3"/>
    <w:rsid w:val="0071743A"/>
    <w:rsid w:val="007175A3"/>
    <w:rsid w:val="007176EB"/>
    <w:rsid w:val="00717921"/>
    <w:rsid w:val="00717A42"/>
    <w:rsid w:val="00717A81"/>
    <w:rsid w:val="0072063C"/>
    <w:rsid w:val="00720E2B"/>
    <w:rsid w:val="00720F34"/>
    <w:rsid w:val="007214CB"/>
    <w:rsid w:val="00721573"/>
    <w:rsid w:val="00721593"/>
    <w:rsid w:val="00721B82"/>
    <w:rsid w:val="00721C18"/>
    <w:rsid w:val="00721C34"/>
    <w:rsid w:val="00721C62"/>
    <w:rsid w:val="007222A1"/>
    <w:rsid w:val="0072260E"/>
    <w:rsid w:val="00722811"/>
    <w:rsid w:val="007229D9"/>
    <w:rsid w:val="00722AAD"/>
    <w:rsid w:val="00722DA3"/>
    <w:rsid w:val="007230FC"/>
    <w:rsid w:val="00723248"/>
    <w:rsid w:val="00723836"/>
    <w:rsid w:val="007238DF"/>
    <w:rsid w:val="00724143"/>
    <w:rsid w:val="00724499"/>
    <w:rsid w:val="00724569"/>
    <w:rsid w:val="00724969"/>
    <w:rsid w:val="00724A19"/>
    <w:rsid w:val="00724E13"/>
    <w:rsid w:val="00725366"/>
    <w:rsid w:val="00725492"/>
    <w:rsid w:val="00725CE7"/>
    <w:rsid w:val="00725D6C"/>
    <w:rsid w:val="007263AA"/>
    <w:rsid w:val="007263BC"/>
    <w:rsid w:val="007265FB"/>
    <w:rsid w:val="00726C42"/>
    <w:rsid w:val="0072724A"/>
    <w:rsid w:val="0072781B"/>
    <w:rsid w:val="007279AA"/>
    <w:rsid w:val="0073012C"/>
    <w:rsid w:val="007301B9"/>
    <w:rsid w:val="0073061F"/>
    <w:rsid w:val="007309E3"/>
    <w:rsid w:val="007312BB"/>
    <w:rsid w:val="00731375"/>
    <w:rsid w:val="007314B8"/>
    <w:rsid w:val="007314E8"/>
    <w:rsid w:val="007315F1"/>
    <w:rsid w:val="00731672"/>
    <w:rsid w:val="00731D12"/>
    <w:rsid w:val="00731E06"/>
    <w:rsid w:val="00732391"/>
    <w:rsid w:val="007324D3"/>
    <w:rsid w:val="00732AC1"/>
    <w:rsid w:val="00732EC6"/>
    <w:rsid w:val="00732F2C"/>
    <w:rsid w:val="0073369A"/>
    <w:rsid w:val="007339E6"/>
    <w:rsid w:val="0073451B"/>
    <w:rsid w:val="00734C56"/>
    <w:rsid w:val="00734CE7"/>
    <w:rsid w:val="00734D1F"/>
    <w:rsid w:val="00734F83"/>
    <w:rsid w:val="00735431"/>
    <w:rsid w:val="007358C3"/>
    <w:rsid w:val="00735B5D"/>
    <w:rsid w:val="00735C2C"/>
    <w:rsid w:val="00735EFA"/>
    <w:rsid w:val="007366FE"/>
    <w:rsid w:val="0073755A"/>
    <w:rsid w:val="00737EFC"/>
    <w:rsid w:val="0074014D"/>
    <w:rsid w:val="007403F9"/>
    <w:rsid w:val="00740737"/>
    <w:rsid w:val="007407A2"/>
    <w:rsid w:val="007409B7"/>
    <w:rsid w:val="00740A04"/>
    <w:rsid w:val="00740CF9"/>
    <w:rsid w:val="00740E66"/>
    <w:rsid w:val="00741260"/>
    <w:rsid w:val="00741325"/>
    <w:rsid w:val="00741682"/>
    <w:rsid w:val="007419C0"/>
    <w:rsid w:val="00741A62"/>
    <w:rsid w:val="00741B65"/>
    <w:rsid w:val="00741C87"/>
    <w:rsid w:val="00741D19"/>
    <w:rsid w:val="0074209E"/>
    <w:rsid w:val="007421AA"/>
    <w:rsid w:val="007424D4"/>
    <w:rsid w:val="0074294E"/>
    <w:rsid w:val="00742EC2"/>
    <w:rsid w:val="00743070"/>
    <w:rsid w:val="00743873"/>
    <w:rsid w:val="00743A93"/>
    <w:rsid w:val="00743B8E"/>
    <w:rsid w:val="00743E49"/>
    <w:rsid w:val="007447ED"/>
    <w:rsid w:val="00744B20"/>
    <w:rsid w:val="00744E56"/>
    <w:rsid w:val="0074526C"/>
    <w:rsid w:val="00745620"/>
    <w:rsid w:val="00745C50"/>
    <w:rsid w:val="00745FF6"/>
    <w:rsid w:val="0074612E"/>
    <w:rsid w:val="00746565"/>
    <w:rsid w:val="00746EF8"/>
    <w:rsid w:val="00747451"/>
    <w:rsid w:val="00747C41"/>
    <w:rsid w:val="00747CAB"/>
    <w:rsid w:val="0075007A"/>
    <w:rsid w:val="007500B1"/>
    <w:rsid w:val="00750146"/>
    <w:rsid w:val="00750987"/>
    <w:rsid w:val="007509CD"/>
    <w:rsid w:val="00750E98"/>
    <w:rsid w:val="0075165C"/>
    <w:rsid w:val="007516A6"/>
    <w:rsid w:val="0075183A"/>
    <w:rsid w:val="0075199B"/>
    <w:rsid w:val="00752130"/>
    <w:rsid w:val="0075218F"/>
    <w:rsid w:val="0075253A"/>
    <w:rsid w:val="00752AA6"/>
    <w:rsid w:val="00753193"/>
    <w:rsid w:val="007531A6"/>
    <w:rsid w:val="007532BB"/>
    <w:rsid w:val="00753652"/>
    <w:rsid w:val="00753902"/>
    <w:rsid w:val="00753BA1"/>
    <w:rsid w:val="00753BAE"/>
    <w:rsid w:val="00753BD3"/>
    <w:rsid w:val="00753DF0"/>
    <w:rsid w:val="00753EAF"/>
    <w:rsid w:val="00753EB8"/>
    <w:rsid w:val="00754210"/>
    <w:rsid w:val="007542FD"/>
    <w:rsid w:val="00754652"/>
    <w:rsid w:val="00754D84"/>
    <w:rsid w:val="00754EA7"/>
    <w:rsid w:val="00754EBC"/>
    <w:rsid w:val="00754F79"/>
    <w:rsid w:val="00755870"/>
    <w:rsid w:val="007558BA"/>
    <w:rsid w:val="00755900"/>
    <w:rsid w:val="00756789"/>
    <w:rsid w:val="007568AA"/>
    <w:rsid w:val="00756AFD"/>
    <w:rsid w:val="00756B7B"/>
    <w:rsid w:val="00756C2D"/>
    <w:rsid w:val="00756C92"/>
    <w:rsid w:val="00756F72"/>
    <w:rsid w:val="00757B86"/>
    <w:rsid w:val="0076033D"/>
    <w:rsid w:val="007607DE"/>
    <w:rsid w:val="00760B9E"/>
    <w:rsid w:val="00760BB8"/>
    <w:rsid w:val="00761094"/>
    <w:rsid w:val="007610E6"/>
    <w:rsid w:val="00761465"/>
    <w:rsid w:val="00761731"/>
    <w:rsid w:val="00761BA4"/>
    <w:rsid w:val="00761D17"/>
    <w:rsid w:val="00761E65"/>
    <w:rsid w:val="00761F74"/>
    <w:rsid w:val="007620E4"/>
    <w:rsid w:val="007620F1"/>
    <w:rsid w:val="00762386"/>
    <w:rsid w:val="0076267A"/>
    <w:rsid w:val="007628D7"/>
    <w:rsid w:val="007629A3"/>
    <w:rsid w:val="00763064"/>
    <w:rsid w:val="007630FB"/>
    <w:rsid w:val="00763A08"/>
    <w:rsid w:val="00764166"/>
    <w:rsid w:val="00764565"/>
    <w:rsid w:val="00764719"/>
    <w:rsid w:val="00764B09"/>
    <w:rsid w:val="007652E9"/>
    <w:rsid w:val="007653E6"/>
    <w:rsid w:val="00765543"/>
    <w:rsid w:val="00765577"/>
    <w:rsid w:val="00765625"/>
    <w:rsid w:val="00765882"/>
    <w:rsid w:val="00765972"/>
    <w:rsid w:val="00765992"/>
    <w:rsid w:val="007659B0"/>
    <w:rsid w:val="00765A0A"/>
    <w:rsid w:val="00765D65"/>
    <w:rsid w:val="00766629"/>
    <w:rsid w:val="00766849"/>
    <w:rsid w:val="00766963"/>
    <w:rsid w:val="00767097"/>
    <w:rsid w:val="00767100"/>
    <w:rsid w:val="00767257"/>
    <w:rsid w:val="00767556"/>
    <w:rsid w:val="007678F2"/>
    <w:rsid w:val="0076790B"/>
    <w:rsid w:val="0076791C"/>
    <w:rsid w:val="00767AD8"/>
    <w:rsid w:val="00767ED8"/>
    <w:rsid w:val="00767F20"/>
    <w:rsid w:val="00770027"/>
    <w:rsid w:val="007701CB"/>
    <w:rsid w:val="0077047C"/>
    <w:rsid w:val="00770664"/>
    <w:rsid w:val="0077099E"/>
    <w:rsid w:val="00770B4F"/>
    <w:rsid w:val="00770D5F"/>
    <w:rsid w:val="00770FD8"/>
    <w:rsid w:val="00771231"/>
    <w:rsid w:val="00771613"/>
    <w:rsid w:val="007716AB"/>
    <w:rsid w:val="007716E6"/>
    <w:rsid w:val="0077179E"/>
    <w:rsid w:val="007719CD"/>
    <w:rsid w:val="00771E04"/>
    <w:rsid w:val="00771E21"/>
    <w:rsid w:val="00772005"/>
    <w:rsid w:val="00772041"/>
    <w:rsid w:val="00772320"/>
    <w:rsid w:val="00772CBB"/>
    <w:rsid w:val="00772F2F"/>
    <w:rsid w:val="007731E5"/>
    <w:rsid w:val="00773461"/>
    <w:rsid w:val="00773551"/>
    <w:rsid w:val="00773571"/>
    <w:rsid w:val="007735EA"/>
    <w:rsid w:val="00773717"/>
    <w:rsid w:val="00773851"/>
    <w:rsid w:val="007738E4"/>
    <w:rsid w:val="00773D78"/>
    <w:rsid w:val="00773F3D"/>
    <w:rsid w:val="0077417D"/>
    <w:rsid w:val="0077443D"/>
    <w:rsid w:val="007748B0"/>
    <w:rsid w:val="0077490A"/>
    <w:rsid w:val="0077491D"/>
    <w:rsid w:val="007749F0"/>
    <w:rsid w:val="00775194"/>
    <w:rsid w:val="007756C7"/>
    <w:rsid w:val="00775BBA"/>
    <w:rsid w:val="00775F6D"/>
    <w:rsid w:val="0077608E"/>
    <w:rsid w:val="007762A5"/>
    <w:rsid w:val="007762C0"/>
    <w:rsid w:val="007762DF"/>
    <w:rsid w:val="007762FF"/>
    <w:rsid w:val="0077634D"/>
    <w:rsid w:val="00776960"/>
    <w:rsid w:val="007772F1"/>
    <w:rsid w:val="0077760A"/>
    <w:rsid w:val="007778AC"/>
    <w:rsid w:val="0077791B"/>
    <w:rsid w:val="0077798F"/>
    <w:rsid w:val="00777B03"/>
    <w:rsid w:val="00777B7A"/>
    <w:rsid w:val="00777CAA"/>
    <w:rsid w:val="00777D67"/>
    <w:rsid w:val="00777DA7"/>
    <w:rsid w:val="00780043"/>
    <w:rsid w:val="007801CA"/>
    <w:rsid w:val="00780334"/>
    <w:rsid w:val="007804B0"/>
    <w:rsid w:val="007806B9"/>
    <w:rsid w:val="00780CBE"/>
    <w:rsid w:val="00780E09"/>
    <w:rsid w:val="00781281"/>
    <w:rsid w:val="00781472"/>
    <w:rsid w:val="007814F4"/>
    <w:rsid w:val="0078183E"/>
    <w:rsid w:val="0078185E"/>
    <w:rsid w:val="00781B79"/>
    <w:rsid w:val="00781CE9"/>
    <w:rsid w:val="00781FA4"/>
    <w:rsid w:val="0078202C"/>
    <w:rsid w:val="00782B7C"/>
    <w:rsid w:val="00782DF5"/>
    <w:rsid w:val="00782EE1"/>
    <w:rsid w:val="00782F9F"/>
    <w:rsid w:val="00782FD8"/>
    <w:rsid w:val="00783419"/>
    <w:rsid w:val="00783447"/>
    <w:rsid w:val="007835FD"/>
    <w:rsid w:val="00783865"/>
    <w:rsid w:val="00783930"/>
    <w:rsid w:val="00783ECC"/>
    <w:rsid w:val="00784020"/>
    <w:rsid w:val="007842F1"/>
    <w:rsid w:val="00784881"/>
    <w:rsid w:val="00784BC8"/>
    <w:rsid w:val="00784C04"/>
    <w:rsid w:val="00784E54"/>
    <w:rsid w:val="00784FA1"/>
    <w:rsid w:val="0078524A"/>
    <w:rsid w:val="00785442"/>
    <w:rsid w:val="0078641C"/>
    <w:rsid w:val="0078662E"/>
    <w:rsid w:val="00786669"/>
    <w:rsid w:val="00786B20"/>
    <w:rsid w:val="00786CA7"/>
    <w:rsid w:val="00786D22"/>
    <w:rsid w:val="00787308"/>
    <w:rsid w:val="007875CE"/>
    <w:rsid w:val="00787899"/>
    <w:rsid w:val="00787B07"/>
    <w:rsid w:val="00787E3B"/>
    <w:rsid w:val="00787F36"/>
    <w:rsid w:val="00790365"/>
    <w:rsid w:val="0079059F"/>
    <w:rsid w:val="00790891"/>
    <w:rsid w:val="00790EE1"/>
    <w:rsid w:val="0079100C"/>
    <w:rsid w:val="00791212"/>
    <w:rsid w:val="0079152D"/>
    <w:rsid w:val="007918D5"/>
    <w:rsid w:val="007919CB"/>
    <w:rsid w:val="00791A97"/>
    <w:rsid w:val="00791BB4"/>
    <w:rsid w:val="00792042"/>
    <w:rsid w:val="007926EF"/>
    <w:rsid w:val="00792A37"/>
    <w:rsid w:val="00792B61"/>
    <w:rsid w:val="00792BB8"/>
    <w:rsid w:val="00792D14"/>
    <w:rsid w:val="007935E0"/>
    <w:rsid w:val="0079386B"/>
    <w:rsid w:val="00793EC3"/>
    <w:rsid w:val="00793EED"/>
    <w:rsid w:val="00793F54"/>
    <w:rsid w:val="00793FA4"/>
    <w:rsid w:val="00794010"/>
    <w:rsid w:val="00794BB7"/>
    <w:rsid w:val="00794FFE"/>
    <w:rsid w:val="0079500C"/>
    <w:rsid w:val="007956B2"/>
    <w:rsid w:val="007956CF"/>
    <w:rsid w:val="00795C2E"/>
    <w:rsid w:val="00795F58"/>
    <w:rsid w:val="007960CF"/>
    <w:rsid w:val="0079623A"/>
    <w:rsid w:val="007964DE"/>
    <w:rsid w:val="007975AC"/>
    <w:rsid w:val="00797667"/>
    <w:rsid w:val="007976D9"/>
    <w:rsid w:val="00797D7E"/>
    <w:rsid w:val="00797E48"/>
    <w:rsid w:val="007A0311"/>
    <w:rsid w:val="007A039E"/>
    <w:rsid w:val="007A0416"/>
    <w:rsid w:val="007A0430"/>
    <w:rsid w:val="007A0722"/>
    <w:rsid w:val="007A07BC"/>
    <w:rsid w:val="007A07F4"/>
    <w:rsid w:val="007A0D26"/>
    <w:rsid w:val="007A0F46"/>
    <w:rsid w:val="007A122E"/>
    <w:rsid w:val="007A13BC"/>
    <w:rsid w:val="007A16CF"/>
    <w:rsid w:val="007A16FA"/>
    <w:rsid w:val="007A174A"/>
    <w:rsid w:val="007A1A05"/>
    <w:rsid w:val="007A1D5E"/>
    <w:rsid w:val="007A205D"/>
    <w:rsid w:val="007A20CC"/>
    <w:rsid w:val="007A20DD"/>
    <w:rsid w:val="007A228E"/>
    <w:rsid w:val="007A22B6"/>
    <w:rsid w:val="007A243E"/>
    <w:rsid w:val="007A2915"/>
    <w:rsid w:val="007A35E4"/>
    <w:rsid w:val="007A36BE"/>
    <w:rsid w:val="007A38E3"/>
    <w:rsid w:val="007A3ED0"/>
    <w:rsid w:val="007A3FEE"/>
    <w:rsid w:val="007A40E2"/>
    <w:rsid w:val="007A4CDC"/>
    <w:rsid w:val="007A4F2E"/>
    <w:rsid w:val="007A51AC"/>
    <w:rsid w:val="007A54FA"/>
    <w:rsid w:val="007A5684"/>
    <w:rsid w:val="007A583E"/>
    <w:rsid w:val="007A5DEF"/>
    <w:rsid w:val="007A5E6E"/>
    <w:rsid w:val="007A5E70"/>
    <w:rsid w:val="007A6261"/>
    <w:rsid w:val="007A6596"/>
    <w:rsid w:val="007A6A45"/>
    <w:rsid w:val="007A701E"/>
    <w:rsid w:val="007A705E"/>
    <w:rsid w:val="007A764E"/>
    <w:rsid w:val="007A78EB"/>
    <w:rsid w:val="007A7E88"/>
    <w:rsid w:val="007A7EDD"/>
    <w:rsid w:val="007B03E2"/>
    <w:rsid w:val="007B0544"/>
    <w:rsid w:val="007B0D3E"/>
    <w:rsid w:val="007B0DFE"/>
    <w:rsid w:val="007B10B2"/>
    <w:rsid w:val="007B10E4"/>
    <w:rsid w:val="007B13A3"/>
    <w:rsid w:val="007B1576"/>
    <w:rsid w:val="007B18E8"/>
    <w:rsid w:val="007B19D9"/>
    <w:rsid w:val="007B2359"/>
    <w:rsid w:val="007B27A9"/>
    <w:rsid w:val="007B27E1"/>
    <w:rsid w:val="007B29FB"/>
    <w:rsid w:val="007B2DBD"/>
    <w:rsid w:val="007B3199"/>
    <w:rsid w:val="007B33BB"/>
    <w:rsid w:val="007B3911"/>
    <w:rsid w:val="007B3BBF"/>
    <w:rsid w:val="007B3FA6"/>
    <w:rsid w:val="007B4114"/>
    <w:rsid w:val="007B4E82"/>
    <w:rsid w:val="007B5138"/>
    <w:rsid w:val="007B51A1"/>
    <w:rsid w:val="007B5215"/>
    <w:rsid w:val="007B5D73"/>
    <w:rsid w:val="007B6007"/>
    <w:rsid w:val="007B6301"/>
    <w:rsid w:val="007B6BE8"/>
    <w:rsid w:val="007B74EB"/>
    <w:rsid w:val="007B7917"/>
    <w:rsid w:val="007B7973"/>
    <w:rsid w:val="007B7C6A"/>
    <w:rsid w:val="007B7F1A"/>
    <w:rsid w:val="007C0000"/>
    <w:rsid w:val="007C0187"/>
    <w:rsid w:val="007C0302"/>
    <w:rsid w:val="007C0700"/>
    <w:rsid w:val="007C083D"/>
    <w:rsid w:val="007C0C0D"/>
    <w:rsid w:val="007C0C7A"/>
    <w:rsid w:val="007C0CF5"/>
    <w:rsid w:val="007C0D07"/>
    <w:rsid w:val="007C152C"/>
    <w:rsid w:val="007C15A3"/>
    <w:rsid w:val="007C17A5"/>
    <w:rsid w:val="007C1870"/>
    <w:rsid w:val="007C19AE"/>
    <w:rsid w:val="007C1AE4"/>
    <w:rsid w:val="007C2058"/>
    <w:rsid w:val="007C20BB"/>
    <w:rsid w:val="007C2377"/>
    <w:rsid w:val="007C2483"/>
    <w:rsid w:val="007C24BB"/>
    <w:rsid w:val="007C2C8E"/>
    <w:rsid w:val="007C2ED6"/>
    <w:rsid w:val="007C2FF8"/>
    <w:rsid w:val="007C3399"/>
    <w:rsid w:val="007C349A"/>
    <w:rsid w:val="007C3696"/>
    <w:rsid w:val="007C3C89"/>
    <w:rsid w:val="007C3CB9"/>
    <w:rsid w:val="007C3D63"/>
    <w:rsid w:val="007C3D8C"/>
    <w:rsid w:val="007C3DAD"/>
    <w:rsid w:val="007C41E1"/>
    <w:rsid w:val="007C449C"/>
    <w:rsid w:val="007C4A12"/>
    <w:rsid w:val="007C4D46"/>
    <w:rsid w:val="007C4EDC"/>
    <w:rsid w:val="007C5512"/>
    <w:rsid w:val="007C56BA"/>
    <w:rsid w:val="007C5993"/>
    <w:rsid w:val="007C5AC6"/>
    <w:rsid w:val="007C5E6A"/>
    <w:rsid w:val="007C64BF"/>
    <w:rsid w:val="007C6520"/>
    <w:rsid w:val="007C696C"/>
    <w:rsid w:val="007C6B20"/>
    <w:rsid w:val="007C7255"/>
    <w:rsid w:val="007C7AB9"/>
    <w:rsid w:val="007C7AC5"/>
    <w:rsid w:val="007D00D0"/>
    <w:rsid w:val="007D0385"/>
    <w:rsid w:val="007D05F1"/>
    <w:rsid w:val="007D091B"/>
    <w:rsid w:val="007D1277"/>
    <w:rsid w:val="007D1664"/>
    <w:rsid w:val="007D1666"/>
    <w:rsid w:val="007D19CA"/>
    <w:rsid w:val="007D1AA5"/>
    <w:rsid w:val="007D1CEE"/>
    <w:rsid w:val="007D2817"/>
    <w:rsid w:val="007D2819"/>
    <w:rsid w:val="007D2849"/>
    <w:rsid w:val="007D292A"/>
    <w:rsid w:val="007D2A82"/>
    <w:rsid w:val="007D2FDC"/>
    <w:rsid w:val="007D331B"/>
    <w:rsid w:val="007D39E7"/>
    <w:rsid w:val="007D3CC7"/>
    <w:rsid w:val="007D3D23"/>
    <w:rsid w:val="007D3EAC"/>
    <w:rsid w:val="007D3F1B"/>
    <w:rsid w:val="007D4503"/>
    <w:rsid w:val="007D5155"/>
    <w:rsid w:val="007D5235"/>
    <w:rsid w:val="007D536A"/>
    <w:rsid w:val="007D5410"/>
    <w:rsid w:val="007D5524"/>
    <w:rsid w:val="007D55C0"/>
    <w:rsid w:val="007D5845"/>
    <w:rsid w:val="007D59A7"/>
    <w:rsid w:val="007D5BC4"/>
    <w:rsid w:val="007D5C6D"/>
    <w:rsid w:val="007D62F5"/>
    <w:rsid w:val="007D67BD"/>
    <w:rsid w:val="007D6AA9"/>
    <w:rsid w:val="007D6ACD"/>
    <w:rsid w:val="007D7215"/>
    <w:rsid w:val="007D7252"/>
    <w:rsid w:val="007D7335"/>
    <w:rsid w:val="007D788C"/>
    <w:rsid w:val="007D7E82"/>
    <w:rsid w:val="007E02F4"/>
    <w:rsid w:val="007E032F"/>
    <w:rsid w:val="007E0474"/>
    <w:rsid w:val="007E0C06"/>
    <w:rsid w:val="007E0C67"/>
    <w:rsid w:val="007E0D01"/>
    <w:rsid w:val="007E162C"/>
    <w:rsid w:val="007E1776"/>
    <w:rsid w:val="007E1783"/>
    <w:rsid w:val="007E1858"/>
    <w:rsid w:val="007E1F0A"/>
    <w:rsid w:val="007E2311"/>
    <w:rsid w:val="007E2349"/>
    <w:rsid w:val="007E23EA"/>
    <w:rsid w:val="007E277C"/>
    <w:rsid w:val="007E2AF0"/>
    <w:rsid w:val="007E2E05"/>
    <w:rsid w:val="007E2F1D"/>
    <w:rsid w:val="007E3B20"/>
    <w:rsid w:val="007E3C26"/>
    <w:rsid w:val="007E3CC1"/>
    <w:rsid w:val="007E3E9C"/>
    <w:rsid w:val="007E3F0F"/>
    <w:rsid w:val="007E40DB"/>
    <w:rsid w:val="007E4562"/>
    <w:rsid w:val="007E46FE"/>
    <w:rsid w:val="007E47B4"/>
    <w:rsid w:val="007E4D19"/>
    <w:rsid w:val="007E4E80"/>
    <w:rsid w:val="007E4EA1"/>
    <w:rsid w:val="007E5259"/>
    <w:rsid w:val="007E5321"/>
    <w:rsid w:val="007E5647"/>
    <w:rsid w:val="007E56AF"/>
    <w:rsid w:val="007E5792"/>
    <w:rsid w:val="007E57A2"/>
    <w:rsid w:val="007E5B50"/>
    <w:rsid w:val="007E5C94"/>
    <w:rsid w:val="007E5D8D"/>
    <w:rsid w:val="007E608E"/>
    <w:rsid w:val="007E619A"/>
    <w:rsid w:val="007E630A"/>
    <w:rsid w:val="007E6394"/>
    <w:rsid w:val="007E6468"/>
    <w:rsid w:val="007E648F"/>
    <w:rsid w:val="007E6554"/>
    <w:rsid w:val="007E6736"/>
    <w:rsid w:val="007E6F3A"/>
    <w:rsid w:val="007E72D2"/>
    <w:rsid w:val="007E76A2"/>
    <w:rsid w:val="007E7B1F"/>
    <w:rsid w:val="007E7DFC"/>
    <w:rsid w:val="007F0951"/>
    <w:rsid w:val="007F0B5F"/>
    <w:rsid w:val="007F0FE1"/>
    <w:rsid w:val="007F1385"/>
    <w:rsid w:val="007F18CE"/>
    <w:rsid w:val="007F1BBE"/>
    <w:rsid w:val="007F1C06"/>
    <w:rsid w:val="007F1FC4"/>
    <w:rsid w:val="007F2409"/>
    <w:rsid w:val="007F277D"/>
    <w:rsid w:val="007F2842"/>
    <w:rsid w:val="007F2B44"/>
    <w:rsid w:val="007F2FF4"/>
    <w:rsid w:val="007F3230"/>
    <w:rsid w:val="007F39EC"/>
    <w:rsid w:val="007F402B"/>
    <w:rsid w:val="007F518A"/>
    <w:rsid w:val="007F5656"/>
    <w:rsid w:val="007F57EC"/>
    <w:rsid w:val="007F5874"/>
    <w:rsid w:val="007F58ED"/>
    <w:rsid w:val="007F5E3F"/>
    <w:rsid w:val="007F63B3"/>
    <w:rsid w:val="007F68AB"/>
    <w:rsid w:val="007F6DB6"/>
    <w:rsid w:val="007F71CB"/>
    <w:rsid w:val="007F7743"/>
    <w:rsid w:val="007F7F3E"/>
    <w:rsid w:val="008002C0"/>
    <w:rsid w:val="008002EB"/>
    <w:rsid w:val="0080041B"/>
    <w:rsid w:val="0080053C"/>
    <w:rsid w:val="00800598"/>
    <w:rsid w:val="00800890"/>
    <w:rsid w:val="008008FA"/>
    <w:rsid w:val="00800C89"/>
    <w:rsid w:val="00800CB9"/>
    <w:rsid w:val="00801227"/>
    <w:rsid w:val="008016D1"/>
    <w:rsid w:val="0080178A"/>
    <w:rsid w:val="00801A1C"/>
    <w:rsid w:val="00801C45"/>
    <w:rsid w:val="008024E8"/>
    <w:rsid w:val="00802B1F"/>
    <w:rsid w:val="00802C33"/>
    <w:rsid w:val="00804086"/>
    <w:rsid w:val="00804388"/>
    <w:rsid w:val="00804ABD"/>
    <w:rsid w:val="00804B97"/>
    <w:rsid w:val="00805073"/>
    <w:rsid w:val="0080528A"/>
    <w:rsid w:val="00805402"/>
    <w:rsid w:val="008057CF"/>
    <w:rsid w:val="00805A9B"/>
    <w:rsid w:val="00805F32"/>
    <w:rsid w:val="00806087"/>
    <w:rsid w:val="0080629C"/>
    <w:rsid w:val="008062B1"/>
    <w:rsid w:val="00806605"/>
    <w:rsid w:val="00806695"/>
    <w:rsid w:val="00806AD4"/>
    <w:rsid w:val="008072CC"/>
    <w:rsid w:val="008074E3"/>
    <w:rsid w:val="008078D0"/>
    <w:rsid w:val="00807B29"/>
    <w:rsid w:val="00810382"/>
    <w:rsid w:val="008104D5"/>
    <w:rsid w:val="00810555"/>
    <w:rsid w:val="00810620"/>
    <w:rsid w:val="0081070B"/>
    <w:rsid w:val="0081086F"/>
    <w:rsid w:val="00810BDB"/>
    <w:rsid w:val="00810C00"/>
    <w:rsid w:val="00810FD8"/>
    <w:rsid w:val="0081119E"/>
    <w:rsid w:val="00811829"/>
    <w:rsid w:val="00811A5F"/>
    <w:rsid w:val="00811D05"/>
    <w:rsid w:val="00811E95"/>
    <w:rsid w:val="008122E9"/>
    <w:rsid w:val="008125B7"/>
    <w:rsid w:val="00812714"/>
    <w:rsid w:val="00812AAB"/>
    <w:rsid w:val="00812F11"/>
    <w:rsid w:val="0081387F"/>
    <w:rsid w:val="008139F7"/>
    <w:rsid w:val="00813B2F"/>
    <w:rsid w:val="00813DB2"/>
    <w:rsid w:val="00813FD9"/>
    <w:rsid w:val="008142D7"/>
    <w:rsid w:val="008149BD"/>
    <w:rsid w:val="00814AF4"/>
    <w:rsid w:val="00814DE7"/>
    <w:rsid w:val="00815322"/>
    <w:rsid w:val="00815665"/>
    <w:rsid w:val="00815EBE"/>
    <w:rsid w:val="0081604E"/>
    <w:rsid w:val="008160CD"/>
    <w:rsid w:val="00817194"/>
    <w:rsid w:val="008176EB"/>
    <w:rsid w:val="00817738"/>
    <w:rsid w:val="00817E4C"/>
    <w:rsid w:val="00820103"/>
    <w:rsid w:val="0082054D"/>
    <w:rsid w:val="00820720"/>
    <w:rsid w:val="00821549"/>
    <w:rsid w:val="00821FBA"/>
    <w:rsid w:val="008224C5"/>
    <w:rsid w:val="008235CA"/>
    <w:rsid w:val="00823EAA"/>
    <w:rsid w:val="008243C9"/>
    <w:rsid w:val="008244BC"/>
    <w:rsid w:val="008245EB"/>
    <w:rsid w:val="008246EF"/>
    <w:rsid w:val="00824AC5"/>
    <w:rsid w:val="0082530C"/>
    <w:rsid w:val="0082550F"/>
    <w:rsid w:val="0082573F"/>
    <w:rsid w:val="008259A1"/>
    <w:rsid w:val="00825C0B"/>
    <w:rsid w:val="00825D56"/>
    <w:rsid w:val="00825EA0"/>
    <w:rsid w:val="00825FC7"/>
    <w:rsid w:val="00826022"/>
    <w:rsid w:val="00826294"/>
    <w:rsid w:val="008264CD"/>
    <w:rsid w:val="008264F2"/>
    <w:rsid w:val="008269A9"/>
    <w:rsid w:val="008270F2"/>
    <w:rsid w:val="00827631"/>
    <w:rsid w:val="008277C0"/>
    <w:rsid w:val="00827909"/>
    <w:rsid w:val="00827939"/>
    <w:rsid w:val="00827AAA"/>
    <w:rsid w:val="00827ABA"/>
    <w:rsid w:val="00827C0D"/>
    <w:rsid w:val="00827DC4"/>
    <w:rsid w:val="00830104"/>
    <w:rsid w:val="008304CC"/>
    <w:rsid w:val="008305F9"/>
    <w:rsid w:val="00830BB8"/>
    <w:rsid w:val="00830DE4"/>
    <w:rsid w:val="00830F94"/>
    <w:rsid w:val="00831113"/>
    <w:rsid w:val="008311BA"/>
    <w:rsid w:val="00831512"/>
    <w:rsid w:val="0083157A"/>
    <w:rsid w:val="00831590"/>
    <w:rsid w:val="008315FB"/>
    <w:rsid w:val="008317ED"/>
    <w:rsid w:val="008318A6"/>
    <w:rsid w:val="00831B4B"/>
    <w:rsid w:val="00831C05"/>
    <w:rsid w:val="00831CD8"/>
    <w:rsid w:val="00831D7F"/>
    <w:rsid w:val="00831D82"/>
    <w:rsid w:val="00831E12"/>
    <w:rsid w:val="00831EA1"/>
    <w:rsid w:val="00831F83"/>
    <w:rsid w:val="008321DF"/>
    <w:rsid w:val="0083261E"/>
    <w:rsid w:val="008329ED"/>
    <w:rsid w:val="00832C64"/>
    <w:rsid w:val="0083347E"/>
    <w:rsid w:val="00833B8D"/>
    <w:rsid w:val="00833C00"/>
    <w:rsid w:val="00833E28"/>
    <w:rsid w:val="00833E49"/>
    <w:rsid w:val="00833F7E"/>
    <w:rsid w:val="00833FE0"/>
    <w:rsid w:val="00834067"/>
    <w:rsid w:val="00834141"/>
    <w:rsid w:val="00834157"/>
    <w:rsid w:val="008343A3"/>
    <w:rsid w:val="0083448F"/>
    <w:rsid w:val="008347AE"/>
    <w:rsid w:val="00834848"/>
    <w:rsid w:val="00834857"/>
    <w:rsid w:val="00834957"/>
    <w:rsid w:val="00834B80"/>
    <w:rsid w:val="00834E86"/>
    <w:rsid w:val="00835084"/>
    <w:rsid w:val="008350FA"/>
    <w:rsid w:val="00835619"/>
    <w:rsid w:val="00835E7F"/>
    <w:rsid w:val="0083604A"/>
    <w:rsid w:val="00836077"/>
    <w:rsid w:val="0083685C"/>
    <w:rsid w:val="008369B8"/>
    <w:rsid w:val="00837247"/>
    <w:rsid w:val="008374E8"/>
    <w:rsid w:val="008375C2"/>
    <w:rsid w:val="0083769D"/>
    <w:rsid w:val="00837857"/>
    <w:rsid w:val="0083788F"/>
    <w:rsid w:val="00837B9D"/>
    <w:rsid w:val="00837DDC"/>
    <w:rsid w:val="008403A0"/>
    <w:rsid w:val="00840A74"/>
    <w:rsid w:val="00840EFC"/>
    <w:rsid w:val="00840FB4"/>
    <w:rsid w:val="0084138E"/>
    <w:rsid w:val="008417C4"/>
    <w:rsid w:val="00841E85"/>
    <w:rsid w:val="00841EAD"/>
    <w:rsid w:val="008422F8"/>
    <w:rsid w:val="008423E5"/>
    <w:rsid w:val="008428A9"/>
    <w:rsid w:val="00842B11"/>
    <w:rsid w:val="00842D69"/>
    <w:rsid w:val="00843A46"/>
    <w:rsid w:val="00843E84"/>
    <w:rsid w:val="00843F66"/>
    <w:rsid w:val="0084407A"/>
    <w:rsid w:val="00844E03"/>
    <w:rsid w:val="008451E7"/>
    <w:rsid w:val="00845E7B"/>
    <w:rsid w:val="0084617A"/>
    <w:rsid w:val="00846529"/>
    <w:rsid w:val="008465D6"/>
    <w:rsid w:val="008465EC"/>
    <w:rsid w:val="00846BCE"/>
    <w:rsid w:val="008472A7"/>
    <w:rsid w:val="00847417"/>
    <w:rsid w:val="0084742B"/>
    <w:rsid w:val="00847486"/>
    <w:rsid w:val="00847A11"/>
    <w:rsid w:val="00847A81"/>
    <w:rsid w:val="00847AE4"/>
    <w:rsid w:val="00847B23"/>
    <w:rsid w:val="00847BA3"/>
    <w:rsid w:val="00847EF4"/>
    <w:rsid w:val="0085017A"/>
    <w:rsid w:val="0085076E"/>
    <w:rsid w:val="00850927"/>
    <w:rsid w:val="00851355"/>
    <w:rsid w:val="008519ED"/>
    <w:rsid w:val="00851B61"/>
    <w:rsid w:val="00851BF3"/>
    <w:rsid w:val="00851C75"/>
    <w:rsid w:val="00851E6B"/>
    <w:rsid w:val="0085206D"/>
    <w:rsid w:val="0085210C"/>
    <w:rsid w:val="00852244"/>
    <w:rsid w:val="00852A5D"/>
    <w:rsid w:val="00853D65"/>
    <w:rsid w:val="0085430E"/>
    <w:rsid w:val="008545C2"/>
    <w:rsid w:val="00854673"/>
    <w:rsid w:val="00854786"/>
    <w:rsid w:val="00854938"/>
    <w:rsid w:val="0085493D"/>
    <w:rsid w:val="00854BEE"/>
    <w:rsid w:val="00854F31"/>
    <w:rsid w:val="00855284"/>
    <w:rsid w:val="00855541"/>
    <w:rsid w:val="00855AEA"/>
    <w:rsid w:val="00855B3B"/>
    <w:rsid w:val="00855F4E"/>
    <w:rsid w:val="00856034"/>
    <w:rsid w:val="00856955"/>
    <w:rsid w:val="00856969"/>
    <w:rsid w:val="00856A18"/>
    <w:rsid w:val="008575F8"/>
    <w:rsid w:val="008577EE"/>
    <w:rsid w:val="00857D40"/>
    <w:rsid w:val="0086031A"/>
    <w:rsid w:val="008603AD"/>
    <w:rsid w:val="0086042C"/>
    <w:rsid w:val="008605F0"/>
    <w:rsid w:val="008606F3"/>
    <w:rsid w:val="0086089E"/>
    <w:rsid w:val="00860AAC"/>
    <w:rsid w:val="00860C17"/>
    <w:rsid w:val="00860E21"/>
    <w:rsid w:val="00860EA8"/>
    <w:rsid w:val="0086170B"/>
    <w:rsid w:val="00861929"/>
    <w:rsid w:val="00862803"/>
    <w:rsid w:val="00862D03"/>
    <w:rsid w:val="008631A3"/>
    <w:rsid w:val="008632F9"/>
    <w:rsid w:val="00863357"/>
    <w:rsid w:val="00863398"/>
    <w:rsid w:val="0086358D"/>
    <w:rsid w:val="008636DA"/>
    <w:rsid w:val="00863B1A"/>
    <w:rsid w:val="00863E0E"/>
    <w:rsid w:val="00863E5F"/>
    <w:rsid w:val="0086413C"/>
    <w:rsid w:val="008641FF"/>
    <w:rsid w:val="00864603"/>
    <w:rsid w:val="00864709"/>
    <w:rsid w:val="00864A70"/>
    <w:rsid w:val="008650F3"/>
    <w:rsid w:val="00865750"/>
    <w:rsid w:val="00865854"/>
    <w:rsid w:val="00865B38"/>
    <w:rsid w:val="00865E31"/>
    <w:rsid w:val="00866007"/>
    <w:rsid w:val="008663C2"/>
    <w:rsid w:val="00866405"/>
    <w:rsid w:val="00866B49"/>
    <w:rsid w:val="00866C97"/>
    <w:rsid w:val="008673FE"/>
    <w:rsid w:val="00867455"/>
    <w:rsid w:val="00867D92"/>
    <w:rsid w:val="008701D0"/>
    <w:rsid w:val="0087070E"/>
    <w:rsid w:val="00870E20"/>
    <w:rsid w:val="008713D1"/>
    <w:rsid w:val="00871458"/>
    <w:rsid w:val="008714BA"/>
    <w:rsid w:val="008716E5"/>
    <w:rsid w:val="00871707"/>
    <w:rsid w:val="00871718"/>
    <w:rsid w:val="00871804"/>
    <w:rsid w:val="00871A73"/>
    <w:rsid w:val="00871CAD"/>
    <w:rsid w:val="00871E2F"/>
    <w:rsid w:val="008724AD"/>
    <w:rsid w:val="0087295F"/>
    <w:rsid w:val="0087296D"/>
    <w:rsid w:val="00872CB2"/>
    <w:rsid w:val="00872CB8"/>
    <w:rsid w:val="00872D12"/>
    <w:rsid w:val="00872EBB"/>
    <w:rsid w:val="00873161"/>
    <w:rsid w:val="0087322E"/>
    <w:rsid w:val="00873C46"/>
    <w:rsid w:val="008741F6"/>
    <w:rsid w:val="00874921"/>
    <w:rsid w:val="00874BB5"/>
    <w:rsid w:val="00874C4D"/>
    <w:rsid w:val="00874D34"/>
    <w:rsid w:val="00874E4F"/>
    <w:rsid w:val="008752E5"/>
    <w:rsid w:val="008752E9"/>
    <w:rsid w:val="00875306"/>
    <w:rsid w:val="008756A4"/>
    <w:rsid w:val="008757F1"/>
    <w:rsid w:val="00875988"/>
    <w:rsid w:val="00875AE1"/>
    <w:rsid w:val="00875CAA"/>
    <w:rsid w:val="00875E45"/>
    <w:rsid w:val="00875F0F"/>
    <w:rsid w:val="00876182"/>
    <w:rsid w:val="00876203"/>
    <w:rsid w:val="00876376"/>
    <w:rsid w:val="008764A5"/>
    <w:rsid w:val="0087692A"/>
    <w:rsid w:val="0087693A"/>
    <w:rsid w:val="00876B9E"/>
    <w:rsid w:val="00876D52"/>
    <w:rsid w:val="00876F08"/>
    <w:rsid w:val="008773AB"/>
    <w:rsid w:val="00877437"/>
    <w:rsid w:val="00877477"/>
    <w:rsid w:val="0087763F"/>
    <w:rsid w:val="00877FCE"/>
    <w:rsid w:val="00877FD8"/>
    <w:rsid w:val="00880066"/>
    <w:rsid w:val="008800FF"/>
    <w:rsid w:val="008801CA"/>
    <w:rsid w:val="008801DE"/>
    <w:rsid w:val="008807C1"/>
    <w:rsid w:val="00880A10"/>
    <w:rsid w:val="00880A7B"/>
    <w:rsid w:val="00880AE6"/>
    <w:rsid w:val="00880F1F"/>
    <w:rsid w:val="0088129B"/>
    <w:rsid w:val="0088142D"/>
    <w:rsid w:val="00881689"/>
    <w:rsid w:val="00881E50"/>
    <w:rsid w:val="008824A9"/>
    <w:rsid w:val="00882514"/>
    <w:rsid w:val="00882519"/>
    <w:rsid w:val="0088258B"/>
    <w:rsid w:val="0088280A"/>
    <w:rsid w:val="008828AC"/>
    <w:rsid w:val="008828CE"/>
    <w:rsid w:val="00882949"/>
    <w:rsid w:val="00882BA5"/>
    <w:rsid w:val="00882D55"/>
    <w:rsid w:val="00882D6C"/>
    <w:rsid w:val="00882D8C"/>
    <w:rsid w:val="0088302A"/>
    <w:rsid w:val="00883130"/>
    <w:rsid w:val="00883171"/>
    <w:rsid w:val="00883310"/>
    <w:rsid w:val="00883577"/>
    <w:rsid w:val="00883826"/>
    <w:rsid w:val="008838B4"/>
    <w:rsid w:val="00884208"/>
    <w:rsid w:val="008844B3"/>
    <w:rsid w:val="00884CC1"/>
    <w:rsid w:val="00885C79"/>
    <w:rsid w:val="00886080"/>
    <w:rsid w:val="0088675A"/>
    <w:rsid w:val="00886781"/>
    <w:rsid w:val="00886BB6"/>
    <w:rsid w:val="00887007"/>
    <w:rsid w:val="008873B2"/>
    <w:rsid w:val="0088742C"/>
    <w:rsid w:val="008876A5"/>
    <w:rsid w:val="008878D6"/>
    <w:rsid w:val="008879F8"/>
    <w:rsid w:val="00887E28"/>
    <w:rsid w:val="0089013C"/>
    <w:rsid w:val="00890217"/>
    <w:rsid w:val="00890374"/>
    <w:rsid w:val="0089069B"/>
    <w:rsid w:val="0089089E"/>
    <w:rsid w:val="008908A2"/>
    <w:rsid w:val="008909A3"/>
    <w:rsid w:val="00890DB6"/>
    <w:rsid w:val="00891012"/>
    <w:rsid w:val="00891261"/>
    <w:rsid w:val="008916D7"/>
    <w:rsid w:val="00891EFD"/>
    <w:rsid w:val="00891F24"/>
    <w:rsid w:val="0089216F"/>
    <w:rsid w:val="008921B9"/>
    <w:rsid w:val="008926C2"/>
    <w:rsid w:val="008927FC"/>
    <w:rsid w:val="00892C00"/>
    <w:rsid w:val="00892CC1"/>
    <w:rsid w:val="00893023"/>
    <w:rsid w:val="008930CA"/>
    <w:rsid w:val="008938D8"/>
    <w:rsid w:val="00894A7B"/>
    <w:rsid w:val="00894AF7"/>
    <w:rsid w:val="00894DD9"/>
    <w:rsid w:val="00894FAE"/>
    <w:rsid w:val="00895080"/>
    <w:rsid w:val="0089514A"/>
    <w:rsid w:val="00895253"/>
    <w:rsid w:val="008956DA"/>
    <w:rsid w:val="008959C4"/>
    <w:rsid w:val="00895D23"/>
    <w:rsid w:val="008964DB"/>
    <w:rsid w:val="00896941"/>
    <w:rsid w:val="00896BC1"/>
    <w:rsid w:val="00896C64"/>
    <w:rsid w:val="00896EA1"/>
    <w:rsid w:val="00897075"/>
    <w:rsid w:val="008974B3"/>
    <w:rsid w:val="008975B5"/>
    <w:rsid w:val="008977FC"/>
    <w:rsid w:val="00897AD1"/>
    <w:rsid w:val="00897CE4"/>
    <w:rsid w:val="008A0594"/>
    <w:rsid w:val="008A089B"/>
    <w:rsid w:val="008A116A"/>
    <w:rsid w:val="008A1532"/>
    <w:rsid w:val="008A17C3"/>
    <w:rsid w:val="008A1B32"/>
    <w:rsid w:val="008A2016"/>
    <w:rsid w:val="008A21F4"/>
    <w:rsid w:val="008A21F9"/>
    <w:rsid w:val="008A2C6A"/>
    <w:rsid w:val="008A2D5A"/>
    <w:rsid w:val="008A32CF"/>
    <w:rsid w:val="008A3482"/>
    <w:rsid w:val="008A359E"/>
    <w:rsid w:val="008A3A11"/>
    <w:rsid w:val="008A3E5B"/>
    <w:rsid w:val="008A3EED"/>
    <w:rsid w:val="008A415E"/>
    <w:rsid w:val="008A42D2"/>
    <w:rsid w:val="008A45E7"/>
    <w:rsid w:val="008A49A9"/>
    <w:rsid w:val="008A4EC2"/>
    <w:rsid w:val="008A5363"/>
    <w:rsid w:val="008A53E7"/>
    <w:rsid w:val="008A5535"/>
    <w:rsid w:val="008A565E"/>
    <w:rsid w:val="008A5B86"/>
    <w:rsid w:val="008A6531"/>
    <w:rsid w:val="008A6547"/>
    <w:rsid w:val="008A6B88"/>
    <w:rsid w:val="008A71C6"/>
    <w:rsid w:val="008A75E2"/>
    <w:rsid w:val="008A75F3"/>
    <w:rsid w:val="008A7767"/>
    <w:rsid w:val="008B085D"/>
    <w:rsid w:val="008B09F1"/>
    <w:rsid w:val="008B0C28"/>
    <w:rsid w:val="008B102F"/>
    <w:rsid w:val="008B11CB"/>
    <w:rsid w:val="008B12F0"/>
    <w:rsid w:val="008B1335"/>
    <w:rsid w:val="008B13D1"/>
    <w:rsid w:val="008B15B6"/>
    <w:rsid w:val="008B15BF"/>
    <w:rsid w:val="008B1AF1"/>
    <w:rsid w:val="008B2A83"/>
    <w:rsid w:val="008B2AFE"/>
    <w:rsid w:val="008B2C84"/>
    <w:rsid w:val="008B2CFF"/>
    <w:rsid w:val="008B3175"/>
    <w:rsid w:val="008B32FD"/>
    <w:rsid w:val="008B33B2"/>
    <w:rsid w:val="008B35ED"/>
    <w:rsid w:val="008B3B6F"/>
    <w:rsid w:val="008B403B"/>
    <w:rsid w:val="008B41D4"/>
    <w:rsid w:val="008B46EE"/>
    <w:rsid w:val="008B482B"/>
    <w:rsid w:val="008B498A"/>
    <w:rsid w:val="008B4DF5"/>
    <w:rsid w:val="008B4E45"/>
    <w:rsid w:val="008B4E8F"/>
    <w:rsid w:val="008B4FF0"/>
    <w:rsid w:val="008B5222"/>
    <w:rsid w:val="008B5289"/>
    <w:rsid w:val="008B53FE"/>
    <w:rsid w:val="008B5513"/>
    <w:rsid w:val="008B58D8"/>
    <w:rsid w:val="008B621F"/>
    <w:rsid w:val="008B67DE"/>
    <w:rsid w:val="008B6B18"/>
    <w:rsid w:val="008B70AA"/>
    <w:rsid w:val="008B729D"/>
    <w:rsid w:val="008B7478"/>
    <w:rsid w:val="008B752D"/>
    <w:rsid w:val="008B7887"/>
    <w:rsid w:val="008B7B36"/>
    <w:rsid w:val="008B7E69"/>
    <w:rsid w:val="008C0045"/>
    <w:rsid w:val="008C0096"/>
    <w:rsid w:val="008C01BB"/>
    <w:rsid w:val="008C07B3"/>
    <w:rsid w:val="008C095A"/>
    <w:rsid w:val="008C0CAC"/>
    <w:rsid w:val="008C0EDA"/>
    <w:rsid w:val="008C1221"/>
    <w:rsid w:val="008C14CF"/>
    <w:rsid w:val="008C15E8"/>
    <w:rsid w:val="008C1AF8"/>
    <w:rsid w:val="008C1B1D"/>
    <w:rsid w:val="008C1BE5"/>
    <w:rsid w:val="008C1E96"/>
    <w:rsid w:val="008C20D5"/>
    <w:rsid w:val="008C2105"/>
    <w:rsid w:val="008C24AE"/>
    <w:rsid w:val="008C25A3"/>
    <w:rsid w:val="008C2802"/>
    <w:rsid w:val="008C28FE"/>
    <w:rsid w:val="008C2F66"/>
    <w:rsid w:val="008C31CA"/>
    <w:rsid w:val="008C32B0"/>
    <w:rsid w:val="008C36DE"/>
    <w:rsid w:val="008C37B7"/>
    <w:rsid w:val="008C391D"/>
    <w:rsid w:val="008C397B"/>
    <w:rsid w:val="008C3E51"/>
    <w:rsid w:val="008C3FC3"/>
    <w:rsid w:val="008C40F5"/>
    <w:rsid w:val="008C433A"/>
    <w:rsid w:val="008C479A"/>
    <w:rsid w:val="008C4814"/>
    <w:rsid w:val="008C4998"/>
    <w:rsid w:val="008C4BA2"/>
    <w:rsid w:val="008C4D83"/>
    <w:rsid w:val="008C5029"/>
    <w:rsid w:val="008C5043"/>
    <w:rsid w:val="008C542E"/>
    <w:rsid w:val="008C5B2A"/>
    <w:rsid w:val="008C61D8"/>
    <w:rsid w:val="008C65BD"/>
    <w:rsid w:val="008C6694"/>
    <w:rsid w:val="008C6950"/>
    <w:rsid w:val="008C69D3"/>
    <w:rsid w:val="008C6D7A"/>
    <w:rsid w:val="008C6E12"/>
    <w:rsid w:val="008C7393"/>
    <w:rsid w:val="008C7450"/>
    <w:rsid w:val="008C7466"/>
    <w:rsid w:val="008C7933"/>
    <w:rsid w:val="008C79A9"/>
    <w:rsid w:val="008C7F4F"/>
    <w:rsid w:val="008D0753"/>
    <w:rsid w:val="008D07D0"/>
    <w:rsid w:val="008D09A5"/>
    <w:rsid w:val="008D0E73"/>
    <w:rsid w:val="008D141F"/>
    <w:rsid w:val="008D23E9"/>
    <w:rsid w:val="008D25AA"/>
    <w:rsid w:val="008D2F0E"/>
    <w:rsid w:val="008D3081"/>
    <w:rsid w:val="008D3361"/>
    <w:rsid w:val="008D3614"/>
    <w:rsid w:val="008D36D9"/>
    <w:rsid w:val="008D3911"/>
    <w:rsid w:val="008D3D8D"/>
    <w:rsid w:val="008D40F2"/>
    <w:rsid w:val="008D4200"/>
    <w:rsid w:val="008D422A"/>
    <w:rsid w:val="008D43EB"/>
    <w:rsid w:val="008D485B"/>
    <w:rsid w:val="008D496A"/>
    <w:rsid w:val="008D4C8F"/>
    <w:rsid w:val="008D5087"/>
    <w:rsid w:val="008D5132"/>
    <w:rsid w:val="008D5136"/>
    <w:rsid w:val="008D5520"/>
    <w:rsid w:val="008D58BB"/>
    <w:rsid w:val="008D5BB2"/>
    <w:rsid w:val="008D5DE9"/>
    <w:rsid w:val="008D631F"/>
    <w:rsid w:val="008D6503"/>
    <w:rsid w:val="008D68DC"/>
    <w:rsid w:val="008D6C66"/>
    <w:rsid w:val="008D6F07"/>
    <w:rsid w:val="008D7474"/>
    <w:rsid w:val="008D7746"/>
    <w:rsid w:val="008D7818"/>
    <w:rsid w:val="008D7946"/>
    <w:rsid w:val="008D7A53"/>
    <w:rsid w:val="008E049F"/>
    <w:rsid w:val="008E097A"/>
    <w:rsid w:val="008E0D39"/>
    <w:rsid w:val="008E0E8D"/>
    <w:rsid w:val="008E126C"/>
    <w:rsid w:val="008E16B7"/>
    <w:rsid w:val="008E19C2"/>
    <w:rsid w:val="008E19F6"/>
    <w:rsid w:val="008E1C2E"/>
    <w:rsid w:val="008E1E0F"/>
    <w:rsid w:val="008E1F20"/>
    <w:rsid w:val="008E1F64"/>
    <w:rsid w:val="008E22C8"/>
    <w:rsid w:val="008E2695"/>
    <w:rsid w:val="008E2C86"/>
    <w:rsid w:val="008E32D3"/>
    <w:rsid w:val="008E3380"/>
    <w:rsid w:val="008E35D7"/>
    <w:rsid w:val="008E36FE"/>
    <w:rsid w:val="008E39CB"/>
    <w:rsid w:val="008E3F26"/>
    <w:rsid w:val="008E3F67"/>
    <w:rsid w:val="008E4026"/>
    <w:rsid w:val="008E40F2"/>
    <w:rsid w:val="008E441A"/>
    <w:rsid w:val="008E4B1C"/>
    <w:rsid w:val="008E4B65"/>
    <w:rsid w:val="008E4E33"/>
    <w:rsid w:val="008E591A"/>
    <w:rsid w:val="008E5B18"/>
    <w:rsid w:val="008E5CE8"/>
    <w:rsid w:val="008E5F40"/>
    <w:rsid w:val="008E60BB"/>
    <w:rsid w:val="008E63E5"/>
    <w:rsid w:val="008E65D6"/>
    <w:rsid w:val="008E67FC"/>
    <w:rsid w:val="008E684A"/>
    <w:rsid w:val="008E6A03"/>
    <w:rsid w:val="008E6BC3"/>
    <w:rsid w:val="008E6D7D"/>
    <w:rsid w:val="008E6EE2"/>
    <w:rsid w:val="008E7021"/>
    <w:rsid w:val="008E724D"/>
    <w:rsid w:val="008E7514"/>
    <w:rsid w:val="008E75A0"/>
    <w:rsid w:val="008E75CE"/>
    <w:rsid w:val="008E7766"/>
    <w:rsid w:val="008E77C3"/>
    <w:rsid w:val="008E7BCE"/>
    <w:rsid w:val="008E7EFA"/>
    <w:rsid w:val="008E7FE1"/>
    <w:rsid w:val="008F000A"/>
    <w:rsid w:val="008F008A"/>
    <w:rsid w:val="008F00C0"/>
    <w:rsid w:val="008F0177"/>
    <w:rsid w:val="008F02FB"/>
    <w:rsid w:val="008F030F"/>
    <w:rsid w:val="008F0376"/>
    <w:rsid w:val="008F0CCC"/>
    <w:rsid w:val="008F10D9"/>
    <w:rsid w:val="008F10E5"/>
    <w:rsid w:val="008F1133"/>
    <w:rsid w:val="008F1275"/>
    <w:rsid w:val="008F1B08"/>
    <w:rsid w:val="008F1E4C"/>
    <w:rsid w:val="008F25FE"/>
    <w:rsid w:val="008F27EE"/>
    <w:rsid w:val="008F2936"/>
    <w:rsid w:val="008F2BCE"/>
    <w:rsid w:val="008F332A"/>
    <w:rsid w:val="008F3480"/>
    <w:rsid w:val="008F3AD6"/>
    <w:rsid w:val="008F3B4B"/>
    <w:rsid w:val="008F3B97"/>
    <w:rsid w:val="008F4C47"/>
    <w:rsid w:val="008F50F1"/>
    <w:rsid w:val="008F51C6"/>
    <w:rsid w:val="008F5608"/>
    <w:rsid w:val="008F5673"/>
    <w:rsid w:val="008F5928"/>
    <w:rsid w:val="008F5A25"/>
    <w:rsid w:val="008F614D"/>
    <w:rsid w:val="008F6350"/>
    <w:rsid w:val="008F65B5"/>
    <w:rsid w:val="008F6895"/>
    <w:rsid w:val="008F6A9E"/>
    <w:rsid w:val="008F6D45"/>
    <w:rsid w:val="008F6D7B"/>
    <w:rsid w:val="008F7080"/>
    <w:rsid w:val="008F7755"/>
    <w:rsid w:val="008F7D04"/>
    <w:rsid w:val="008F7DE5"/>
    <w:rsid w:val="009001E1"/>
    <w:rsid w:val="00900271"/>
    <w:rsid w:val="00900663"/>
    <w:rsid w:val="009006A3"/>
    <w:rsid w:val="00900C30"/>
    <w:rsid w:val="00900E80"/>
    <w:rsid w:val="00901B11"/>
    <w:rsid w:val="00901C94"/>
    <w:rsid w:val="00901D75"/>
    <w:rsid w:val="00902571"/>
    <w:rsid w:val="0090264B"/>
    <w:rsid w:val="00902727"/>
    <w:rsid w:val="0090286C"/>
    <w:rsid w:val="00902CD4"/>
    <w:rsid w:val="00902E34"/>
    <w:rsid w:val="00902F2F"/>
    <w:rsid w:val="00902F58"/>
    <w:rsid w:val="00903385"/>
    <w:rsid w:val="00903499"/>
    <w:rsid w:val="009035EB"/>
    <w:rsid w:val="0090396B"/>
    <w:rsid w:val="00903A27"/>
    <w:rsid w:val="00903F0B"/>
    <w:rsid w:val="009040B9"/>
    <w:rsid w:val="009045A3"/>
    <w:rsid w:val="009046CA"/>
    <w:rsid w:val="009048F4"/>
    <w:rsid w:val="00904909"/>
    <w:rsid w:val="00904F1B"/>
    <w:rsid w:val="009051F4"/>
    <w:rsid w:val="0090527F"/>
    <w:rsid w:val="0090563E"/>
    <w:rsid w:val="009056A3"/>
    <w:rsid w:val="00905983"/>
    <w:rsid w:val="00905A8E"/>
    <w:rsid w:val="00905BAF"/>
    <w:rsid w:val="00905CDE"/>
    <w:rsid w:val="00905CE7"/>
    <w:rsid w:val="009060D7"/>
    <w:rsid w:val="00906252"/>
    <w:rsid w:val="00906283"/>
    <w:rsid w:val="0090632C"/>
    <w:rsid w:val="00906337"/>
    <w:rsid w:val="0090659D"/>
    <w:rsid w:val="0090668D"/>
    <w:rsid w:val="009067A7"/>
    <w:rsid w:val="009069F3"/>
    <w:rsid w:val="009069FE"/>
    <w:rsid w:val="00906BC3"/>
    <w:rsid w:val="00906CCB"/>
    <w:rsid w:val="00907065"/>
    <w:rsid w:val="009070B1"/>
    <w:rsid w:val="00907139"/>
    <w:rsid w:val="009071DD"/>
    <w:rsid w:val="009072A7"/>
    <w:rsid w:val="009076B0"/>
    <w:rsid w:val="009076CC"/>
    <w:rsid w:val="009077A9"/>
    <w:rsid w:val="0090782B"/>
    <w:rsid w:val="00907A81"/>
    <w:rsid w:val="00907AAE"/>
    <w:rsid w:val="00907C20"/>
    <w:rsid w:val="00907C73"/>
    <w:rsid w:val="009101AA"/>
    <w:rsid w:val="0091023F"/>
    <w:rsid w:val="00910245"/>
    <w:rsid w:val="009102C6"/>
    <w:rsid w:val="0091066D"/>
    <w:rsid w:val="009108B5"/>
    <w:rsid w:val="00910B61"/>
    <w:rsid w:val="0091111E"/>
    <w:rsid w:val="00911262"/>
    <w:rsid w:val="00911829"/>
    <w:rsid w:val="00911D2D"/>
    <w:rsid w:val="0091225D"/>
    <w:rsid w:val="00912B33"/>
    <w:rsid w:val="00912C90"/>
    <w:rsid w:val="00912D0D"/>
    <w:rsid w:val="00912D0E"/>
    <w:rsid w:val="0091325F"/>
    <w:rsid w:val="00913316"/>
    <w:rsid w:val="0091334B"/>
    <w:rsid w:val="0091338B"/>
    <w:rsid w:val="00913401"/>
    <w:rsid w:val="009134A0"/>
    <w:rsid w:val="009136E7"/>
    <w:rsid w:val="009137B9"/>
    <w:rsid w:val="00913815"/>
    <w:rsid w:val="00913A61"/>
    <w:rsid w:val="00913B14"/>
    <w:rsid w:val="00914082"/>
    <w:rsid w:val="00914096"/>
    <w:rsid w:val="00914A24"/>
    <w:rsid w:val="00914BD5"/>
    <w:rsid w:val="00914F08"/>
    <w:rsid w:val="00914F2E"/>
    <w:rsid w:val="009151D2"/>
    <w:rsid w:val="0091529F"/>
    <w:rsid w:val="009155F8"/>
    <w:rsid w:val="0091561F"/>
    <w:rsid w:val="009158E4"/>
    <w:rsid w:val="00915D3C"/>
    <w:rsid w:val="00915DB6"/>
    <w:rsid w:val="00916147"/>
    <w:rsid w:val="009163FC"/>
    <w:rsid w:val="00916525"/>
    <w:rsid w:val="009165AB"/>
    <w:rsid w:val="009165F9"/>
    <w:rsid w:val="00916948"/>
    <w:rsid w:val="00916A28"/>
    <w:rsid w:val="00916CE6"/>
    <w:rsid w:val="00916DC4"/>
    <w:rsid w:val="0091725D"/>
    <w:rsid w:val="00917362"/>
    <w:rsid w:val="00917517"/>
    <w:rsid w:val="009176B4"/>
    <w:rsid w:val="00917797"/>
    <w:rsid w:val="00917B08"/>
    <w:rsid w:val="00920077"/>
    <w:rsid w:val="009205F4"/>
    <w:rsid w:val="0092080E"/>
    <w:rsid w:val="00920907"/>
    <w:rsid w:val="0092095E"/>
    <w:rsid w:val="00920986"/>
    <w:rsid w:val="00920CBC"/>
    <w:rsid w:val="00920EF6"/>
    <w:rsid w:val="00920FD2"/>
    <w:rsid w:val="00921082"/>
    <w:rsid w:val="009210B4"/>
    <w:rsid w:val="00921139"/>
    <w:rsid w:val="009213A4"/>
    <w:rsid w:val="009214B4"/>
    <w:rsid w:val="009218E3"/>
    <w:rsid w:val="00922018"/>
    <w:rsid w:val="009224E6"/>
    <w:rsid w:val="00922996"/>
    <w:rsid w:val="00922A02"/>
    <w:rsid w:val="00923080"/>
    <w:rsid w:val="00923293"/>
    <w:rsid w:val="00923304"/>
    <w:rsid w:val="00923308"/>
    <w:rsid w:val="00923315"/>
    <w:rsid w:val="00923382"/>
    <w:rsid w:val="00923506"/>
    <w:rsid w:val="0092362A"/>
    <w:rsid w:val="00923683"/>
    <w:rsid w:val="009237A0"/>
    <w:rsid w:val="0092394C"/>
    <w:rsid w:val="00923D6B"/>
    <w:rsid w:val="00924322"/>
    <w:rsid w:val="0092488F"/>
    <w:rsid w:val="009249FF"/>
    <w:rsid w:val="00924A66"/>
    <w:rsid w:val="00924B2B"/>
    <w:rsid w:val="00924BAA"/>
    <w:rsid w:val="00924CCD"/>
    <w:rsid w:val="00925592"/>
    <w:rsid w:val="00925725"/>
    <w:rsid w:val="00925968"/>
    <w:rsid w:val="00925B41"/>
    <w:rsid w:val="00925F4A"/>
    <w:rsid w:val="00926136"/>
    <w:rsid w:val="009261F8"/>
    <w:rsid w:val="00926203"/>
    <w:rsid w:val="009263B4"/>
    <w:rsid w:val="009263D2"/>
    <w:rsid w:val="009264D8"/>
    <w:rsid w:val="00926DFD"/>
    <w:rsid w:val="00926FEB"/>
    <w:rsid w:val="0092728E"/>
    <w:rsid w:val="009274D0"/>
    <w:rsid w:val="009276CF"/>
    <w:rsid w:val="0092777E"/>
    <w:rsid w:val="00927BE5"/>
    <w:rsid w:val="00927C29"/>
    <w:rsid w:val="00927CDE"/>
    <w:rsid w:val="00927F00"/>
    <w:rsid w:val="00930AF1"/>
    <w:rsid w:val="00930F8F"/>
    <w:rsid w:val="00931360"/>
    <w:rsid w:val="0093168E"/>
    <w:rsid w:val="0093184A"/>
    <w:rsid w:val="00931872"/>
    <w:rsid w:val="00931E5B"/>
    <w:rsid w:val="009320F3"/>
    <w:rsid w:val="00932B55"/>
    <w:rsid w:val="00933043"/>
    <w:rsid w:val="00933284"/>
    <w:rsid w:val="00933625"/>
    <w:rsid w:val="00933692"/>
    <w:rsid w:val="00933696"/>
    <w:rsid w:val="009336CD"/>
    <w:rsid w:val="00933A3E"/>
    <w:rsid w:val="00933B9D"/>
    <w:rsid w:val="00934006"/>
    <w:rsid w:val="009341B2"/>
    <w:rsid w:val="00934392"/>
    <w:rsid w:val="00934566"/>
    <w:rsid w:val="00934A4A"/>
    <w:rsid w:val="00934B90"/>
    <w:rsid w:val="00934D16"/>
    <w:rsid w:val="00934E36"/>
    <w:rsid w:val="00934F55"/>
    <w:rsid w:val="0093524C"/>
    <w:rsid w:val="0093529A"/>
    <w:rsid w:val="0093537F"/>
    <w:rsid w:val="009353E5"/>
    <w:rsid w:val="009354BC"/>
    <w:rsid w:val="00935635"/>
    <w:rsid w:val="00935A30"/>
    <w:rsid w:val="00935C6B"/>
    <w:rsid w:val="00935C93"/>
    <w:rsid w:val="0093619D"/>
    <w:rsid w:val="00936362"/>
    <w:rsid w:val="00936449"/>
    <w:rsid w:val="0093655C"/>
    <w:rsid w:val="0093672C"/>
    <w:rsid w:val="00936859"/>
    <w:rsid w:val="00936DBE"/>
    <w:rsid w:val="00936EBA"/>
    <w:rsid w:val="00936F18"/>
    <w:rsid w:val="00937441"/>
    <w:rsid w:val="009378A4"/>
    <w:rsid w:val="00937E7D"/>
    <w:rsid w:val="00937F72"/>
    <w:rsid w:val="00940859"/>
    <w:rsid w:val="00940A5D"/>
    <w:rsid w:val="00940F25"/>
    <w:rsid w:val="00941389"/>
    <w:rsid w:val="009415B1"/>
    <w:rsid w:val="0094166F"/>
    <w:rsid w:val="009419A1"/>
    <w:rsid w:val="00941A5E"/>
    <w:rsid w:val="00941C1B"/>
    <w:rsid w:val="00941E60"/>
    <w:rsid w:val="00941F9C"/>
    <w:rsid w:val="00942684"/>
    <w:rsid w:val="00942A3C"/>
    <w:rsid w:val="00943094"/>
    <w:rsid w:val="009435F8"/>
    <w:rsid w:val="00943AB4"/>
    <w:rsid w:val="00943DDC"/>
    <w:rsid w:val="00943ECE"/>
    <w:rsid w:val="00943F00"/>
    <w:rsid w:val="0094408B"/>
    <w:rsid w:val="0094409D"/>
    <w:rsid w:val="00944261"/>
    <w:rsid w:val="009443A2"/>
    <w:rsid w:val="00944471"/>
    <w:rsid w:val="00944BCE"/>
    <w:rsid w:val="00944C17"/>
    <w:rsid w:val="00944D31"/>
    <w:rsid w:val="00945092"/>
    <w:rsid w:val="009453B8"/>
    <w:rsid w:val="009453F1"/>
    <w:rsid w:val="00945A27"/>
    <w:rsid w:val="00945C0B"/>
    <w:rsid w:val="00945EF3"/>
    <w:rsid w:val="00945FAA"/>
    <w:rsid w:val="009462AC"/>
    <w:rsid w:val="00946AEE"/>
    <w:rsid w:val="00947617"/>
    <w:rsid w:val="0094765C"/>
    <w:rsid w:val="00947F63"/>
    <w:rsid w:val="00950035"/>
    <w:rsid w:val="009501CF"/>
    <w:rsid w:val="009507BB"/>
    <w:rsid w:val="00950ABA"/>
    <w:rsid w:val="00950D66"/>
    <w:rsid w:val="00951027"/>
    <w:rsid w:val="009511A3"/>
    <w:rsid w:val="00951619"/>
    <w:rsid w:val="00951765"/>
    <w:rsid w:val="0095193B"/>
    <w:rsid w:val="00951AB4"/>
    <w:rsid w:val="00952CDF"/>
    <w:rsid w:val="00952FD1"/>
    <w:rsid w:val="00953551"/>
    <w:rsid w:val="00953616"/>
    <w:rsid w:val="0095422F"/>
    <w:rsid w:val="0095439B"/>
    <w:rsid w:val="00954931"/>
    <w:rsid w:val="0095501A"/>
    <w:rsid w:val="0095560B"/>
    <w:rsid w:val="009556A5"/>
    <w:rsid w:val="009558E1"/>
    <w:rsid w:val="0095608D"/>
    <w:rsid w:val="00956152"/>
    <w:rsid w:val="00956414"/>
    <w:rsid w:val="009566C5"/>
    <w:rsid w:val="00956795"/>
    <w:rsid w:val="00956871"/>
    <w:rsid w:val="00956AA4"/>
    <w:rsid w:val="00956EDA"/>
    <w:rsid w:val="00956F88"/>
    <w:rsid w:val="0095704E"/>
    <w:rsid w:val="009573FD"/>
    <w:rsid w:val="00957469"/>
    <w:rsid w:val="00957B2F"/>
    <w:rsid w:val="0096018A"/>
    <w:rsid w:val="0096038A"/>
    <w:rsid w:val="0096071A"/>
    <w:rsid w:val="00960854"/>
    <w:rsid w:val="00960928"/>
    <w:rsid w:val="009616D5"/>
    <w:rsid w:val="0096172A"/>
    <w:rsid w:val="00961851"/>
    <w:rsid w:val="00961CDF"/>
    <w:rsid w:val="00961DF5"/>
    <w:rsid w:val="00961E45"/>
    <w:rsid w:val="00961EAB"/>
    <w:rsid w:val="00962761"/>
    <w:rsid w:val="00962C48"/>
    <w:rsid w:val="00962E79"/>
    <w:rsid w:val="00962EC2"/>
    <w:rsid w:val="0096316C"/>
    <w:rsid w:val="0096332E"/>
    <w:rsid w:val="009637A2"/>
    <w:rsid w:val="00963A3D"/>
    <w:rsid w:val="00963C15"/>
    <w:rsid w:val="00964335"/>
    <w:rsid w:val="009647AD"/>
    <w:rsid w:val="00964916"/>
    <w:rsid w:val="00964A0E"/>
    <w:rsid w:val="009650AE"/>
    <w:rsid w:val="009653F4"/>
    <w:rsid w:val="009653FB"/>
    <w:rsid w:val="0096544E"/>
    <w:rsid w:val="00965521"/>
    <w:rsid w:val="00965A2F"/>
    <w:rsid w:val="00965AF7"/>
    <w:rsid w:val="00965CC9"/>
    <w:rsid w:val="00965D72"/>
    <w:rsid w:val="00965FD5"/>
    <w:rsid w:val="00966137"/>
    <w:rsid w:val="00966726"/>
    <w:rsid w:val="00966839"/>
    <w:rsid w:val="00966C11"/>
    <w:rsid w:val="00966D66"/>
    <w:rsid w:val="009670B2"/>
    <w:rsid w:val="00967304"/>
    <w:rsid w:val="009674BD"/>
    <w:rsid w:val="00967592"/>
    <w:rsid w:val="0096777D"/>
    <w:rsid w:val="00967A3B"/>
    <w:rsid w:val="00967A59"/>
    <w:rsid w:val="00967BBE"/>
    <w:rsid w:val="00967C9F"/>
    <w:rsid w:val="00967EE0"/>
    <w:rsid w:val="0097037F"/>
    <w:rsid w:val="00970A6B"/>
    <w:rsid w:val="00970A7C"/>
    <w:rsid w:val="00970E58"/>
    <w:rsid w:val="0097109C"/>
    <w:rsid w:val="0097121D"/>
    <w:rsid w:val="00971290"/>
    <w:rsid w:val="009713AB"/>
    <w:rsid w:val="00971A1F"/>
    <w:rsid w:val="00972037"/>
    <w:rsid w:val="00972C46"/>
    <w:rsid w:val="009733E5"/>
    <w:rsid w:val="009735E7"/>
    <w:rsid w:val="009738A6"/>
    <w:rsid w:val="00973952"/>
    <w:rsid w:val="0097399F"/>
    <w:rsid w:val="00973D47"/>
    <w:rsid w:val="00973DA9"/>
    <w:rsid w:val="00973E12"/>
    <w:rsid w:val="0097403E"/>
    <w:rsid w:val="009743AA"/>
    <w:rsid w:val="0097459F"/>
    <w:rsid w:val="009747BF"/>
    <w:rsid w:val="009747C9"/>
    <w:rsid w:val="009751DA"/>
    <w:rsid w:val="0097529E"/>
    <w:rsid w:val="00975397"/>
    <w:rsid w:val="0097542E"/>
    <w:rsid w:val="0097580F"/>
    <w:rsid w:val="00975877"/>
    <w:rsid w:val="00975946"/>
    <w:rsid w:val="00975965"/>
    <w:rsid w:val="009759F7"/>
    <w:rsid w:val="00975ABF"/>
    <w:rsid w:val="00975BC6"/>
    <w:rsid w:val="00975FEA"/>
    <w:rsid w:val="00976274"/>
    <w:rsid w:val="00976364"/>
    <w:rsid w:val="009764BF"/>
    <w:rsid w:val="00976528"/>
    <w:rsid w:val="00976919"/>
    <w:rsid w:val="00976F71"/>
    <w:rsid w:val="00977183"/>
    <w:rsid w:val="00977274"/>
    <w:rsid w:val="00977926"/>
    <w:rsid w:val="009779A7"/>
    <w:rsid w:val="00977A71"/>
    <w:rsid w:val="00977E4F"/>
    <w:rsid w:val="00980340"/>
    <w:rsid w:val="009807FC"/>
    <w:rsid w:val="00980B82"/>
    <w:rsid w:val="00980F00"/>
    <w:rsid w:val="009813F2"/>
    <w:rsid w:val="00981598"/>
    <w:rsid w:val="009815FD"/>
    <w:rsid w:val="0098167A"/>
    <w:rsid w:val="00981AFC"/>
    <w:rsid w:val="009822DF"/>
    <w:rsid w:val="009826BB"/>
    <w:rsid w:val="009826F0"/>
    <w:rsid w:val="00982F1F"/>
    <w:rsid w:val="00982FA5"/>
    <w:rsid w:val="009833D5"/>
    <w:rsid w:val="00983568"/>
    <w:rsid w:val="00983B35"/>
    <w:rsid w:val="00983F97"/>
    <w:rsid w:val="0098402C"/>
    <w:rsid w:val="00984238"/>
    <w:rsid w:val="009844F6"/>
    <w:rsid w:val="0098468A"/>
    <w:rsid w:val="00984706"/>
    <w:rsid w:val="0098480A"/>
    <w:rsid w:val="00984C59"/>
    <w:rsid w:val="00984DD9"/>
    <w:rsid w:val="00985574"/>
    <w:rsid w:val="0098597D"/>
    <w:rsid w:val="009860B7"/>
    <w:rsid w:val="00986206"/>
    <w:rsid w:val="009867D8"/>
    <w:rsid w:val="00986994"/>
    <w:rsid w:val="00986FF9"/>
    <w:rsid w:val="009876D9"/>
    <w:rsid w:val="00987B46"/>
    <w:rsid w:val="00990143"/>
    <w:rsid w:val="0099063A"/>
    <w:rsid w:val="009906AD"/>
    <w:rsid w:val="0099083A"/>
    <w:rsid w:val="00990B6D"/>
    <w:rsid w:val="00990D94"/>
    <w:rsid w:val="0099111A"/>
    <w:rsid w:val="00991226"/>
    <w:rsid w:val="00991252"/>
    <w:rsid w:val="009920F4"/>
    <w:rsid w:val="00992998"/>
    <w:rsid w:val="00992E8C"/>
    <w:rsid w:val="00993329"/>
    <w:rsid w:val="00993358"/>
    <w:rsid w:val="00993506"/>
    <w:rsid w:val="00993544"/>
    <w:rsid w:val="0099364A"/>
    <w:rsid w:val="009936A5"/>
    <w:rsid w:val="00993BD6"/>
    <w:rsid w:val="00993C4E"/>
    <w:rsid w:val="00993FB5"/>
    <w:rsid w:val="0099429E"/>
    <w:rsid w:val="009942AE"/>
    <w:rsid w:val="009943B9"/>
    <w:rsid w:val="0099507A"/>
    <w:rsid w:val="009950B4"/>
    <w:rsid w:val="009950D8"/>
    <w:rsid w:val="0099557F"/>
    <w:rsid w:val="009955B6"/>
    <w:rsid w:val="00995A7E"/>
    <w:rsid w:val="00995C72"/>
    <w:rsid w:val="00996327"/>
    <w:rsid w:val="00996493"/>
    <w:rsid w:val="0099683D"/>
    <w:rsid w:val="00996998"/>
    <w:rsid w:val="00997264"/>
    <w:rsid w:val="0099754A"/>
    <w:rsid w:val="00997D21"/>
    <w:rsid w:val="009A084A"/>
    <w:rsid w:val="009A09D6"/>
    <w:rsid w:val="009A0BD3"/>
    <w:rsid w:val="009A0C07"/>
    <w:rsid w:val="009A11EE"/>
    <w:rsid w:val="009A1900"/>
    <w:rsid w:val="009A1B64"/>
    <w:rsid w:val="009A1C7A"/>
    <w:rsid w:val="009A1CA4"/>
    <w:rsid w:val="009A1F0B"/>
    <w:rsid w:val="009A2167"/>
    <w:rsid w:val="009A2268"/>
    <w:rsid w:val="009A238B"/>
    <w:rsid w:val="009A2525"/>
    <w:rsid w:val="009A25B0"/>
    <w:rsid w:val="009A2626"/>
    <w:rsid w:val="009A26F1"/>
    <w:rsid w:val="009A311B"/>
    <w:rsid w:val="009A34EE"/>
    <w:rsid w:val="009A3594"/>
    <w:rsid w:val="009A35E0"/>
    <w:rsid w:val="009A39B0"/>
    <w:rsid w:val="009A3E2A"/>
    <w:rsid w:val="009A428B"/>
    <w:rsid w:val="009A473C"/>
    <w:rsid w:val="009A4976"/>
    <w:rsid w:val="009A4B4A"/>
    <w:rsid w:val="009A4B83"/>
    <w:rsid w:val="009A4E8E"/>
    <w:rsid w:val="009A4F03"/>
    <w:rsid w:val="009A4F6F"/>
    <w:rsid w:val="009A54E8"/>
    <w:rsid w:val="009A5687"/>
    <w:rsid w:val="009A5780"/>
    <w:rsid w:val="009A59B8"/>
    <w:rsid w:val="009A5E39"/>
    <w:rsid w:val="009A5F9A"/>
    <w:rsid w:val="009A5FF6"/>
    <w:rsid w:val="009A6547"/>
    <w:rsid w:val="009A666F"/>
    <w:rsid w:val="009A66DC"/>
    <w:rsid w:val="009A6789"/>
    <w:rsid w:val="009A6792"/>
    <w:rsid w:val="009A6885"/>
    <w:rsid w:val="009A6BD8"/>
    <w:rsid w:val="009A7135"/>
    <w:rsid w:val="009A71E2"/>
    <w:rsid w:val="009A73A2"/>
    <w:rsid w:val="009A781E"/>
    <w:rsid w:val="009A78A3"/>
    <w:rsid w:val="009A7FEB"/>
    <w:rsid w:val="009B02D9"/>
    <w:rsid w:val="009B034F"/>
    <w:rsid w:val="009B0863"/>
    <w:rsid w:val="009B0C64"/>
    <w:rsid w:val="009B0C73"/>
    <w:rsid w:val="009B19F4"/>
    <w:rsid w:val="009B1AB9"/>
    <w:rsid w:val="009B22CB"/>
    <w:rsid w:val="009B2586"/>
    <w:rsid w:val="009B28B5"/>
    <w:rsid w:val="009B2A64"/>
    <w:rsid w:val="009B371A"/>
    <w:rsid w:val="009B37C9"/>
    <w:rsid w:val="009B3875"/>
    <w:rsid w:val="009B3E41"/>
    <w:rsid w:val="009B3F8B"/>
    <w:rsid w:val="009B41A9"/>
    <w:rsid w:val="009B44DA"/>
    <w:rsid w:val="009B451E"/>
    <w:rsid w:val="009B474C"/>
    <w:rsid w:val="009B4CBB"/>
    <w:rsid w:val="009B536A"/>
    <w:rsid w:val="009B5785"/>
    <w:rsid w:val="009B58B6"/>
    <w:rsid w:val="009B5CDB"/>
    <w:rsid w:val="009B628E"/>
    <w:rsid w:val="009B67BB"/>
    <w:rsid w:val="009B6A99"/>
    <w:rsid w:val="009B700D"/>
    <w:rsid w:val="009B730C"/>
    <w:rsid w:val="009B7410"/>
    <w:rsid w:val="009B7ED6"/>
    <w:rsid w:val="009B7FE2"/>
    <w:rsid w:val="009C0056"/>
    <w:rsid w:val="009C01DD"/>
    <w:rsid w:val="009C0349"/>
    <w:rsid w:val="009C03EE"/>
    <w:rsid w:val="009C060D"/>
    <w:rsid w:val="009C0848"/>
    <w:rsid w:val="009C123F"/>
    <w:rsid w:val="009C175F"/>
    <w:rsid w:val="009C195B"/>
    <w:rsid w:val="009C1DF2"/>
    <w:rsid w:val="009C213B"/>
    <w:rsid w:val="009C21E4"/>
    <w:rsid w:val="009C25F2"/>
    <w:rsid w:val="009C26FB"/>
    <w:rsid w:val="009C297B"/>
    <w:rsid w:val="009C2B1B"/>
    <w:rsid w:val="009C2C29"/>
    <w:rsid w:val="009C2F18"/>
    <w:rsid w:val="009C357A"/>
    <w:rsid w:val="009C3662"/>
    <w:rsid w:val="009C3A4B"/>
    <w:rsid w:val="009C3A77"/>
    <w:rsid w:val="009C3A7F"/>
    <w:rsid w:val="009C3B5E"/>
    <w:rsid w:val="009C460F"/>
    <w:rsid w:val="009C49F0"/>
    <w:rsid w:val="009C4B77"/>
    <w:rsid w:val="009C4E43"/>
    <w:rsid w:val="009C5080"/>
    <w:rsid w:val="009C538F"/>
    <w:rsid w:val="009C56E8"/>
    <w:rsid w:val="009C5D54"/>
    <w:rsid w:val="009C5E71"/>
    <w:rsid w:val="009C5E96"/>
    <w:rsid w:val="009C5FFF"/>
    <w:rsid w:val="009C6067"/>
    <w:rsid w:val="009C6244"/>
    <w:rsid w:val="009C65FE"/>
    <w:rsid w:val="009C68A4"/>
    <w:rsid w:val="009C6E06"/>
    <w:rsid w:val="009C773F"/>
    <w:rsid w:val="009C7FC3"/>
    <w:rsid w:val="009D007E"/>
    <w:rsid w:val="009D028D"/>
    <w:rsid w:val="009D097B"/>
    <w:rsid w:val="009D0B18"/>
    <w:rsid w:val="009D0B1B"/>
    <w:rsid w:val="009D0D75"/>
    <w:rsid w:val="009D0DF0"/>
    <w:rsid w:val="009D0FAF"/>
    <w:rsid w:val="009D10AC"/>
    <w:rsid w:val="009D13C0"/>
    <w:rsid w:val="009D17C1"/>
    <w:rsid w:val="009D1965"/>
    <w:rsid w:val="009D1C27"/>
    <w:rsid w:val="009D1DB8"/>
    <w:rsid w:val="009D1E74"/>
    <w:rsid w:val="009D1F6B"/>
    <w:rsid w:val="009D1FE3"/>
    <w:rsid w:val="009D24E1"/>
    <w:rsid w:val="009D2A1D"/>
    <w:rsid w:val="009D2A57"/>
    <w:rsid w:val="009D3736"/>
    <w:rsid w:val="009D3779"/>
    <w:rsid w:val="009D39EF"/>
    <w:rsid w:val="009D3E1F"/>
    <w:rsid w:val="009D3F63"/>
    <w:rsid w:val="009D424D"/>
    <w:rsid w:val="009D4A53"/>
    <w:rsid w:val="009D4C79"/>
    <w:rsid w:val="009D4CB1"/>
    <w:rsid w:val="009D5C84"/>
    <w:rsid w:val="009D5CA4"/>
    <w:rsid w:val="009D5FB5"/>
    <w:rsid w:val="009D6189"/>
    <w:rsid w:val="009D633E"/>
    <w:rsid w:val="009D643D"/>
    <w:rsid w:val="009D6819"/>
    <w:rsid w:val="009D68A4"/>
    <w:rsid w:val="009D767C"/>
    <w:rsid w:val="009D7685"/>
    <w:rsid w:val="009D7DA1"/>
    <w:rsid w:val="009D7EFF"/>
    <w:rsid w:val="009E03D7"/>
    <w:rsid w:val="009E0469"/>
    <w:rsid w:val="009E05AA"/>
    <w:rsid w:val="009E0684"/>
    <w:rsid w:val="009E08DF"/>
    <w:rsid w:val="009E099E"/>
    <w:rsid w:val="009E0A6F"/>
    <w:rsid w:val="009E0B41"/>
    <w:rsid w:val="009E0BF6"/>
    <w:rsid w:val="009E0C7D"/>
    <w:rsid w:val="009E0FE0"/>
    <w:rsid w:val="009E14F1"/>
    <w:rsid w:val="009E1756"/>
    <w:rsid w:val="009E1789"/>
    <w:rsid w:val="009E1865"/>
    <w:rsid w:val="009E20F0"/>
    <w:rsid w:val="009E21BC"/>
    <w:rsid w:val="009E29D7"/>
    <w:rsid w:val="009E2B6D"/>
    <w:rsid w:val="009E2B72"/>
    <w:rsid w:val="009E3158"/>
    <w:rsid w:val="009E326B"/>
    <w:rsid w:val="009E3678"/>
    <w:rsid w:val="009E367D"/>
    <w:rsid w:val="009E380F"/>
    <w:rsid w:val="009E382C"/>
    <w:rsid w:val="009E38DD"/>
    <w:rsid w:val="009E3C42"/>
    <w:rsid w:val="009E3DAF"/>
    <w:rsid w:val="009E3F37"/>
    <w:rsid w:val="009E3F89"/>
    <w:rsid w:val="009E416D"/>
    <w:rsid w:val="009E41AB"/>
    <w:rsid w:val="009E4358"/>
    <w:rsid w:val="009E443E"/>
    <w:rsid w:val="009E45E5"/>
    <w:rsid w:val="009E45F6"/>
    <w:rsid w:val="009E46AD"/>
    <w:rsid w:val="009E4988"/>
    <w:rsid w:val="009E4B9A"/>
    <w:rsid w:val="009E4CF0"/>
    <w:rsid w:val="009E4D18"/>
    <w:rsid w:val="009E4FD1"/>
    <w:rsid w:val="009E5500"/>
    <w:rsid w:val="009E5579"/>
    <w:rsid w:val="009E577D"/>
    <w:rsid w:val="009E587C"/>
    <w:rsid w:val="009E5B54"/>
    <w:rsid w:val="009E5BBA"/>
    <w:rsid w:val="009E5DBB"/>
    <w:rsid w:val="009E5EDE"/>
    <w:rsid w:val="009E63B9"/>
    <w:rsid w:val="009E643F"/>
    <w:rsid w:val="009E66DD"/>
    <w:rsid w:val="009E6750"/>
    <w:rsid w:val="009E684D"/>
    <w:rsid w:val="009E6B42"/>
    <w:rsid w:val="009E71B3"/>
    <w:rsid w:val="009E722B"/>
    <w:rsid w:val="009E749F"/>
    <w:rsid w:val="009F024F"/>
    <w:rsid w:val="009F0267"/>
    <w:rsid w:val="009F0612"/>
    <w:rsid w:val="009F08C1"/>
    <w:rsid w:val="009F0973"/>
    <w:rsid w:val="009F09F0"/>
    <w:rsid w:val="009F0C9C"/>
    <w:rsid w:val="009F10E4"/>
    <w:rsid w:val="009F13D4"/>
    <w:rsid w:val="009F1494"/>
    <w:rsid w:val="009F14CF"/>
    <w:rsid w:val="009F14F1"/>
    <w:rsid w:val="009F1D78"/>
    <w:rsid w:val="009F2A36"/>
    <w:rsid w:val="009F2C0E"/>
    <w:rsid w:val="009F2C99"/>
    <w:rsid w:val="009F2F8D"/>
    <w:rsid w:val="009F33F4"/>
    <w:rsid w:val="009F38E3"/>
    <w:rsid w:val="009F39C3"/>
    <w:rsid w:val="009F3A52"/>
    <w:rsid w:val="009F3AFD"/>
    <w:rsid w:val="009F3D15"/>
    <w:rsid w:val="009F4A11"/>
    <w:rsid w:val="009F4ABA"/>
    <w:rsid w:val="009F4F02"/>
    <w:rsid w:val="009F50CC"/>
    <w:rsid w:val="009F5275"/>
    <w:rsid w:val="009F549A"/>
    <w:rsid w:val="009F5677"/>
    <w:rsid w:val="009F5B76"/>
    <w:rsid w:val="009F5BDD"/>
    <w:rsid w:val="009F5F40"/>
    <w:rsid w:val="009F64C5"/>
    <w:rsid w:val="009F6B6D"/>
    <w:rsid w:val="009F6C93"/>
    <w:rsid w:val="009F7000"/>
    <w:rsid w:val="009F703D"/>
    <w:rsid w:val="009F7A3C"/>
    <w:rsid w:val="009F7B59"/>
    <w:rsid w:val="009F7E53"/>
    <w:rsid w:val="009F7FEF"/>
    <w:rsid w:val="00A00357"/>
    <w:rsid w:val="00A00E5B"/>
    <w:rsid w:val="00A00E60"/>
    <w:rsid w:val="00A01736"/>
    <w:rsid w:val="00A01794"/>
    <w:rsid w:val="00A01889"/>
    <w:rsid w:val="00A0188C"/>
    <w:rsid w:val="00A01D6F"/>
    <w:rsid w:val="00A01FA7"/>
    <w:rsid w:val="00A02230"/>
    <w:rsid w:val="00A02250"/>
    <w:rsid w:val="00A024F9"/>
    <w:rsid w:val="00A025F5"/>
    <w:rsid w:val="00A026A3"/>
    <w:rsid w:val="00A027C9"/>
    <w:rsid w:val="00A02B89"/>
    <w:rsid w:val="00A031D9"/>
    <w:rsid w:val="00A0352D"/>
    <w:rsid w:val="00A0360D"/>
    <w:rsid w:val="00A0395A"/>
    <w:rsid w:val="00A03A2B"/>
    <w:rsid w:val="00A03AF7"/>
    <w:rsid w:val="00A03E25"/>
    <w:rsid w:val="00A03E68"/>
    <w:rsid w:val="00A03E7D"/>
    <w:rsid w:val="00A04B0B"/>
    <w:rsid w:val="00A04B62"/>
    <w:rsid w:val="00A04F6E"/>
    <w:rsid w:val="00A04FB4"/>
    <w:rsid w:val="00A05004"/>
    <w:rsid w:val="00A0510B"/>
    <w:rsid w:val="00A05386"/>
    <w:rsid w:val="00A05419"/>
    <w:rsid w:val="00A054F6"/>
    <w:rsid w:val="00A05559"/>
    <w:rsid w:val="00A0556B"/>
    <w:rsid w:val="00A05BB2"/>
    <w:rsid w:val="00A05DC5"/>
    <w:rsid w:val="00A0647D"/>
    <w:rsid w:val="00A06668"/>
    <w:rsid w:val="00A06AEB"/>
    <w:rsid w:val="00A06CCF"/>
    <w:rsid w:val="00A0707D"/>
    <w:rsid w:val="00A07378"/>
    <w:rsid w:val="00A07A2A"/>
    <w:rsid w:val="00A101D5"/>
    <w:rsid w:val="00A107F6"/>
    <w:rsid w:val="00A10B42"/>
    <w:rsid w:val="00A10EE4"/>
    <w:rsid w:val="00A116BC"/>
    <w:rsid w:val="00A11DEB"/>
    <w:rsid w:val="00A12116"/>
    <w:rsid w:val="00A125E8"/>
    <w:rsid w:val="00A12696"/>
    <w:rsid w:val="00A12AF2"/>
    <w:rsid w:val="00A12C1C"/>
    <w:rsid w:val="00A12D91"/>
    <w:rsid w:val="00A12D99"/>
    <w:rsid w:val="00A12F2F"/>
    <w:rsid w:val="00A13172"/>
    <w:rsid w:val="00A1342F"/>
    <w:rsid w:val="00A1368F"/>
    <w:rsid w:val="00A137B2"/>
    <w:rsid w:val="00A13A53"/>
    <w:rsid w:val="00A13B24"/>
    <w:rsid w:val="00A14068"/>
    <w:rsid w:val="00A14075"/>
    <w:rsid w:val="00A1407C"/>
    <w:rsid w:val="00A14B63"/>
    <w:rsid w:val="00A14BF6"/>
    <w:rsid w:val="00A14F1D"/>
    <w:rsid w:val="00A1552F"/>
    <w:rsid w:val="00A15925"/>
    <w:rsid w:val="00A15F3F"/>
    <w:rsid w:val="00A1633E"/>
    <w:rsid w:val="00A16763"/>
    <w:rsid w:val="00A169AC"/>
    <w:rsid w:val="00A16B68"/>
    <w:rsid w:val="00A16E01"/>
    <w:rsid w:val="00A16FD5"/>
    <w:rsid w:val="00A17403"/>
    <w:rsid w:val="00A17A63"/>
    <w:rsid w:val="00A17AE8"/>
    <w:rsid w:val="00A17FB8"/>
    <w:rsid w:val="00A20EB0"/>
    <w:rsid w:val="00A20F60"/>
    <w:rsid w:val="00A21361"/>
    <w:rsid w:val="00A21754"/>
    <w:rsid w:val="00A21831"/>
    <w:rsid w:val="00A21A9D"/>
    <w:rsid w:val="00A21B26"/>
    <w:rsid w:val="00A21E0A"/>
    <w:rsid w:val="00A22A18"/>
    <w:rsid w:val="00A23294"/>
    <w:rsid w:val="00A233FF"/>
    <w:rsid w:val="00A236F9"/>
    <w:rsid w:val="00A23810"/>
    <w:rsid w:val="00A23BE5"/>
    <w:rsid w:val="00A2428F"/>
    <w:rsid w:val="00A24491"/>
    <w:rsid w:val="00A24755"/>
    <w:rsid w:val="00A24853"/>
    <w:rsid w:val="00A25467"/>
    <w:rsid w:val="00A26291"/>
    <w:rsid w:val="00A267CB"/>
    <w:rsid w:val="00A26B1F"/>
    <w:rsid w:val="00A27049"/>
    <w:rsid w:val="00A27066"/>
    <w:rsid w:val="00A2708F"/>
    <w:rsid w:val="00A27185"/>
    <w:rsid w:val="00A2734D"/>
    <w:rsid w:val="00A273E7"/>
    <w:rsid w:val="00A274FD"/>
    <w:rsid w:val="00A27F62"/>
    <w:rsid w:val="00A30246"/>
    <w:rsid w:val="00A30386"/>
    <w:rsid w:val="00A30BA7"/>
    <w:rsid w:val="00A31225"/>
    <w:rsid w:val="00A312EE"/>
    <w:rsid w:val="00A31558"/>
    <w:rsid w:val="00A31B72"/>
    <w:rsid w:val="00A31BD5"/>
    <w:rsid w:val="00A31F01"/>
    <w:rsid w:val="00A321CD"/>
    <w:rsid w:val="00A321DA"/>
    <w:rsid w:val="00A32472"/>
    <w:rsid w:val="00A3262C"/>
    <w:rsid w:val="00A329AA"/>
    <w:rsid w:val="00A3351E"/>
    <w:rsid w:val="00A3363E"/>
    <w:rsid w:val="00A33789"/>
    <w:rsid w:val="00A33890"/>
    <w:rsid w:val="00A33ABE"/>
    <w:rsid w:val="00A33AF0"/>
    <w:rsid w:val="00A33D61"/>
    <w:rsid w:val="00A33EE3"/>
    <w:rsid w:val="00A34010"/>
    <w:rsid w:val="00A3411F"/>
    <w:rsid w:val="00A343EA"/>
    <w:rsid w:val="00A344DE"/>
    <w:rsid w:val="00A344EE"/>
    <w:rsid w:val="00A34615"/>
    <w:rsid w:val="00A347CD"/>
    <w:rsid w:val="00A34894"/>
    <w:rsid w:val="00A35353"/>
    <w:rsid w:val="00A356B1"/>
    <w:rsid w:val="00A35AF6"/>
    <w:rsid w:val="00A35B53"/>
    <w:rsid w:val="00A35C4A"/>
    <w:rsid w:val="00A35DAB"/>
    <w:rsid w:val="00A35EF6"/>
    <w:rsid w:val="00A366C3"/>
    <w:rsid w:val="00A36822"/>
    <w:rsid w:val="00A36A0E"/>
    <w:rsid w:val="00A36A4E"/>
    <w:rsid w:val="00A36CD8"/>
    <w:rsid w:val="00A36EBC"/>
    <w:rsid w:val="00A36FA7"/>
    <w:rsid w:val="00A3734E"/>
    <w:rsid w:val="00A3748A"/>
    <w:rsid w:val="00A3770D"/>
    <w:rsid w:val="00A3775B"/>
    <w:rsid w:val="00A378E3"/>
    <w:rsid w:val="00A37B04"/>
    <w:rsid w:val="00A37C30"/>
    <w:rsid w:val="00A37C5A"/>
    <w:rsid w:val="00A37CBD"/>
    <w:rsid w:val="00A37E8F"/>
    <w:rsid w:val="00A37FC9"/>
    <w:rsid w:val="00A400AF"/>
    <w:rsid w:val="00A404AB"/>
    <w:rsid w:val="00A4075E"/>
    <w:rsid w:val="00A40BCA"/>
    <w:rsid w:val="00A40E06"/>
    <w:rsid w:val="00A40EA0"/>
    <w:rsid w:val="00A412E3"/>
    <w:rsid w:val="00A41460"/>
    <w:rsid w:val="00A4156F"/>
    <w:rsid w:val="00A415E4"/>
    <w:rsid w:val="00A4172E"/>
    <w:rsid w:val="00A41A8D"/>
    <w:rsid w:val="00A41AA4"/>
    <w:rsid w:val="00A41AC6"/>
    <w:rsid w:val="00A41C0B"/>
    <w:rsid w:val="00A41DC7"/>
    <w:rsid w:val="00A4217E"/>
    <w:rsid w:val="00A425FC"/>
    <w:rsid w:val="00A438B7"/>
    <w:rsid w:val="00A43B8F"/>
    <w:rsid w:val="00A44666"/>
    <w:rsid w:val="00A4470F"/>
    <w:rsid w:val="00A447C2"/>
    <w:rsid w:val="00A44C34"/>
    <w:rsid w:val="00A44C60"/>
    <w:rsid w:val="00A44DF5"/>
    <w:rsid w:val="00A44F64"/>
    <w:rsid w:val="00A44F87"/>
    <w:rsid w:val="00A451EC"/>
    <w:rsid w:val="00A4546A"/>
    <w:rsid w:val="00A45FAD"/>
    <w:rsid w:val="00A46485"/>
    <w:rsid w:val="00A46AA5"/>
    <w:rsid w:val="00A46DD8"/>
    <w:rsid w:val="00A46EA2"/>
    <w:rsid w:val="00A46F5D"/>
    <w:rsid w:val="00A470A5"/>
    <w:rsid w:val="00A47183"/>
    <w:rsid w:val="00A471B0"/>
    <w:rsid w:val="00A47989"/>
    <w:rsid w:val="00A47996"/>
    <w:rsid w:val="00A47B59"/>
    <w:rsid w:val="00A47DBE"/>
    <w:rsid w:val="00A50262"/>
    <w:rsid w:val="00A50A35"/>
    <w:rsid w:val="00A50AB9"/>
    <w:rsid w:val="00A50AF4"/>
    <w:rsid w:val="00A50CBC"/>
    <w:rsid w:val="00A50D53"/>
    <w:rsid w:val="00A50DF6"/>
    <w:rsid w:val="00A5126B"/>
    <w:rsid w:val="00A5145C"/>
    <w:rsid w:val="00A516EE"/>
    <w:rsid w:val="00A51764"/>
    <w:rsid w:val="00A518CD"/>
    <w:rsid w:val="00A51B1E"/>
    <w:rsid w:val="00A52007"/>
    <w:rsid w:val="00A52675"/>
    <w:rsid w:val="00A52692"/>
    <w:rsid w:val="00A52705"/>
    <w:rsid w:val="00A52ABE"/>
    <w:rsid w:val="00A52B1F"/>
    <w:rsid w:val="00A52C58"/>
    <w:rsid w:val="00A52CB7"/>
    <w:rsid w:val="00A531A4"/>
    <w:rsid w:val="00A53648"/>
    <w:rsid w:val="00A5388F"/>
    <w:rsid w:val="00A539EA"/>
    <w:rsid w:val="00A53ADC"/>
    <w:rsid w:val="00A53CA4"/>
    <w:rsid w:val="00A541E2"/>
    <w:rsid w:val="00A5498E"/>
    <w:rsid w:val="00A54ABF"/>
    <w:rsid w:val="00A54BF0"/>
    <w:rsid w:val="00A54EF5"/>
    <w:rsid w:val="00A5504F"/>
    <w:rsid w:val="00A552A1"/>
    <w:rsid w:val="00A552C6"/>
    <w:rsid w:val="00A552F1"/>
    <w:rsid w:val="00A5549D"/>
    <w:rsid w:val="00A55897"/>
    <w:rsid w:val="00A55960"/>
    <w:rsid w:val="00A55ADE"/>
    <w:rsid w:val="00A55AF9"/>
    <w:rsid w:val="00A55B31"/>
    <w:rsid w:val="00A55CFA"/>
    <w:rsid w:val="00A55D82"/>
    <w:rsid w:val="00A5629C"/>
    <w:rsid w:val="00A56633"/>
    <w:rsid w:val="00A57023"/>
    <w:rsid w:val="00A57028"/>
    <w:rsid w:val="00A572C6"/>
    <w:rsid w:val="00A57407"/>
    <w:rsid w:val="00A57A8F"/>
    <w:rsid w:val="00A6034A"/>
    <w:rsid w:val="00A607C2"/>
    <w:rsid w:val="00A607FA"/>
    <w:rsid w:val="00A6080D"/>
    <w:rsid w:val="00A60B31"/>
    <w:rsid w:val="00A60D1E"/>
    <w:rsid w:val="00A60FDC"/>
    <w:rsid w:val="00A6129E"/>
    <w:rsid w:val="00A615C0"/>
    <w:rsid w:val="00A615C8"/>
    <w:rsid w:val="00A6236A"/>
    <w:rsid w:val="00A6256B"/>
    <w:rsid w:val="00A62AD4"/>
    <w:rsid w:val="00A63262"/>
    <w:rsid w:val="00A63284"/>
    <w:rsid w:val="00A63587"/>
    <w:rsid w:val="00A6386F"/>
    <w:rsid w:val="00A63A27"/>
    <w:rsid w:val="00A63F8D"/>
    <w:rsid w:val="00A64122"/>
    <w:rsid w:val="00A646D3"/>
    <w:rsid w:val="00A648B6"/>
    <w:rsid w:val="00A64FEE"/>
    <w:rsid w:val="00A658A9"/>
    <w:rsid w:val="00A65AF3"/>
    <w:rsid w:val="00A65B1F"/>
    <w:rsid w:val="00A65C7D"/>
    <w:rsid w:val="00A6600A"/>
    <w:rsid w:val="00A661B7"/>
    <w:rsid w:val="00A6648F"/>
    <w:rsid w:val="00A668D9"/>
    <w:rsid w:val="00A669BB"/>
    <w:rsid w:val="00A66A7A"/>
    <w:rsid w:val="00A670D7"/>
    <w:rsid w:val="00A6710B"/>
    <w:rsid w:val="00A672A3"/>
    <w:rsid w:val="00A673AF"/>
    <w:rsid w:val="00A67427"/>
    <w:rsid w:val="00A674B8"/>
    <w:rsid w:val="00A67608"/>
    <w:rsid w:val="00A6781D"/>
    <w:rsid w:val="00A679A0"/>
    <w:rsid w:val="00A67B7A"/>
    <w:rsid w:val="00A67C71"/>
    <w:rsid w:val="00A704BF"/>
    <w:rsid w:val="00A70A5D"/>
    <w:rsid w:val="00A71287"/>
    <w:rsid w:val="00A718E9"/>
    <w:rsid w:val="00A71E29"/>
    <w:rsid w:val="00A71E82"/>
    <w:rsid w:val="00A722F1"/>
    <w:rsid w:val="00A72B66"/>
    <w:rsid w:val="00A72BDF"/>
    <w:rsid w:val="00A72C01"/>
    <w:rsid w:val="00A72C0F"/>
    <w:rsid w:val="00A730C0"/>
    <w:rsid w:val="00A739B2"/>
    <w:rsid w:val="00A73A09"/>
    <w:rsid w:val="00A743C3"/>
    <w:rsid w:val="00A74A82"/>
    <w:rsid w:val="00A74DCD"/>
    <w:rsid w:val="00A74E6A"/>
    <w:rsid w:val="00A74EED"/>
    <w:rsid w:val="00A750E8"/>
    <w:rsid w:val="00A75A9A"/>
    <w:rsid w:val="00A75C2A"/>
    <w:rsid w:val="00A75DE2"/>
    <w:rsid w:val="00A76445"/>
    <w:rsid w:val="00A767A0"/>
    <w:rsid w:val="00A7682A"/>
    <w:rsid w:val="00A76E2E"/>
    <w:rsid w:val="00A76E84"/>
    <w:rsid w:val="00A775DE"/>
    <w:rsid w:val="00A776AE"/>
    <w:rsid w:val="00A77A8A"/>
    <w:rsid w:val="00A80154"/>
    <w:rsid w:val="00A80836"/>
    <w:rsid w:val="00A80CA8"/>
    <w:rsid w:val="00A812CC"/>
    <w:rsid w:val="00A815AF"/>
    <w:rsid w:val="00A818AD"/>
    <w:rsid w:val="00A8198B"/>
    <w:rsid w:val="00A81C39"/>
    <w:rsid w:val="00A82246"/>
    <w:rsid w:val="00A82753"/>
    <w:rsid w:val="00A82898"/>
    <w:rsid w:val="00A82C40"/>
    <w:rsid w:val="00A83140"/>
    <w:rsid w:val="00A836AF"/>
    <w:rsid w:val="00A839DF"/>
    <w:rsid w:val="00A83F13"/>
    <w:rsid w:val="00A846AE"/>
    <w:rsid w:val="00A8475D"/>
    <w:rsid w:val="00A84BA7"/>
    <w:rsid w:val="00A84D24"/>
    <w:rsid w:val="00A8518F"/>
    <w:rsid w:val="00A85A9A"/>
    <w:rsid w:val="00A85BAA"/>
    <w:rsid w:val="00A862C8"/>
    <w:rsid w:val="00A86EF8"/>
    <w:rsid w:val="00A86F77"/>
    <w:rsid w:val="00A87032"/>
    <w:rsid w:val="00A87214"/>
    <w:rsid w:val="00A872D3"/>
    <w:rsid w:val="00A874E3"/>
    <w:rsid w:val="00A8783B"/>
    <w:rsid w:val="00A9003D"/>
    <w:rsid w:val="00A901D4"/>
    <w:rsid w:val="00A901F3"/>
    <w:rsid w:val="00A903B7"/>
    <w:rsid w:val="00A903D0"/>
    <w:rsid w:val="00A908C1"/>
    <w:rsid w:val="00A90AE7"/>
    <w:rsid w:val="00A90B5A"/>
    <w:rsid w:val="00A90BA9"/>
    <w:rsid w:val="00A90DAE"/>
    <w:rsid w:val="00A910BC"/>
    <w:rsid w:val="00A91316"/>
    <w:rsid w:val="00A913A6"/>
    <w:rsid w:val="00A91437"/>
    <w:rsid w:val="00A918D3"/>
    <w:rsid w:val="00A92793"/>
    <w:rsid w:val="00A92883"/>
    <w:rsid w:val="00A928C7"/>
    <w:rsid w:val="00A92D74"/>
    <w:rsid w:val="00A92E17"/>
    <w:rsid w:val="00A939B7"/>
    <w:rsid w:val="00A93BB1"/>
    <w:rsid w:val="00A93FC3"/>
    <w:rsid w:val="00A9400C"/>
    <w:rsid w:val="00A940DF"/>
    <w:rsid w:val="00A9438E"/>
    <w:rsid w:val="00A947C6"/>
    <w:rsid w:val="00A94979"/>
    <w:rsid w:val="00A94D2E"/>
    <w:rsid w:val="00A94FA4"/>
    <w:rsid w:val="00A950B7"/>
    <w:rsid w:val="00A954EE"/>
    <w:rsid w:val="00A9555C"/>
    <w:rsid w:val="00A95861"/>
    <w:rsid w:val="00A95A76"/>
    <w:rsid w:val="00A965FA"/>
    <w:rsid w:val="00A9680F"/>
    <w:rsid w:val="00A96820"/>
    <w:rsid w:val="00A96920"/>
    <w:rsid w:val="00A96B29"/>
    <w:rsid w:val="00A96C8F"/>
    <w:rsid w:val="00A96E4C"/>
    <w:rsid w:val="00A97189"/>
    <w:rsid w:val="00A9756A"/>
    <w:rsid w:val="00A977EB"/>
    <w:rsid w:val="00A978E2"/>
    <w:rsid w:val="00A9797F"/>
    <w:rsid w:val="00A97A0B"/>
    <w:rsid w:val="00A97B8C"/>
    <w:rsid w:val="00AA004E"/>
    <w:rsid w:val="00AA01D3"/>
    <w:rsid w:val="00AA0202"/>
    <w:rsid w:val="00AA0439"/>
    <w:rsid w:val="00AA065D"/>
    <w:rsid w:val="00AA089A"/>
    <w:rsid w:val="00AA0E87"/>
    <w:rsid w:val="00AA1305"/>
    <w:rsid w:val="00AA14FF"/>
    <w:rsid w:val="00AA1571"/>
    <w:rsid w:val="00AA1697"/>
    <w:rsid w:val="00AA1833"/>
    <w:rsid w:val="00AA1BB1"/>
    <w:rsid w:val="00AA1C83"/>
    <w:rsid w:val="00AA1CF1"/>
    <w:rsid w:val="00AA1EBC"/>
    <w:rsid w:val="00AA1F2C"/>
    <w:rsid w:val="00AA1F7A"/>
    <w:rsid w:val="00AA240C"/>
    <w:rsid w:val="00AA24E6"/>
    <w:rsid w:val="00AA2506"/>
    <w:rsid w:val="00AA294A"/>
    <w:rsid w:val="00AA2A2E"/>
    <w:rsid w:val="00AA3042"/>
    <w:rsid w:val="00AA30A5"/>
    <w:rsid w:val="00AA313E"/>
    <w:rsid w:val="00AA33F1"/>
    <w:rsid w:val="00AA352E"/>
    <w:rsid w:val="00AA3666"/>
    <w:rsid w:val="00AA37AF"/>
    <w:rsid w:val="00AA37D6"/>
    <w:rsid w:val="00AA3D09"/>
    <w:rsid w:val="00AA3F7A"/>
    <w:rsid w:val="00AA4433"/>
    <w:rsid w:val="00AA47B2"/>
    <w:rsid w:val="00AA47DB"/>
    <w:rsid w:val="00AA4845"/>
    <w:rsid w:val="00AA48CF"/>
    <w:rsid w:val="00AA4C35"/>
    <w:rsid w:val="00AA5E20"/>
    <w:rsid w:val="00AA6104"/>
    <w:rsid w:val="00AA6209"/>
    <w:rsid w:val="00AA636A"/>
    <w:rsid w:val="00AA65C9"/>
    <w:rsid w:val="00AA6DDD"/>
    <w:rsid w:val="00AA6EED"/>
    <w:rsid w:val="00AA6F48"/>
    <w:rsid w:val="00AA7006"/>
    <w:rsid w:val="00AA70E3"/>
    <w:rsid w:val="00AA7101"/>
    <w:rsid w:val="00AA73F0"/>
    <w:rsid w:val="00AA76CB"/>
    <w:rsid w:val="00AA77FB"/>
    <w:rsid w:val="00AA78ED"/>
    <w:rsid w:val="00AA7DB7"/>
    <w:rsid w:val="00AB007C"/>
    <w:rsid w:val="00AB0298"/>
    <w:rsid w:val="00AB0A50"/>
    <w:rsid w:val="00AB0A6A"/>
    <w:rsid w:val="00AB0EBF"/>
    <w:rsid w:val="00AB0F19"/>
    <w:rsid w:val="00AB0F70"/>
    <w:rsid w:val="00AB1003"/>
    <w:rsid w:val="00AB114E"/>
    <w:rsid w:val="00AB13E4"/>
    <w:rsid w:val="00AB17B9"/>
    <w:rsid w:val="00AB1AFB"/>
    <w:rsid w:val="00AB2253"/>
    <w:rsid w:val="00AB234A"/>
    <w:rsid w:val="00AB25FB"/>
    <w:rsid w:val="00AB2702"/>
    <w:rsid w:val="00AB2772"/>
    <w:rsid w:val="00AB28DD"/>
    <w:rsid w:val="00AB2AD5"/>
    <w:rsid w:val="00AB2DD1"/>
    <w:rsid w:val="00AB301B"/>
    <w:rsid w:val="00AB349D"/>
    <w:rsid w:val="00AB3620"/>
    <w:rsid w:val="00AB3952"/>
    <w:rsid w:val="00AB3E85"/>
    <w:rsid w:val="00AB404F"/>
    <w:rsid w:val="00AB4739"/>
    <w:rsid w:val="00AB4A55"/>
    <w:rsid w:val="00AB4A6D"/>
    <w:rsid w:val="00AB4AE4"/>
    <w:rsid w:val="00AB4D22"/>
    <w:rsid w:val="00AB507F"/>
    <w:rsid w:val="00AB5351"/>
    <w:rsid w:val="00AB542A"/>
    <w:rsid w:val="00AB54FD"/>
    <w:rsid w:val="00AB550D"/>
    <w:rsid w:val="00AB55A1"/>
    <w:rsid w:val="00AB56E9"/>
    <w:rsid w:val="00AB5AD2"/>
    <w:rsid w:val="00AB6232"/>
    <w:rsid w:val="00AB62C2"/>
    <w:rsid w:val="00AB6884"/>
    <w:rsid w:val="00AB6B7C"/>
    <w:rsid w:val="00AB6EC2"/>
    <w:rsid w:val="00AB73B7"/>
    <w:rsid w:val="00AB7466"/>
    <w:rsid w:val="00AB7580"/>
    <w:rsid w:val="00AB759F"/>
    <w:rsid w:val="00AB76D9"/>
    <w:rsid w:val="00AB7C25"/>
    <w:rsid w:val="00AB7C27"/>
    <w:rsid w:val="00AB7E51"/>
    <w:rsid w:val="00AC03F4"/>
    <w:rsid w:val="00AC06E8"/>
    <w:rsid w:val="00AC07D9"/>
    <w:rsid w:val="00AC0D85"/>
    <w:rsid w:val="00AC10D7"/>
    <w:rsid w:val="00AC114C"/>
    <w:rsid w:val="00AC138F"/>
    <w:rsid w:val="00AC140F"/>
    <w:rsid w:val="00AC1452"/>
    <w:rsid w:val="00AC1454"/>
    <w:rsid w:val="00AC1476"/>
    <w:rsid w:val="00AC16A1"/>
    <w:rsid w:val="00AC181B"/>
    <w:rsid w:val="00AC1BEC"/>
    <w:rsid w:val="00AC1C06"/>
    <w:rsid w:val="00AC1C7E"/>
    <w:rsid w:val="00AC1E8F"/>
    <w:rsid w:val="00AC2528"/>
    <w:rsid w:val="00AC26EF"/>
    <w:rsid w:val="00AC279A"/>
    <w:rsid w:val="00AC28D6"/>
    <w:rsid w:val="00AC2AF0"/>
    <w:rsid w:val="00AC2F8C"/>
    <w:rsid w:val="00AC32FA"/>
    <w:rsid w:val="00AC352B"/>
    <w:rsid w:val="00AC35F7"/>
    <w:rsid w:val="00AC3958"/>
    <w:rsid w:val="00AC39B3"/>
    <w:rsid w:val="00AC3BD1"/>
    <w:rsid w:val="00AC3CAB"/>
    <w:rsid w:val="00AC3E4C"/>
    <w:rsid w:val="00AC4035"/>
    <w:rsid w:val="00AC40CC"/>
    <w:rsid w:val="00AC450D"/>
    <w:rsid w:val="00AC4747"/>
    <w:rsid w:val="00AC4E54"/>
    <w:rsid w:val="00AC51B5"/>
    <w:rsid w:val="00AC5238"/>
    <w:rsid w:val="00AC5636"/>
    <w:rsid w:val="00AC56AA"/>
    <w:rsid w:val="00AC58C2"/>
    <w:rsid w:val="00AC5BE6"/>
    <w:rsid w:val="00AC5E77"/>
    <w:rsid w:val="00AC5FE6"/>
    <w:rsid w:val="00AC643A"/>
    <w:rsid w:val="00AC6792"/>
    <w:rsid w:val="00AC67A4"/>
    <w:rsid w:val="00AC6AC7"/>
    <w:rsid w:val="00AC6CAE"/>
    <w:rsid w:val="00AC6DE8"/>
    <w:rsid w:val="00AC707A"/>
    <w:rsid w:val="00AC7D50"/>
    <w:rsid w:val="00AC7D83"/>
    <w:rsid w:val="00AC7E9D"/>
    <w:rsid w:val="00AD01E1"/>
    <w:rsid w:val="00AD0824"/>
    <w:rsid w:val="00AD08A3"/>
    <w:rsid w:val="00AD0936"/>
    <w:rsid w:val="00AD104F"/>
    <w:rsid w:val="00AD12D5"/>
    <w:rsid w:val="00AD17F0"/>
    <w:rsid w:val="00AD1B73"/>
    <w:rsid w:val="00AD1DF5"/>
    <w:rsid w:val="00AD24DF"/>
    <w:rsid w:val="00AD2788"/>
    <w:rsid w:val="00AD298F"/>
    <w:rsid w:val="00AD2A6A"/>
    <w:rsid w:val="00AD359D"/>
    <w:rsid w:val="00AD3627"/>
    <w:rsid w:val="00AD3834"/>
    <w:rsid w:val="00AD3844"/>
    <w:rsid w:val="00AD3C3E"/>
    <w:rsid w:val="00AD3F38"/>
    <w:rsid w:val="00AD3FC8"/>
    <w:rsid w:val="00AD4192"/>
    <w:rsid w:val="00AD470A"/>
    <w:rsid w:val="00AD598F"/>
    <w:rsid w:val="00AD5AB8"/>
    <w:rsid w:val="00AD5DB5"/>
    <w:rsid w:val="00AD5E27"/>
    <w:rsid w:val="00AD6035"/>
    <w:rsid w:val="00AD63D7"/>
    <w:rsid w:val="00AD64B0"/>
    <w:rsid w:val="00AD6502"/>
    <w:rsid w:val="00AD654A"/>
    <w:rsid w:val="00AD6583"/>
    <w:rsid w:val="00AD662A"/>
    <w:rsid w:val="00AD683E"/>
    <w:rsid w:val="00AD6A25"/>
    <w:rsid w:val="00AD6F90"/>
    <w:rsid w:val="00AD71B2"/>
    <w:rsid w:val="00AD71D7"/>
    <w:rsid w:val="00AD7553"/>
    <w:rsid w:val="00AD767F"/>
    <w:rsid w:val="00AD7841"/>
    <w:rsid w:val="00AE0210"/>
    <w:rsid w:val="00AE04BB"/>
    <w:rsid w:val="00AE0BAF"/>
    <w:rsid w:val="00AE0CB8"/>
    <w:rsid w:val="00AE109D"/>
    <w:rsid w:val="00AE1438"/>
    <w:rsid w:val="00AE1774"/>
    <w:rsid w:val="00AE1AE0"/>
    <w:rsid w:val="00AE1D50"/>
    <w:rsid w:val="00AE1F33"/>
    <w:rsid w:val="00AE22CA"/>
    <w:rsid w:val="00AE22ED"/>
    <w:rsid w:val="00AE24AB"/>
    <w:rsid w:val="00AE25C5"/>
    <w:rsid w:val="00AE27B6"/>
    <w:rsid w:val="00AE3220"/>
    <w:rsid w:val="00AE3431"/>
    <w:rsid w:val="00AE35CA"/>
    <w:rsid w:val="00AE37CE"/>
    <w:rsid w:val="00AE3955"/>
    <w:rsid w:val="00AE3F03"/>
    <w:rsid w:val="00AE3F37"/>
    <w:rsid w:val="00AE40CD"/>
    <w:rsid w:val="00AE41C3"/>
    <w:rsid w:val="00AE486F"/>
    <w:rsid w:val="00AE5290"/>
    <w:rsid w:val="00AE53FC"/>
    <w:rsid w:val="00AE5625"/>
    <w:rsid w:val="00AE5EBF"/>
    <w:rsid w:val="00AE5F48"/>
    <w:rsid w:val="00AE612F"/>
    <w:rsid w:val="00AE6817"/>
    <w:rsid w:val="00AE69A5"/>
    <w:rsid w:val="00AE6A80"/>
    <w:rsid w:val="00AE6E04"/>
    <w:rsid w:val="00AE6FF0"/>
    <w:rsid w:val="00AE7016"/>
    <w:rsid w:val="00AE7295"/>
    <w:rsid w:val="00AE7798"/>
    <w:rsid w:val="00AE7893"/>
    <w:rsid w:val="00AE79E6"/>
    <w:rsid w:val="00AE7DCF"/>
    <w:rsid w:val="00AF07D0"/>
    <w:rsid w:val="00AF0959"/>
    <w:rsid w:val="00AF09A3"/>
    <w:rsid w:val="00AF09A6"/>
    <w:rsid w:val="00AF0D17"/>
    <w:rsid w:val="00AF0E60"/>
    <w:rsid w:val="00AF0E88"/>
    <w:rsid w:val="00AF118F"/>
    <w:rsid w:val="00AF127E"/>
    <w:rsid w:val="00AF18A8"/>
    <w:rsid w:val="00AF1C2E"/>
    <w:rsid w:val="00AF1F99"/>
    <w:rsid w:val="00AF1FD4"/>
    <w:rsid w:val="00AF207E"/>
    <w:rsid w:val="00AF215C"/>
    <w:rsid w:val="00AF2340"/>
    <w:rsid w:val="00AF25B5"/>
    <w:rsid w:val="00AF279E"/>
    <w:rsid w:val="00AF30C7"/>
    <w:rsid w:val="00AF3635"/>
    <w:rsid w:val="00AF3684"/>
    <w:rsid w:val="00AF3A63"/>
    <w:rsid w:val="00AF4041"/>
    <w:rsid w:val="00AF4984"/>
    <w:rsid w:val="00AF49C3"/>
    <w:rsid w:val="00AF4C87"/>
    <w:rsid w:val="00AF4CAA"/>
    <w:rsid w:val="00AF4D91"/>
    <w:rsid w:val="00AF4EC9"/>
    <w:rsid w:val="00AF4F49"/>
    <w:rsid w:val="00AF57C0"/>
    <w:rsid w:val="00AF5B11"/>
    <w:rsid w:val="00AF5E6C"/>
    <w:rsid w:val="00AF60BC"/>
    <w:rsid w:val="00AF635F"/>
    <w:rsid w:val="00AF6EDA"/>
    <w:rsid w:val="00AF6FA8"/>
    <w:rsid w:val="00AF707E"/>
    <w:rsid w:val="00AF7532"/>
    <w:rsid w:val="00B001B3"/>
    <w:rsid w:val="00B00405"/>
    <w:rsid w:val="00B004A1"/>
    <w:rsid w:val="00B00A42"/>
    <w:rsid w:val="00B012BE"/>
    <w:rsid w:val="00B01890"/>
    <w:rsid w:val="00B01CCE"/>
    <w:rsid w:val="00B01E6D"/>
    <w:rsid w:val="00B0237D"/>
    <w:rsid w:val="00B030E8"/>
    <w:rsid w:val="00B0324D"/>
    <w:rsid w:val="00B03471"/>
    <w:rsid w:val="00B036C3"/>
    <w:rsid w:val="00B037DE"/>
    <w:rsid w:val="00B04194"/>
    <w:rsid w:val="00B04289"/>
    <w:rsid w:val="00B04571"/>
    <w:rsid w:val="00B0470D"/>
    <w:rsid w:val="00B04892"/>
    <w:rsid w:val="00B0498F"/>
    <w:rsid w:val="00B05772"/>
    <w:rsid w:val="00B057CE"/>
    <w:rsid w:val="00B0600E"/>
    <w:rsid w:val="00B064A7"/>
    <w:rsid w:val="00B0677E"/>
    <w:rsid w:val="00B0683E"/>
    <w:rsid w:val="00B06CE1"/>
    <w:rsid w:val="00B06EBF"/>
    <w:rsid w:val="00B070F9"/>
    <w:rsid w:val="00B07265"/>
    <w:rsid w:val="00B0755F"/>
    <w:rsid w:val="00B07BA6"/>
    <w:rsid w:val="00B07EBE"/>
    <w:rsid w:val="00B07F16"/>
    <w:rsid w:val="00B10534"/>
    <w:rsid w:val="00B10AA0"/>
    <w:rsid w:val="00B10E82"/>
    <w:rsid w:val="00B1168B"/>
    <w:rsid w:val="00B117FD"/>
    <w:rsid w:val="00B11928"/>
    <w:rsid w:val="00B11A25"/>
    <w:rsid w:val="00B11B11"/>
    <w:rsid w:val="00B11D14"/>
    <w:rsid w:val="00B11E21"/>
    <w:rsid w:val="00B12026"/>
    <w:rsid w:val="00B120BE"/>
    <w:rsid w:val="00B127DB"/>
    <w:rsid w:val="00B128FC"/>
    <w:rsid w:val="00B12D8A"/>
    <w:rsid w:val="00B13309"/>
    <w:rsid w:val="00B13428"/>
    <w:rsid w:val="00B13620"/>
    <w:rsid w:val="00B137BF"/>
    <w:rsid w:val="00B1383B"/>
    <w:rsid w:val="00B13CB4"/>
    <w:rsid w:val="00B13F2E"/>
    <w:rsid w:val="00B1434D"/>
    <w:rsid w:val="00B1445F"/>
    <w:rsid w:val="00B1475A"/>
    <w:rsid w:val="00B14D57"/>
    <w:rsid w:val="00B14E59"/>
    <w:rsid w:val="00B153E9"/>
    <w:rsid w:val="00B1597A"/>
    <w:rsid w:val="00B15D1B"/>
    <w:rsid w:val="00B15E47"/>
    <w:rsid w:val="00B15FCF"/>
    <w:rsid w:val="00B16841"/>
    <w:rsid w:val="00B16932"/>
    <w:rsid w:val="00B16B46"/>
    <w:rsid w:val="00B16F7C"/>
    <w:rsid w:val="00B174EE"/>
    <w:rsid w:val="00B17BE7"/>
    <w:rsid w:val="00B20140"/>
    <w:rsid w:val="00B203BD"/>
    <w:rsid w:val="00B2054A"/>
    <w:rsid w:val="00B20E2E"/>
    <w:rsid w:val="00B20F49"/>
    <w:rsid w:val="00B20FD5"/>
    <w:rsid w:val="00B21408"/>
    <w:rsid w:val="00B21431"/>
    <w:rsid w:val="00B21515"/>
    <w:rsid w:val="00B2192E"/>
    <w:rsid w:val="00B219DD"/>
    <w:rsid w:val="00B2219B"/>
    <w:rsid w:val="00B22200"/>
    <w:rsid w:val="00B22410"/>
    <w:rsid w:val="00B225C8"/>
    <w:rsid w:val="00B226B1"/>
    <w:rsid w:val="00B22A92"/>
    <w:rsid w:val="00B22B4E"/>
    <w:rsid w:val="00B22CED"/>
    <w:rsid w:val="00B22FFE"/>
    <w:rsid w:val="00B23544"/>
    <w:rsid w:val="00B23639"/>
    <w:rsid w:val="00B23962"/>
    <w:rsid w:val="00B23D59"/>
    <w:rsid w:val="00B242E7"/>
    <w:rsid w:val="00B2438B"/>
    <w:rsid w:val="00B24823"/>
    <w:rsid w:val="00B24C59"/>
    <w:rsid w:val="00B24C62"/>
    <w:rsid w:val="00B24D0D"/>
    <w:rsid w:val="00B2551A"/>
    <w:rsid w:val="00B25608"/>
    <w:rsid w:val="00B25750"/>
    <w:rsid w:val="00B2591C"/>
    <w:rsid w:val="00B25AAD"/>
    <w:rsid w:val="00B25BEA"/>
    <w:rsid w:val="00B26068"/>
    <w:rsid w:val="00B2607A"/>
    <w:rsid w:val="00B262A9"/>
    <w:rsid w:val="00B262BD"/>
    <w:rsid w:val="00B262ED"/>
    <w:rsid w:val="00B264B3"/>
    <w:rsid w:val="00B266CB"/>
    <w:rsid w:val="00B26825"/>
    <w:rsid w:val="00B26A32"/>
    <w:rsid w:val="00B26CE5"/>
    <w:rsid w:val="00B26E8C"/>
    <w:rsid w:val="00B26F93"/>
    <w:rsid w:val="00B2752C"/>
    <w:rsid w:val="00B275B2"/>
    <w:rsid w:val="00B27675"/>
    <w:rsid w:val="00B276DD"/>
    <w:rsid w:val="00B27E94"/>
    <w:rsid w:val="00B27FB7"/>
    <w:rsid w:val="00B300EA"/>
    <w:rsid w:val="00B30848"/>
    <w:rsid w:val="00B30A86"/>
    <w:rsid w:val="00B30BC3"/>
    <w:rsid w:val="00B30CCD"/>
    <w:rsid w:val="00B30FA1"/>
    <w:rsid w:val="00B31033"/>
    <w:rsid w:val="00B313CC"/>
    <w:rsid w:val="00B313F8"/>
    <w:rsid w:val="00B31456"/>
    <w:rsid w:val="00B31504"/>
    <w:rsid w:val="00B3172E"/>
    <w:rsid w:val="00B31809"/>
    <w:rsid w:val="00B31CA9"/>
    <w:rsid w:val="00B31D96"/>
    <w:rsid w:val="00B31ECE"/>
    <w:rsid w:val="00B32EF5"/>
    <w:rsid w:val="00B330FD"/>
    <w:rsid w:val="00B3325A"/>
    <w:rsid w:val="00B33505"/>
    <w:rsid w:val="00B33570"/>
    <w:rsid w:val="00B335F9"/>
    <w:rsid w:val="00B33973"/>
    <w:rsid w:val="00B3397D"/>
    <w:rsid w:val="00B3398E"/>
    <w:rsid w:val="00B33AEE"/>
    <w:rsid w:val="00B33FF1"/>
    <w:rsid w:val="00B3405D"/>
    <w:rsid w:val="00B34308"/>
    <w:rsid w:val="00B343A2"/>
    <w:rsid w:val="00B345A5"/>
    <w:rsid w:val="00B34822"/>
    <w:rsid w:val="00B35010"/>
    <w:rsid w:val="00B35166"/>
    <w:rsid w:val="00B353D7"/>
    <w:rsid w:val="00B354A6"/>
    <w:rsid w:val="00B355C0"/>
    <w:rsid w:val="00B35684"/>
    <w:rsid w:val="00B35783"/>
    <w:rsid w:val="00B357D7"/>
    <w:rsid w:val="00B35922"/>
    <w:rsid w:val="00B35B22"/>
    <w:rsid w:val="00B35DDD"/>
    <w:rsid w:val="00B35E39"/>
    <w:rsid w:val="00B36357"/>
    <w:rsid w:val="00B36858"/>
    <w:rsid w:val="00B370D8"/>
    <w:rsid w:val="00B373BB"/>
    <w:rsid w:val="00B406F5"/>
    <w:rsid w:val="00B41416"/>
    <w:rsid w:val="00B41632"/>
    <w:rsid w:val="00B417CE"/>
    <w:rsid w:val="00B41B0C"/>
    <w:rsid w:val="00B41D6B"/>
    <w:rsid w:val="00B41F9C"/>
    <w:rsid w:val="00B42724"/>
    <w:rsid w:val="00B4294D"/>
    <w:rsid w:val="00B43810"/>
    <w:rsid w:val="00B4402B"/>
    <w:rsid w:val="00B442C1"/>
    <w:rsid w:val="00B4455A"/>
    <w:rsid w:val="00B44603"/>
    <w:rsid w:val="00B44D38"/>
    <w:rsid w:val="00B44D98"/>
    <w:rsid w:val="00B45307"/>
    <w:rsid w:val="00B456A7"/>
    <w:rsid w:val="00B457B5"/>
    <w:rsid w:val="00B45937"/>
    <w:rsid w:val="00B45D67"/>
    <w:rsid w:val="00B45DBA"/>
    <w:rsid w:val="00B45E20"/>
    <w:rsid w:val="00B46040"/>
    <w:rsid w:val="00B4632B"/>
    <w:rsid w:val="00B4654E"/>
    <w:rsid w:val="00B46921"/>
    <w:rsid w:val="00B469C5"/>
    <w:rsid w:val="00B46D36"/>
    <w:rsid w:val="00B4733E"/>
    <w:rsid w:val="00B475D3"/>
    <w:rsid w:val="00B47639"/>
    <w:rsid w:val="00B478B3"/>
    <w:rsid w:val="00B479DA"/>
    <w:rsid w:val="00B50251"/>
    <w:rsid w:val="00B502D6"/>
    <w:rsid w:val="00B503B6"/>
    <w:rsid w:val="00B507A0"/>
    <w:rsid w:val="00B50876"/>
    <w:rsid w:val="00B50AC4"/>
    <w:rsid w:val="00B50C7A"/>
    <w:rsid w:val="00B50E72"/>
    <w:rsid w:val="00B50F08"/>
    <w:rsid w:val="00B516E0"/>
    <w:rsid w:val="00B51EDB"/>
    <w:rsid w:val="00B52051"/>
    <w:rsid w:val="00B52200"/>
    <w:rsid w:val="00B5246B"/>
    <w:rsid w:val="00B524CE"/>
    <w:rsid w:val="00B526A7"/>
    <w:rsid w:val="00B52EB4"/>
    <w:rsid w:val="00B53D8D"/>
    <w:rsid w:val="00B544B1"/>
    <w:rsid w:val="00B5468A"/>
    <w:rsid w:val="00B5488D"/>
    <w:rsid w:val="00B54F15"/>
    <w:rsid w:val="00B54FB9"/>
    <w:rsid w:val="00B55141"/>
    <w:rsid w:val="00B5532D"/>
    <w:rsid w:val="00B553AB"/>
    <w:rsid w:val="00B554D8"/>
    <w:rsid w:val="00B555F9"/>
    <w:rsid w:val="00B560D8"/>
    <w:rsid w:val="00B5624C"/>
    <w:rsid w:val="00B569F8"/>
    <w:rsid w:val="00B56D43"/>
    <w:rsid w:val="00B56E2F"/>
    <w:rsid w:val="00B56E9B"/>
    <w:rsid w:val="00B572CC"/>
    <w:rsid w:val="00B5766A"/>
    <w:rsid w:val="00B576BC"/>
    <w:rsid w:val="00B577FA"/>
    <w:rsid w:val="00B57D89"/>
    <w:rsid w:val="00B57DAA"/>
    <w:rsid w:val="00B57E0E"/>
    <w:rsid w:val="00B57E8E"/>
    <w:rsid w:val="00B57EAB"/>
    <w:rsid w:val="00B57F3A"/>
    <w:rsid w:val="00B57FC6"/>
    <w:rsid w:val="00B6045F"/>
    <w:rsid w:val="00B60935"/>
    <w:rsid w:val="00B60FA1"/>
    <w:rsid w:val="00B61825"/>
    <w:rsid w:val="00B61954"/>
    <w:rsid w:val="00B61A6D"/>
    <w:rsid w:val="00B61CCD"/>
    <w:rsid w:val="00B61E51"/>
    <w:rsid w:val="00B61FAA"/>
    <w:rsid w:val="00B6226B"/>
    <w:rsid w:val="00B6241A"/>
    <w:rsid w:val="00B62444"/>
    <w:rsid w:val="00B62647"/>
    <w:rsid w:val="00B628A0"/>
    <w:rsid w:val="00B62B29"/>
    <w:rsid w:val="00B62DD5"/>
    <w:rsid w:val="00B62EAA"/>
    <w:rsid w:val="00B62ED7"/>
    <w:rsid w:val="00B631F1"/>
    <w:rsid w:val="00B6345E"/>
    <w:rsid w:val="00B63788"/>
    <w:rsid w:val="00B63B2F"/>
    <w:rsid w:val="00B63CF0"/>
    <w:rsid w:val="00B64055"/>
    <w:rsid w:val="00B64066"/>
    <w:rsid w:val="00B641CA"/>
    <w:rsid w:val="00B6436E"/>
    <w:rsid w:val="00B6443D"/>
    <w:rsid w:val="00B64745"/>
    <w:rsid w:val="00B64B0C"/>
    <w:rsid w:val="00B64D57"/>
    <w:rsid w:val="00B64E9C"/>
    <w:rsid w:val="00B64F72"/>
    <w:rsid w:val="00B64F9B"/>
    <w:rsid w:val="00B65206"/>
    <w:rsid w:val="00B652DB"/>
    <w:rsid w:val="00B65369"/>
    <w:rsid w:val="00B656B3"/>
    <w:rsid w:val="00B656FB"/>
    <w:rsid w:val="00B657C3"/>
    <w:rsid w:val="00B65A24"/>
    <w:rsid w:val="00B65AB6"/>
    <w:rsid w:val="00B65C8F"/>
    <w:rsid w:val="00B65D1C"/>
    <w:rsid w:val="00B65D3A"/>
    <w:rsid w:val="00B662AD"/>
    <w:rsid w:val="00B6689D"/>
    <w:rsid w:val="00B66A78"/>
    <w:rsid w:val="00B66E41"/>
    <w:rsid w:val="00B66F46"/>
    <w:rsid w:val="00B66FB5"/>
    <w:rsid w:val="00B675D9"/>
    <w:rsid w:val="00B67684"/>
    <w:rsid w:val="00B676F2"/>
    <w:rsid w:val="00B677B4"/>
    <w:rsid w:val="00B67889"/>
    <w:rsid w:val="00B67B97"/>
    <w:rsid w:val="00B702B0"/>
    <w:rsid w:val="00B70380"/>
    <w:rsid w:val="00B70415"/>
    <w:rsid w:val="00B706BD"/>
    <w:rsid w:val="00B709B2"/>
    <w:rsid w:val="00B70B80"/>
    <w:rsid w:val="00B70BAE"/>
    <w:rsid w:val="00B71096"/>
    <w:rsid w:val="00B715E2"/>
    <w:rsid w:val="00B71690"/>
    <w:rsid w:val="00B71799"/>
    <w:rsid w:val="00B72101"/>
    <w:rsid w:val="00B7222F"/>
    <w:rsid w:val="00B723A0"/>
    <w:rsid w:val="00B72530"/>
    <w:rsid w:val="00B72C20"/>
    <w:rsid w:val="00B72CAF"/>
    <w:rsid w:val="00B72EBF"/>
    <w:rsid w:val="00B72ED6"/>
    <w:rsid w:val="00B73265"/>
    <w:rsid w:val="00B739F4"/>
    <w:rsid w:val="00B74076"/>
    <w:rsid w:val="00B740E9"/>
    <w:rsid w:val="00B74B75"/>
    <w:rsid w:val="00B74BC7"/>
    <w:rsid w:val="00B75FDD"/>
    <w:rsid w:val="00B76043"/>
    <w:rsid w:val="00B7639F"/>
    <w:rsid w:val="00B76505"/>
    <w:rsid w:val="00B76A79"/>
    <w:rsid w:val="00B76BA9"/>
    <w:rsid w:val="00B76DE1"/>
    <w:rsid w:val="00B76E17"/>
    <w:rsid w:val="00B77739"/>
    <w:rsid w:val="00B77AA9"/>
    <w:rsid w:val="00B77AC0"/>
    <w:rsid w:val="00B800E3"/>
    <w:rsid w:val="00B80626"/>
    <w:rsid w:val="00B807C7"/>
    <w:rsid w:val="00B80856"/>
    <w:rsid w:val="00B8105A"/>
    <w:rsid w:val="00B81061"/>
    <w:rsid w:val="00B811FC"/>
    <w:rsid w:val="00B816ED"/>
    <w:rsid w:val="00B8185F"/>
    <w:rsid w:val="00B81AEC"/>
    <w:rsid w:val="00B81CAF"/>
    <w:rsid w:val="00B81D18"/>
    <w:rsid w:val="00B81E6C"/>
    <w:rsid w:val="00B820D6"/>
    <w:rsid w:val="00B82FEA"/>
    <w:rsid w:val="00B8360E"/>
    <w:rsid w:val="00B8364F"/>
    <w:rsid w:val="00B83761"/>
    <w:rsid w:val="00B83B41"/>
    <w:rsid w:val="00B84028"/>
    <w:rsid w:val="00B846E6"/>
    <w:rsid w:val="00B848B0"/>
    <w:rsid w:val="00B84E0A"/>
    <w:rsid w:val="00B84EA3"/>
    <w:rsid w:val="00B85306"/>
    <w:rsid w:val="00B85412"/>
    <w:rsid w:val="00B857BF"/>
    <w:rsid w:val="00B86901"/>
    <w:rsid w:val="00B8714D"/>
    <w:rsid w:val="00B87359"/>
    <w:rsid w:val="00B87589"/>
    <w:rsid w:val="00B87A91"/>
    <w:rsid w:val="00B87BFF"/>
    <w:rsid w:val="00B90213"/>
    <w:rsid w:val="00B9134B"/>
    <w:rsid w:val="00B917B6"/>
    <w:rsid w:val="00B91951"/>
    <w:rsid w:val="00B91D68"/>
    <w:rsid w:val="00B91E48"/>
    <w:rsid w:val="00B9254D"/>
    <w:rsid w:val="00B92A3C"/>
    <w:rsid w:val="00B92C7C"/>
    <w:rsid w:val="00B92E45"/>
    <w:rsid w:val="00B9379F"/>
    <w:rsid w:val="00B93D6D"/>
    <w:rsid w:val="00B93F0D"/>
    <w:rsid w:val="00B93F15"/>
    <w:rsid w:val="00B947A2"/>
    <w:rsid w:val="00B94821"/>
    <w:rsid w:val="00B949CD"/>
    <w:rsid w:val="00B94BC3"/>
    <w:rsid w:val="00B94EBC"/>
    <w:rsid w:val="00B95054"/>
    <w:rsid w:val="00B953EC"/>
    <w:rsid w:val="00B9578F"/>
    <w:rsid w:val="00B95A51"/>
    <w:rsid w:val="00B95B86"/>
    <w:rsid w:val="00B95BB1"/>
    <w:rsid w:val="00B95C9B"/>
    <w:rsid w:val="00B95E0F"/>
    <w:rsid w:val="00B96935"/>
    <w:rsid w:val="00B96E2F"/>
    <w:rsid w:val="00B96EC3"/>
    <w:rsid w:val="00B96F6A"/>
    <w:rsid w:val="00B9710D"/>
    <w:rsid w:val="00B97151"/>
    <w:rsid w:val="00B9715B"/>
    <w:rsid w:val="00B9727E"/>
    <w:rsid w:val="00B973CF"/>
    <w:rsid w:val="00B977A7"/>
    <w:rsid w:val="00B9786C"/>
    <w:rsid w:val="00B979B9"/>
    <w:rsid w:val="00B979D3"/>
    <w:rsid w:val="00B97A5C"/>
    <w:rsid w:val="00BA02F8"/>
    <w:rsid w:val="00BA03B9"/>
    <w:rsid w:val="00BA0440"/>
    <w:rsid w:val="00BA04F2"/>
    <w:rsid w:val="00BA0692"/>
    <w:rsid w:val="00BA09EA"/>
    <w:rsid w:val="00BA126B"/>
    <w:rsid w:val="00BA181B"/>
    <w:rsid w:val="00BA1C89"/>
    <w:rsid w:val="00BA1D49"/>
    <w:rsid w:val="00BA1F16"/>
    <w:rsid w:val="00BA20DF"/>
    <w:rsid w:val="00BA20F8"/>
    <w:rsid w:val="00BA2714"/>
    <w:rsid w:val="00BA299A"/>
    <w:rsid w:val="00BA2A60"/>
    <w:rsid w:val="00BA2E4B"/>
    <w:rsid w:val="00BA2F4A"/>
    <w:rsid w:val="00BA313D"/>
    <w:rsid w:val="00BA3832"/>
    <w:rsid w:val="00BA44E6"/>
    <w:rsid w:val="00BA46D0"/>
    <w:rsid w:val="00BA47B3"/>
    <w:rsid w:val="00BA4A70"/>
    <w:rsid w:val="00BA4CA8"/>
    <w:rsid w:val="00BA509A"/>
    <w:rsid w:val="00BA5140"/>
    <w:rsid w:val="00BA55E6"/>
    <w:rsid w:val="00BA562C"/>
    <w:rsid w:val="00BA57A8"/>
    <w:rsid w:val="00BA59EF"/>
    <w:rsid w:val="00BA5E90"/>
    <w:rsid w:val="00BA613D"/>
    <w:rsid w:val="00BA616D"/>
    <w:rsid w:val="00BA623F"/>
    <w:rsid w:val="00BA6485"/>
    <w:rsid w:val="00BA68FC"/>
    <w:rsid w:val="00BA69E1"/>
    <w:rsid w:val="00BA7073"/>
    <w:rsid w:val="00BA70A1"/>
    <w:rsid w:val="00BA718D"/>
    <w:rsid w:val="00BA73C1"/>
    <w:rsid w:val="00BA741F"/>
    <w:rsid w:val="00BA77BB"/>
    <w:rsid w:val="00BA7EE4"/>
    <w:rsid w:val="00BB01E6"/>
    <w:rsid w:val="00BB022C"/>
    <w:rsid w:val="00BB0D5F"/>
    <w:rsid w:val="00BB1012"/>
    <w:rsid w:val="00BB118A"/>
    <w:rsid w:val="00BB1404"/>
    <w:rsid w:val="00BB178E"/>
    <w:rsid w:val="00BB198B"/>
    <w:rsid w:val="00BB1B75"/>
    <w:rsid w:val="00BB1D93"/>
    <w:rsid w:val="00BB22E2"/>
    <w:rsid w:val="00BB25BD"/>
    <w:rsid w:val="00BB2657"/>
    <w:rsid w:val="00BB2661"/>
    <w:rsid w:val="00BB2E0E"/>
    <w:rsid w:val="00BB320D"/>
    <w:rsid w:val="00BB3347"/>
    <w:rsid w:val="00BB370B"/>
    <w:rsid w:val="00BB38D1"/>
    <w:rsid w:val="00BB3B14"/>
    <w:rsid w:val="00BB3BD3"/>
    <w:rsid w:val="00BB3D62"/>
    <w:rsid w:val="00BB3DBF"/>
    <w:rsid w:val="00BB409D"/>
    <w:rsid w:val="00BB45C5"/>
    <w:rsid w:val="00BB4642"/>
    <w:rsid w:val="00BB4A46"/>
    <w:rsid w:val="00BB4E34"/>
    <w:rsid w:val="00BB4F78"/>
    <w:rsid w:val="00BB503D"/>
    <w:rsid w:val="00BB52C7"/>
    <w:rsid w:val="00BB5773"/>
    <w:rsid w:val="00BB58B5"/>
    <w:rsid w:val="00BB5BDC"/>
    <w:rsid w:val="00BB5CCB"/>
    <w:rsid w:val="00BB65C5"/>
    <w:rsid w:val="00BB6DB2"/>
    <w:rsid w:val="00BB7343"/>
    <w:rsid w:val="00BB75CB"/>
    <w:rsid w:val="00BB7886"/>
    <w:rsid w:val="00BB78F1"/>
    <w:rsid w:val="00BB7F92"/>
    <w:rsid w:val="00BC0675"/>
    <w:rsid w:val="00BC0B5B"/>
    <w:rsid w:val="00BC0D85"/>
    <w:rsid w:val="00BC0EE4"/>
    <w:rsid w:val="00BC1643"/>
    <w:rsid w:val="00BC1738"/>
    <w:rsid w:val="00BC1E43"/>
    <w:rsid w:val="00BC259A"/>
    <w:rsid w:val="00BC28AE"/>
    <w:rsid w:val="00BC2A32"/>
    <w:rsid w:val="00BC2AB8"/>
    <w:rsid w:val="00BC2B08"/>
    <w:rsid w:val="00BC2C01"/>
    <w:rsid w:val="00BC2CBE"/>
    <w:rsid w:val="00BC2FF2"/>
    <w:rsid w:val="00BC3421"/>
    <w:rsid w:val="00BC35BE"/>
    <w:rsid w:val="00BC4234"/>
    <w:rsid w:val="00BC44CE"/>
    <w:rsid w:val="00BC4504"/>
    <w:rsid w:val="00BC4B6F"/>
    <w:rsid w:val="00BC4D5D"/>
    <w:rsid w:val="00BC4F03"/>
    <w:rsid w:val="00BC51C2"/>
    <w:rsid w:val="00BC56B6"/>
    <w:rsid w:val="00BC59AE"/>
    <w:rsid w:val="00BC5F80"/>
    <w:rsid w:val="00BC611E"/>
    <w:rsid w:val="00BC61C8"/>
    <w:rsid w:val="00BC61F2"/>
    <w:rsid w:val="00BC6592"/>
    <w:rsid w:val="00BC6864"/>
    <w:rsid w:val="00BC6927"/>
    <w:rsid w:val="00BC6BBB"/>
    <w:rsid w:val="00BC6DF0"/>
    <w:rsid w:val="00BC6F84"/>
    <w:rsid w:val="00BC783F"/>
    <w:rsid w:val="00BC7A66"/>
    <w:rsid w:val="00BC7C19"/>
    <w:rsid w:val="00BC7C20"/>
    <w:rsid w:val="00BC7C25"/>
    <w:rsid w:val="00BC7D51"/>
    <w:rsid w:val="00BC7FA7"/>
    <w:rsid w:val="00BD068D"/>
    <w:rsid w:val="00BD08C5"/>
    <w:rsid w:val="00BD0950"/>
    <w:rsid w:val="00BD0EC7"/>
    <w:rsid w:val="00BD1252"/>
    <w:rsid w:val="00BD141C"/>
    <w:rsid w:val="00BD15FB"/>
    <w:rsid w:val="00BD1993"/>
    <w:rsid w:val="00BD1C5B"/>
    <w:rsid w:val="00BD1C82"/>
    <w:rsid w:val="00BD254E"/>
    <w:rsid w:val="00BD28BA"/>
    <w:rsid w:val="00BD29EB"/>
    <w:rsid w:val="00BD2A5D"/>
    <w:rsid w:val="00BD2EEA"/>
    <w:rsid w:val="00BD2F68"/>
    <w:rsid w:val="00BD32A8"/>
    <w:rsid w:val="00BD374C"/>
    <w:rsid w:val="00BD38F0"/>
    <w:rsid w:val="00BD3F77"/>
    <w:rsid w:val="00BD4086"/>
    <w:rsid w:val="00BD420F"/>
    <w:rsid w:val="00BD421E"/>
    <w:rsid w:val="00BD4473"/>
    <w:rsid w:val="00BD47A7"/>
    <w:rsid w:val="00BD4C1D"/>
    <w:rsid w:val="00BD4D08"/>
    <w:rsid w:val="00BD4D62"/>
    <w:rsid w:val="00BD529F"/>
    <w:rsid w:val="00BD52A7"/>
    <w:rsid w:val="00BD52E3"/>
    <w:rsid w:val="00BD5551"/>
    <w:rsid w:val="00BD561E"/>
    <w:rsid w:val="00BD5923"/>
    <w:rsid w:val="00BD5B99"/>
    <w:rsid w:val="00BD6078"/>
    <w:rsid w:val="00BD6516"/>
    <w:rsid w:val="00BD664F"/>
    <w:rsid w:val="00BD6ABC"/>
    <w:rsid w:val="00BD7103"/>
    <w:rsid w:val="00BD71D5"/>
    <w:rsid w:val="00BD727A"/>
    <w:rsid w:val="00BD73B6"/>
    <w:rsid w:val="00BD79E9"/>
    <w:rsid w:val="00BD7A7B"/>
    <w:rsid w:val="00BD7DAC"/>
    <w:rsid w:val="00BE05FB"/>
    <w:rsid w:val="00BE0679"/>
    <w:rsid w:val="00BE07D1"/>
    <w:rsid w:val="00BE083B"/>
    <w:rsid w:val="00BE09ED"/>
    <w:rsid w:val="00BE0D47"/>
    <w:rsid w:val="00BE0D4A"/>
    <w:rsid w:val="00BE0E5D"/>
    <w:rsid w:val="00BE1041"/>
    <w:rsid w:val="00BE1045"/>
    <w:rsid w:val="00BE1228"/>
    <w:rsid w:val="00BE1614"/>
    <w:rsid w:val="00BE1857"/>
    <w:rsid w:val="00BE18CF"/>
    <w:rsid w:val="00BE1999"/>
    <w:rsid w:val="00BE1F96"/>
    <w:rsid w:val="00BE206E"/>
    <w:rsid w:val="00BE21B9"/>
    <w:rsid w:val="00BE2265"/>
    <w:rsid w:val="00BE2622"/>
    <w:rsid w:val="00BE2A8B"/>
    <w:rsid w:val="00BE2EEF"/>
    <w:rsid w:val="00BE2F07"/>
    <w:rsid w:val="00BE3CEA"/>
    <w:rsid w:val="00BE400C"/>
    <w:rsid w:val="00BE41C6"/>
    <w:rsid w:val="00BE49D6"/>
    <w:rsid w:val="00BE5050"/>
    <w:rsid w:val="00BE52A8"/>
    <w:rsid w:val="00BE579C"/>
    <w:rsid w:val="00BE5DE2"/>
    <w:rsid w:val="00BE5FC6"/>
    <w:rsid w:val="00BE6160"/>
    <w:rsid w:val="00BE6245"/>
    <w:rsid w:val="00BE63B3"/>
    <w:rsid w:val="00BE666D"/>
    <w:rsid w:val="00BE6B71"/>
    <w:rsid w:val="00BE71B2"/>
    <w:rsid w:val="00BE776A"/>
    <w:rsid w:val="00BE7AA7"/>
    <w:rsid w:val="00BE7AF4"/>
    <w:rsid w:val="00BE7C33"/>
    <w:rsid w:val="00BE7CC0"/>
    <w:rsid w:val="00BE7E44"/>
    <w:rsid w:val="00BE7F1D"/>
    <w:rsid w:val="00BE7FA5"/>
    <w:rsid w:val="00BF017C"/>
    <w:rsid w:val="00BF0587"/>
    <w:rsid w:val="00BF0661"/>
    <w:rsid w:val="00BF06DB"/>
    <w:rsid w:val="00BF1320"/>
    <w:rsid w:val="00BF1476"/>
    <w:rsid w:val="00BF189E"/>
    <w:rsid w:val="00BF1BF0"/>
    <w:rsid w:val="00BF2219"/>
    <w:rsid w:val="00BF2736"/>
    <w:rsid w:val="00BF2891"/>
    <w:rsid w:val="00BF302D"/>
    <w:rsid w:val="00BF317E"/>
    <w:rsid w:val="00BF35FD"/>
    <w:rsid w:val="00BF39D9"/>
    <w:rsid w:val="00BF3AAE"/>
    <w:rsid w:val="00BF3B21"/>
    <w:rsid w:val="00BF3BB5"/>
    <w:rsid w:val="00BF4090"/>
    <w:rsid w:val="00BF4171"/>
    <w:rsid w:val="00BF4174"/>
    <w:rsid w:val="00BF45E7"/>
    <w:rsid w:val="00BF4739"/>
    <w:rsid w:val="00BF4AA6"/>
    <w:rsid w:val="00BF4AB3"/>
    <w:rsid w:val="00BF4B25"/>
    <w:rsid w:val="00BF4FD7"/>
    <w:rsid w:val="00BF5C37"/>
    <w:rsid w:val="00BF5CEB"/>
    <w:rsid w:val="00BF5E6A"/>
    <w:rsid w:val="00BF5EB2"/>
    <w:rsid w:val="00BF6098"/>
    <w:rsid w:val="00BF622C"/>
    <w:rsid w:val="00BF627A"/>
    <w:rsid w:val="00BF6555"/>
    <w:rsid w:val="00BF69C9"/>
    <w:rsid w:val="00BF6E80"/>
    <w:rsid w:val="00BF6F4E"/>
    <w:rsid w:val="00BF71DD"/>
    <w:rsid w:val="00BF7223"/>
    <w:rsid w:val="00BF7A59"/>
    <w:rsid w:val="00BF7DBD"/>
    <w:rsid w:val="00C00517"/>
    <w:rsid w:val="00C00C1A"/>
    <w:rsid w:val="00C012A9"/>
    <w:rsid w:val="00C01350"/>
    <w:rsid w:val="00C01754"/>
    <w:rsid w:val="00C0182C"/>
    <w:rsid w:val="00C01BE7"/>
    <w:rsid w:val="00C01C04"/>
    <w:rsid w:val="00C01CC2"/>
    <w:rsid w:val="00C01CCB"/>
    <w:rsid w:val="00C021C8"/>
    <w:rsid w:val="00C0267B"/>
    <w:rsid w:val="00C026EA"/>
    <w:rsid w:val="00C02A3B"/>
    <w:rsid w:val="00C02DCF"/>
    <w:rsid w:val="00C035ED"/>
    <w:rsid w:val="00C043B7"/>
    <w:rsid w:val="00C048C9"/>
    <w:rsid w:val="00C0491A"/>
    <w:rsid w:val="00C04FA6"/>
    <w:rsid w:val="00C05675"/>
    <w:rsid w:val="00C05743"/>
    <w:rsid w:val="00C0589C"/>
    <w:rsid w:val="00C05EA6"/>
    <w:rsid w:val="00C06021"/>
    <w:rsid w:val="00C061C8"/>
    <w:rsid w:val="00C06471"/>
    <w:rsid w:val="00C067E1"/>
    <w:rsid w:val="00C06A7E"/>
    <w:rsid w:val="00C06CDB"/>
    <w:rsid w:val="00C07577"/>
    <w:rsid w:val="00C07966"/>
    <w:rsid w:val="00C1020F"/>
    <w:rsid w:val="00C10455"/>
    <w:rsid w:val="00C10985"/>
    <w:rsid w:val="00C10BED"/>
    <w:rsid w:val="00C10DCE"/>
    <w:rsid w:val="00C10F79"/>
    <w:rsid w:val="00C11145"/>
    <w:rsid w:val="00C11453"/>
    <w:rsid w:val="00C11489"/>
    <w:rsid w:val="00C1189C"/>
    <w:rsid w:val="00C119FF"/>
    <w:rsid w:val="00C11F1F"/>
    <w:rsid w:val="00C1224D"/>
    <w:rsid w:val="00C12565"/>
    <w:rsid w:val="00C126BA"/>
    <w:rsid w:val="00C12B57"/>
    <w:rsid w:val="00C133FB"/>
    <w:rsid w:val="00C1383F"/>
    <w:rsid w:val="00C13935"/>
    <w:rsid w:val="00C13CDD"/>
    <w:rsid w:val="00C13D96"/>
    <w:rsid w:val="00C1400E"/>
    <w:rsid w:val="00C14143"/>
    <w:rsid w:val="00C143A7"/>
    <w:rsid w:val="00C144B7"/>
    <w:rsid w:val="00C1474C"/>
    <w:rsid w:val="00C14A87"/>
    <w:rsid w:val="00C14AE1"/>
    <w:rsid w:val="00C14B4E"/>
    <w:rsid w:val="00C14E41"/>
    <w:rsid w:val="00C14FA3"/>
    <w:rsid w:val="00C1510B"/>
    <w:rsid w:val="00C1518E"/>
    <w:rsid w:val="00C15371"/>
    <w:rsid w:val="00C1586E"/>
    <w:rsid w:val="00C15A8A"/>
    <w:rsid w:val="00C15DE4"/>
    <w:rsid w:val="00C15F29"/>
    <w:rsid w:val="00C15F68"/>
    <w:rsid w:val="00C161B1"/>
    <w:rsid w:val="00C1653B"/>
    <w:rsid w:val="00C16618"/>
    <w:rsid w:val="00C166DA"/>
    <w:rsid w:val="00C16821"/>
    <w:rsid w:val="00C168C6"/>
    <w:rsid w:val="00C1699C"/>
    <w:rsid w:val="00C16DD0"/>
    <w:rsid w:val="00C1713A"/>
    <w:rsid w:val="00C175E7"/>
    <w:rsid w:val="00C1797F"/>
    <w:rsid w:val="00C17A3B"/>
    <w:rsid w:val="00C17ABA"/>
    <w:rsid w:val="00C17B66"/>
    <w:rsid w:val="00C20091"/>
    <w:rsid w:val="00C200DE"/>
    <w:rsid w:val="00C201BC"/>
    <w:rsid w:val="00C204C1"/>
    <w:rsid w:val="00C20629"/>
    <w:rsid w:val="00C20739"/>
    <w:rsid w:val="00C21459"/>
    <w:rsid w:val="00C21983"/>
    <w:rsid w:val="00C21D25"/>
    <w:rsid w:val="00C22115"/>
    <w:rsid w:val="00C2267A"/>
    <w:rsid w:val="00C226FB"/>
    <w:rsid w:val="00C2279E"/>
    <w:rsid w:val="00C23321"/>
    <w:rsid w:val="00C23562"/>
    <w:rsid w:val="00C236FD"/>
    <w:rsid w:val="00C2388F"/>
    <w:rsid w:val="00C23A01"/>
    <w:rsid w:val="00C240FA"/>
    <w:rsid w:val="00C24476"/>
    <w:rsid w:val="00C24D3F"/>
    <w:rsid w:val="00C255AD"/>
    <w:rsid w:val="00C25CA3"/>
    <w:rsid w:val="00C25CEC"/>
    <w:rsid w:val="00C25F8B"/>
    <w:rsid w:val="00C26287"/>
    <w:rsid w:val="00C2647C"/>
    <w:rsid w:val="00C266C9"/>
    <w:rsid w:val="00C268CF"/>
    <w:rsid w:val="00C26AA1"/>
    <w:rsid w:val="00C271E6"/>
    <w:rsid w:val="00C273DB"/>
    <w:rsid w:val="00C27C99"/>
    <w:rsid w:val="00C27D79"/>
    <w:rsid w:val="00C27E33"/>
    <w:rsid w:val="00C30151"/>
    <w:rsid w:val="00C30211"/>
    <w:rsid w:val="00C30689"/>
    <w:rsid w:val="00C30C39"/>
    <w:rsid w:val="00C30D6C"/>
    <w:rsid w:val="00C30FBB"/>
    <w:rsid w:val="00C31004"/>
    <w:rsid w:val="00C314DD"/>
    <w:rsid w:val="00C314F8"/>
    <w:rsid w:val="00C31830"/>
    <w:rsid w:val="00C31AD0"/>
    <w:rsid w:val="00C31AE1"/>
    <w:rsid w:val="00C32111"/>
    <w:rsid w:val="00C323F4"/>
    <w:rsid w:val="00C324E9"/>
    <w:rsid w:val="00C3254C"/>
    <w:rsid w:val="00C32ACB"/>
    <w:rsid w:val="00C32C25"/>
    <w:rsid w:val="00C339B2"/>
    <w:rsid w:val="00C33A2B"/>
    <w:rsid w:val="00C34313"/>
    <w:rsid w:val="00C34428"/>
    <w:rsid w:val="00C34927"/>
    <w:rsid w:val="00C34E3B"/>
    <w:rsid w:val="00C34E5A"/>
    <w:rsid w:val="00C350A9"/>
    <w:rsid w:val="00C352D8"/>
    <w:rsid w:val="00C35361"/>
    <w:rsid w:val="00C3566B"/>
    <w:rsid w:val="00C35B8D"/>
    <w:rsid w:val="00C35CE4"/>
    <w:rsid w:val="00C364BA"/>
    <w:rsid w:val="00C36687"/>
    <w:rsid w:val="00C36B1A"/>
    <w:rsid w:val="00C36BB9"/>
    <w:rsid w:val="00C36D02"/>
    <w:rsid w:val="00C37B6C"/>
    <w:rsid w:val="00C37B7B"/>
    <w:rsid w:val="00C37DE6"/>
    <w:rsid w:val="00C37E7E"/>
    <w:rsid w:val="00C4069A"/>
    <w:rsid w:val="00C40CF2"/>
    <w:rsid w:val="00C40E2E"/>
    <w:rsid w:val="00C40EB1"/>
    <w:rsid w:val="00C40FFC"/>
    <w:rsid w:val="00C410C2"/>
    <w:rsid w:val="00C4114C"/>
    <w:rsid w:val="00C41411"/>
    <w:rsid w:val="00C41881"/>
    <w:rsid w:val="00C41AF4"/>
    <w:rsid w:val="00C41BE5"/>
    <w:rsid w:val="00C41CC3"/>
    <w:rsid w:val="00C41DED"/>
    <w:rsid w:val="00C41FFF"/>
    <w:rsid w:val="00C42529"/>
    <w:rsid w:val="00C42A8B"/>
    <w:rsid w:val="00C42BFD"/>
    <w:rsid w:val="00C42F4E"/>
    <w:rsid w:val="00C430F0"/>
    <w:rsid w:val="00C43331"/>
    <w:rsid w:val="00C434B5"/>
    <w:rsid w:val="00C4384C"/>
    <w:rsid w:val="00C43E55"/>
    <w:rsid w:val="00C441AB"/>
    <w:rsid w:val="00C446D1"/>
    <w:rsid w:val="00C449FE"/>
    <w:rsid w:val="00C44D8D"/>
    <w:rsid w:val="00C44E2D"/>
    <w:rsid w:val="00C45337"/>
    <w:rsid w:val="00C453DF"/>
    <w:rsid w:val="00C45CA6"/>
    <w:rsid w:val="00C45F2B"/>
    <w:rsid w:val="00C4638B"/>
    <w:rsid w:val="00C46554"/>
    <w:rsid w:val="00C4663B"/>
    <w:rsid w:val="00C467AA"/>
    <w:rsid w:val="00C467DC"/>
    <w:rsid w:val="00C46BA3"/>
    <w:rsid w:val="00C46F45"/>
    <w:rsid w:val="00C4714F"/>
    <w:rsid w:val="00C475DF"/>
    <w:rsid w:val="00C47AAA"/>
    <w:rsid w:val="00C47B44"/>
    <w:rsid w:val="00C47C8A"/>
    <w:rsid w:val="00C47D3C"/>
    <w:rsid w:val="00C47E5E"/>
    <w:rsid w:val="00C502C5"/>
    <w:rsid w:val="00C50398"/>
    <w:rsid w:val="00C504B9"/>
    <w:rsid w:val="00C5084D"/>
    <w:rsid w:val="00C509E3"/>
    <w:rsid w:val="00C50A22"/>
    <w:rsid w:val="00C50F3C"/>
    <w:rsid w:val="00C516B3"/>
    <w:rsid w:val="00C5173D"/>
    <w:rsid w:val="00C51838"/>
    <w:rsid w:val="00C5195D"/>
    <w:rsid w:val="00C51D61"/>
    <w:rsid w:val="00C51D91"/>
    <w:rsid w:val="00C522EC"/>
    <w:rsid w:val="00C523AE"/>
    <w:rsid w:val="00C52813"/>
    <w:rsid w:val="00C52B2A"/>
    <w:rsid w:val="00C52B4E"/>
    <w:rsid w:val="00C52D5A"/>
    <w:rsid w:val="00C5325F"/>
    <w:rsid w:val="00C533D6"/>
    <w:rsid w:val="00C535E7"/>
    <w:rsid w:val="00C53B1B"/>
    <w:rsid w:val="00C53B6E"/>
    <w:rsid w:val="00C53D84"/>
    <w:rsid w:val="00C53F79"/>
    <w:rsid w:val="00C542C7"/>
    <w:rsid w:val="00C54514"/>
    <w:rsid w:val="00C54861"/>
    <w:rsid w:val="00C54F04"/>
    <w:rsid w:val="00C5521B"/>
    <w:rsid w:val="00C555AC"/>
    <w:rsid w:val="00C55967"/>
    <w:rsid w:val="00C55A17"/>
    <w:rsid w:val="00C55B81"/>
    <w:rsid w:val="00C55CEE"/>
    <w:rsid w:val="00C560BD"/>
    <w:rsid w:val="00C563BA"/>
    <w:rsid w:val="00C56628"/>
    <w:rsid w:val="00C56692"/>
    <w:rsid w:val="00C56A20"/>
    <w:rsid w:val="00C57606"/>
    <w:rsid w:val="00C5760E"/>
    <w:rsid w:val="00C57785"/>
    <w:rsid w:val="00C57869"/>
    <w:rsid w:val="00C57DE4"/>
    <w:rsid w:val="00C604A1"/>
    <w:rsid w:val="00C607CC"/>
    <w:rsid w:val="00C609E6"/>
    <w:rsid w:val="00C60B99"/>
    <w:rsid w:val="00C61256"/>
    <w:rsid w:val="00C612A4"/>
    <w:rsid w:val="00C612D7"/>
    <w:rsid w:val="00C620D0"/>
    <w:rsid w:val="00C623CA"/>
    <w:rsid w:val="00C62544"/>
    <w:rsid w:val="00C62819"/>
    <w:rsid w:val="00C6289E"/>
    <w:rsid w:val="00C629FA"/>
    <w:rsid w:val="00C62CF4"/>
    <w:rsid w:val="00C62EC4"/>
    <w:rsid w:val="00C63029"/>
    <w:rsid w:val="00C63113"/>
    <w:rsid w:val="00C63812"/>
    <w:rsid w:val="00C63845"/>
    <w:rsid w:val="00C63C12"/>
    <w:rsid w:val="00C64404"/>
    <w:rsid w:val="00C644BB"/>
    <w:rsid w:val="00C64746"/>
    <w:rsid w:val="00C6490C"/>
    <w:rsid w:val="00C64FDF"/>
    <w:rsid w:val="00C65078"/>
    <w:rsid w:val="00C652A3"/>
    <w:rsid w:val="00C652EF"/>
    <w:rsid w:val="00C655EC"/>
    <w:rsid w:val="00C65788"/>
    <w:rsid w:val="00C65974"/>
    <w:rsid w:val="00C65B2A"/>
    <w:rsid w:val="00C65BA4"/>
    <w:rsid w:val="00C65C65"/>
    <w:rsid w:val="00C65D30"/>
    <w:rsid w:val="00C6614F"/>
    <w:rsid w:val="00C66212"/>
    <w:rsid w:val="00C6654D"/>
    <w:rsid w:val="00C66670"/>
    <w:rsid w:val="00C666B7"/>
    <w:rsid w:val="00C6684B"/>
    <w:rsid w:val="00C669E9"/>
    <w:rsid w:val="00C66B4A"/>
    <w:rsid w:val="00C66B8E"/>
    <w:rsid w:val="00C67408"/>
    <w:rsid w:val="00C674DD"/>
    <w:rsid w:val="00C67795"/>
    <w:rsid w:val="00C6797B"/>
    <w:rsid w:val="00C67B00"/>
    <w:rsid w:val="00C703D3"/>
    <w:rsid w:val="00C70544"/>
    <w:rsid w:val="00C71399"/>
    <w:rsid w:val="00C71539"/>
    <w:rsid w:val="00C71858"/>
    <w:rsid w:val="00C71A0F"/>
    <w:rsid w:val="00C71BE6"/>
    <w:rsid w:val="00C71E09"/>
    <w:rsid w:val="00C726F7"/>
    <w:rsid w:val="00C72A7F"/>
    <w:rsid w:val="00C72A92"/>
    <w:rsid w:val="00C72B10"/>
    <w:rsid w:val="00C737BD"/>
    <w:rsid w:val="00C737F9"/>
    <w:rsid w:val="00C73919"/>
    <w:rsid w:val="00C73B88"/>
    <w:rsid w:val="00C73CA6"/>
    <w:rsid w:val="00C7417A"/>
    <w:rsid w:val="00C7420D"/>
    <w:rsid w:val="00C74444"/>
    <w:rsid w:val="00C746FE"/>
    <w:rsid w:val="00C74906"/>
    <w:rsid w:val="00C74C20"/>
    <w:rsid w:val="00C74C61"/>
    <w:rsid w:val="00C74F04"/>
    <w:rsid w:val="00C74F5E"/>
    <w:rsid w:val="00C75515"/>
    <w:rsid w:val="00C756F7"/>
    <w:rsid w:val="00C75885"/>
    <w:rsid w:val="00C759FC"/>
    <w:rsid w:val="00C76179"/>
    <w:rsid w:val="00C76815"/>
    <w:rsid w:val="00C769B9"/>
    <w:rsid w:val="00C769EA"/>
    <w:rsid w:val="00C76A31"/>
    <w:rsid w:val="00C76DAD"/>
    <w:rsid w:val="00C772E8"/>
    <w:rsid w:val="00C7786D"/>
    <w:rsid w:val="00C7789C"/>
    <w:rsid w:val="00C77B2B"/>
    <w:rsid w:val="00C77EC8"/>
    <w:rsid w:val="00C77F0F"/>
    <w:rsid w:val="00C8067D"/>
    <w:rsid w:val="00C80754"/>
    <w:rsid w:val="00C819F8"/>
    <w:rsid w:val="00C81A06"/>
    <w:rsid w:val="00C823E5"/>
    <w:rsid w:val="00C824AD"/>
    <w:rsid w:val="00C8258B"/>
    <w:rsid w:val="00C82AF7"/>
    <w:rsid w:val="00C830DE"/>
    <w:rsid w:val="00C832D9"/>
    <w:rsid w:val="00C834AB"/>
    <w:rsid w:val="00C8363D"/>
    <w:rsid w:val="00C83A6B"/>
    <w:rsid w:val="00C83A9E"/>
    <w:rsid w:val="00C8448D"/>
    <w:rsid w:val="00C853F8"/>
    <w:rsid w:val="00C858CB"/>
    <w:rsid w:val="00C866AA"/>
    <w:rsid w:val="00C867E1"/>
    <w:rsid w:val="00C8692E"/>
    <w:rsid w:val="00C869B3"/>
    <w:rsid w:val="00C86A05"/>
    <w:rsid w:val="00C87570"/>
    <w:rsid w:val="00C875B8"/>
    <w:rsid w:val="00C87602"/>
    <w:rsid w:val="00C877E9"/>
    <w:rsid w:val="00C877EC"/>
    <w:rsid w:val="00C87ADD"/>
    <w:rsid w:val="00C87CB8"/>
    <w:rsid w:val="00C87D4E"/>
    <w:rsid w:val="00C87EC6"/>
    <w:rsid w:val="00C87FBF"/>
    <w:rsid w:val="00C901CB"/>
    <w:rsid w:val="00C90612"/>
    <w:rsid w:val="00C9068D"/>
    <w:rsid w:val="00C90AD3"/>
    <w:rsid w:val="00C90BDD"/>
    <w:rsid w:val="00C91CA7"/>
    <w:rsid w:val="00C91E8D"/>
    <w:rsid w:val="00C91F77"/>
    <w:rsid w:val="00C92235"/>
    <w:rsid w:val="00C9231C"/>
    <w:rsid w:val="00C924E8"/>
    <w:rsid w:val="00C92AA6"/>
    <w:rsid w:val="00C92B0A"/>
    <w:rsid w:val="00C92BE5"/>
    <w:rsid w:val="00C9301B"/>
    <w:rsid w:val="00C9302E"/>
    <w:rsid w:val="00C933C1"/>
    <w:rsid w:val="00C9340C"/>
    <w:rsid w:val="00C936D8"/>
    <w:rsid w:val="00C940CD"/>
    <w:rsid w:val="00C94A90"/>
    <w:rsid w:val="00C94AD4"/>
    <w:rsid w:val="00C94DA2"/>
    <w:rsid w:val="00C94FA8"/>
    <w:rsid w:val="00C95237"/>
    <w:rsid w:val="00C95519"/>
    <w:rsid w:val="00C95521"/>
    <w:rsid w:val="00C957D3"/>
    <w:rsid w:val="00C9595D"/>
    <w:rsid w:val="00C9598D"/>
    <w:rsid w:val="00C9599B"/>
    <w:rsid w:val="00C95AA3"/>
    <w:rsid w:val="00C95B4B"/>
    <w:rsid w:val="00C95C27"/>
    <w:rsid w:val="00C95EF6"/>
    <w:rsid w:val="00C96005"/>
    <w:rsid w:val="00C96107"/>
    <w:rsid w:val="00C964E7"/>
    <w:rsid w:val="00C9681B"/>
    <w:rsid w:val="00C96881"/>
    <w:rsid w:val="00C9692F"/>
    <w:rsid w:val="00C96B76"/>
    <w:rsid w:val="00C96BD3"/>
    <w:rsid w:val="00C96E5A"/>
    <w:rsid w:val="00C97214"/>
    <w:rsid w:val="00C9775D"/>
    <w:rsid w:val="00C977A4"/>
    <w:rsid w:val="00C977BC"/>
    <w:rsid w:val="00C97A98"/>
    <w:rsid w:val="00C97BC8"/>
    <w:rsid w:val="00C97F3E"/>
    <w:rsid w:val="00CA005D"/>
    <w:rsid w:val="00CA0106"/>
    <w:rsid w:val="00CA0222"/>
    <w:rsid w:val="00CA05CC"/>
    <w:rsid w:val="00CA09E3"/>
    <w:rsid w:val="00CA0E42"/>
    <w:rsid w:val="00CA11DA"/>
    <w:rsid w:val="00CA12A3"/>
    <w:rsid w:val="00CA1648"/>
    <w:rsid w:val="00CA1C0E"/>
    <w:rsid w:val="00CA1CFD"/>
    <w:rsid w:val="00CA1D06"/>
    <w:rsid w:val="00CA2290"/>
    <w:rsid w:val="00CA24BD"/>
    <w:rsid w:val="00CA2888"/>
    <w:rsid w:val="00CA2AC0"/>
    <w:rsid w:val="00CA2B58"/>
    <w:rsid w:val="00CA2C2B"/>
    <w:rsid w:val="00CA2D70"/>
    <w:rsid w:val="00CA2F71"/>
    <w:rsid w:val="00CA39A5"/>
    <w:rsid w:val="00CA3AEC"/>
    <w:rsid w:val="00CA3F71"/>
    <w:rsid w:val="00CA4630"/>
    <w:rsid w:val="00CA469F"/>
    <w:rsid w:val="00CA4DE6"/>
    <w:rsid w:val="00CA5182"/>
    <w:rsid w:val="00CA5188"/>
    <w:rsid w:val="00CA552F"/>
    <w:rsid w:val="00CA5646"/>
    <w:rsid w:val="00CA5D59"/>
    <w:rsid w:val="00CA611F"/>
    <w:rsid w:val="00CA63CE"/>
    <w:rsid w:val="00CA6568"/>
    <w:rsid w:val="00CA6808"/>
    <w:rsid w:val="00CA6902"/>
    <w:rsid w:val="00CA693D"/>
    <w:rsid w:val="00CA6B72"/>
    <w:rsid w:val="00CA6DD6"/>
    <w:rsid w:val="00CA6E2D"/>
    <w:rsid w:val="00CA7065"/>
    <w:rsid w:val="00CA7270"/>
    <w:rsid w:val="00CA7414"/>
    <w:rsid w:val="00CA7AEC"/>
    <w:rsid w:val="00CA7D25"/>
    <w:rsid w:val="00CA7E22"/>
    <w:rsid w:val="00CB05B7"/>
    <w:rsid w:val="00CB0681"/>
    <w:rsid w:val="00CB08CE"/>
    <w:rsid w:val="00CB0BB5"/>
    <w:rsid w:val="00CB0D37"/>
    <w:rsid w:val="00CB0F18"/>
    <w:rsid w:val="00CB1184"/>
    <w:rsid w:val="00CB19D2"/>
    <w:rsid w:val="00CB1BB9"/>
    <w:rsid w:val="00CB1E65"/>
    <w:rsid w:val="00CB1E7D"/>
    <w:rsid w:val="00CB1EB3"/>
    <w:rsid w:val="00CB24E4"/>
    <w:rsid w:val="00CB2525"/>
    <w:rsid w:val="00CB2B96"/>
    <w:rsid w:val="00CB3016"/>
    <w:rsid w:val="00CB3028"/>
    <w:rsid w:val="00CB30C5"/>
    <w:rsid w:val="00CB36EA"/>
    <w:rsid w:val="00CB3AD5"/>
    <w:rsid w:val="00CB3D3F"/>
    <w:rsid w:val="00CB3E37"/>
    <w:rsid w:val="00CB44D2"/>
    <w:rsid w:val="00CB4A13"/>
    <w:rsid w:val="00CB4AD4"/>
    <w:rsid w:val="00CB528C"/>
    <w:rsid w:val="00CB54AD"/>
    <w:rsid w:val="00CB5B2D"/>
    <w:rsid w:val="00CB673D"/>
    <w:rsid w:val="00CB70CD"/>
    <w:rsid w:val="00CB7239"/>
    <w:rsid w:val="00CB7470"/>
    <w:rsid w:val="00CB7629"/>
    <w:rsid w:val="00CB77AC"/>
    <w:rsid w:val="00CB783E"/>
    <w:rsid w:val="00CB7C4A"/>
    <w:rsid w:val="00CB7D69"/>
    <w:rsid w:val="00CB7F13"/>
    <w:rsid w:val="00CB7F15"/>
    <w:rsid w:val="00CB7F4A"/>
    <w:rsid w:val="00CB7F4E"/>
    <w:rsid w:val="00CC04E1"/>
    <w:rsid w:val="00CC0736"/>
    <w:rsid w:val="00CC073F"/>
    <w:rsid w:val="00CC0A3E"/>
    <w:rsid w:val="00CC0A72"/>
    <w:rsid w:val="00CC0E09"/>
    <w:rsid w:val="00CC10BF"/>
    <w:rsid w:val="00CC1117"/>
    <w:rsid w:val="00CC17E6"/>
    <w:rsid w:val="00CC1CD2"/>
    <w:rsid w:val="00CC1DD3"/>
    <w:rsid w:val="00CC207E"/>
    <w:rsid w:val="00CC2379"/>
    <w:rsid w:val="00CC2957"/>
    <w:rsid w:val="00CC2FB3"/>
    <w:rsid w:val="00CC3289"/>
    <w:rsid w:val="00CC3444"/>
    <w:rsid w:val="00CC39FD"/>
    <w:rsid w:val="00CC3F0A"/>
    <w:rsid w:val="00CC3FEF"/>
    <w:rsid w:val="00CC40DF"/>
    <w:rsid w:val="00CC4886"/>
    <w:rsid w:val="00CC4D73"/>
    <w:rsid w:val="00CC4E8D"/>
    <w:rsid w:val="00CC50DD"/>
    <w:rsid w:val="00CC534D"/>
    <w:rsid w:val="00CC5663"/>
    <w:rsid w:val="00CC56A7"/>
    <w:rsid w:val="00CC5B95"/>
    <w:rsid w:val="00CC5BB3"/>
    <w:rsid w:val="00CC5CB9"/>
    <w:rsid w:val="00CC5EAB"/>
    <w:rsid w:val="00CC5F23"/>
    <w:rsid w:val="00CC64D9"/>
    <w:rsid w:val="00CC6EEA"/>
    <w:rsid w:val="00CC73B7"/>
    <w:rsid w:val="00CC7504"/>
    <w:rsid w:val="00CC7808"/>
    <w:rsid w:val="00CC790B"/>
    <w:rsid w:val="00CC7A46"/>
    <w:rsid w:val="00CC7DBC"/>
    <w:rsid w:val="00CD0718"/>
    <w:rsid w:val="00CD0BDE"/>
    <w:rsid w:val="00CD1202"/>
    <w:rsid w:val="00CD1574"/>
    <w:rsid w:val="00CD18E9"/>
    <w:rsid w:val="00CD19B8"/>
    <w:rsid w:val="00CD3069"/>
    <w:rsid w:val="00CD3428"/>
    <w:rsid w:val="00CD47AB"/>
    <w:rsid w:val="00CD4CA3"/>
    <w:rsid w:val="00CD4D46"/>
    <w:rsid w:val="00CD533C"/>
    <w:rsid w:val="00CD53F5"/>
    <w:rsid w:val="00CD5700"/>
    <w:rsid w:val="00CD59C1"/>
    <w:rsid w:val="00CD5BDC"/>
    <w:rsid w:val="00CD5FAD"/>
    <w:rsid w:val="00CD6005"/>
    <w:rsid w:val="00CD6389"/>
    <w:rsid w:val="00CD64A1"/>
    <w:rsid w:val="00CD659B"/>
    <w:rsid w:val="00CD66D3"/>
    <w:rsid w:val="00CD699C"/>
    <w:rsid w:val="00CD6C49"/>
    <w:rsid w:val="00CD73C2"/>
    <w:rsid w:val="00CD7753"/>
    <w:rsid w:val="00CD777D"/>
    <w:rsid w:val="00CD7EEF"/>
    <w:rsid w:val="00CE0098"/>
    <w:rsid w:val="00CE0335"/>
    <w:rsid w:val="00CE0399"/>
    <w:rsid w:val="00CE03B3"/>
    <w:rsid w:val="00CE04AF"/>
    <w:rsid w:val="00CE0578"/>
    <w:rsid w:val="00CE063B"/>
    <w:rsid w:val="00CE071F"/>
    <w:rsid w:val="00CE0A73"/>
    <w:rsid w:val="00CE1217"/>
    <w:rsid w:val="00CE13C5"/>
    <w:rsid w:val="00CE17E1"/>
    <w:rsid w:val="00CE1F24"/>
    <w:rsid w:val="00CE2393"/>
    <w:rsid w:val="00CE2495"/>
    <w:rsid w:val="00CE2C32"/>
    <w:rsid w:val="00CE43FD"/>
    <w:rsid w:val="00CE4484"/>
    <w:rsid w:val="00CE4623"/>
    <w:rsid w:val="00CE4741"/>
    <w:rsid w:val="00CE5066"/>
    <w:rsid w:val="00CE522A"/>
    <w:rsid w:val="00CE56A4"/>
    <w:rsid w:val="00CE58AB"/>
    <w:rsid w:val="00CE5A09"/>
    <w:rsid w:val="00CE5AD5"/>
    <w:rsid w:val="00CE5D4E"/>
    <w:rsid w:val="00CE68CE"/>
    <w:rsid w:val="00CE6DC6"/>
    <w:rsid w:val="00CE78E4"/>
    <w:rsid w:val="00CE7AF0"/>
    <w:rsid w:val="00CF0067"/>
    <w:rsid w:val="00CF0180"/>
    <w:rsid w:val="00CF023A"/>
    <w:rsid w:val="00CF0E6E"/>
    <w:rsid w:val="00CF13FE"/>
    <w:rsid w:val="00CF1640"/>
    <w:rsid w:val="00CF1796"/>
    <w:rsid w:val="00CF1AAB"/>
    <w:rsid w:val="00CF1B8B"/>
    <w:rsid w:val="00CF22D4"/>
    <w:rsid w:val="00CF23DF"/>
    <w:rsid w:val="00CF24B3"/>
    <w:rsid w:val="00CF26C7"/>
    <w:rsid w:val="00CF277A"/>
    <w:rsid w:val="00CF28A5"/>
    <w:rsid w:val="00CF29CD"/>
    <w:rsid w:val="00CF2CD5"/>
    <w:rsid w:val="00CF2E5A"/>
    <w:rsid w:val="00CF325A"/>
    <w:rsid w:val="00CF33DA"/>
    <w:rsid w:val="00CF35CF"/>
    <w:rsid w:val="00CF3945"/>
    <w:rsid w:val="00CF43F3"/>
    <w:rsid w:val="00CF451B"/>
    <w:rsid w:val="00CF4821"/>
    <w:rsid w:val="00CF49E5"/>
    <w:rsid w:val="00CF4C0E"/>
    <w:rsid w:val="00CF5062"/>
    <w:rsid w:val="00CF50C6"/>
    <w:rsid w:val="00CF5122"/>
    <w:rsid w:val="00CF52AE"/>
    <w:rsid w:val="00CF570C"/>
    <w:rsid w:val="00CF5929"/>
    <w:rsid w:val="00CF5CC5"/>
    <w:rsid w:val="00CF605F"/>
    <w:rsid w:val="00CF651F"/>
    <w:rsid w:val="00CF6B57"/>
    <w:rsid w:val="00CF6F60"/>
    <w:rsid w:val="00CF7039"/>
    <w:rsid w:val="00CF717F"/>
    <w:rsid w:val="00CF72D0"/>
    <w:rsid w:val="00CF74BC"/>
    <w:rsid w:val="00CF756C"/>
    <w:rsid w:val="00CF75E1"/>
    <w:rsid w:val="00CF768A"/>
    <w:rsid w:val="00CF7BD7"/>
    <w:rsid w:val="00CF7E57"/>
    <w:rsid w:val="00D004C6"/>
    <w:rsid w:val="00D00608"/>
    <w:rsid w:val="00D0066D"/>
    <w:rsid w:val="00D00765"/>
    <w:rsid w:val="00D0079A"/>
    <w:rsid w:val="00D007DB"/>
    <w:rsid w:val="00D00B1A"/>
    <w:rsid w:val="00D00B52"/>
    <w:rsid w:val="00D00F2D"/>
    <w:rsid w:val="00D01633"/>
    <w:rsid w:val="00D01807"/>
    <w:rsid w:val="00D01AE8"/>
    <w:rsid w:val="00D01D60"/>
    <w:rsid w:val="00D02C6D"/>
    <w:rsid w:val="00D0316D"/>
    <w:rsid w:val="00D03293"/>
    <w:rsid w:val="00D037C3"/>
    <w:rsid w:val="00D0385C"/>
    <w:rsid w:val="00D03C08"/>
    <w:rsid w:val="00D03DA1"/>
    <w:rsid w:val="00D03DA8"/>
    <w:rsid w:val="00D04260"/>
    <w:rsid w:val="00D04348"/>
    <w:rsid w:val="00D044AA"/>
    <w:rsid w:val="00D0492C"/>
    <w:rsid w:val="00D04C21"/>
    <w:rsid w:val="00D051CB"/>
    <w:rsid w:val="00D054AE"/>
    <w:rsid w:val="00D05C5B"/>
    <w:rsid w:val="00D0605D"/>
    <w:rsid w:val="00D06132"/>
    <w:rsid w:val="00D0636B"/>
    <w:rsid w:val="00D068E8"/>
    <w:rsid w:val="00D06CCC"/>
    <w:rsid w:val="00D06F58"/>
    <w:rsid w:val="00D072B9"/>
    <w:rsid w:val="00D07497"/>
    <w:rsid w:val="00D103DA"/>
    <w:rsid w:val="00D1042F"/>
    <w:rsid w:val="00D104D8"/>
    <w:rsid w:val="00D10B44"/>
    <w:rsid w:val="00D11636"/>
    <w:rsid w:val="00D11BA3"/>
    <w:rsid w:val="00D11CAB"/>
    <w:rsid w:val="00D11CFE"/>
    <w:rsid w:val="00D1203D"/>
    <w:rsid w:val="00D12056"/>
    <w:rsid w:val="00D1214A"/>
    <w:rsid w:val="00D12266"/>
    <w:rsid w:val="00D124A6"/>
    <w:rsid w:val="00D124FB"/>
    <w:rsid w:val="00D12942"/>
    <w:rsid w:val="00D13D59"/>
    <w:rsid w:val="00D143D5"/>
    <w:rsid w:val="00D1463B"/>
    <w:rsid w:val="00D149D6"/>
    <w:rsid w:val="00D14A1E"/>
    <w:rsid w:val="00D15285"/>
    <w:rsid w:val="00D15650"/>
    <w:rsid w:val="00D15678"/>
    <w:rsid w:val="00D156BF"/>
    <w:rsid w:val="00D156D7"/>
    <w:rsid w:val="00D1592F"/>
    <w:rsid w:val="00D15DBB"/>
    <w:rsid w:val="00D15F6E"/>
    <w:rsid w:val="00D162EF"/>
    <w:rsid w:val="00D16333"/>
    <w:rsid w:val="00D1668C"/>
    <w:rsid w:val="00D1668D"/>
    <w:rsid w:val="00D16804"/>
    <w:rsid w:val="00D16A28"/>
    <w:rsid w:val="00D16D80"/>
    <w:rsid w:val="00D16E19"/>
    <w:rsid w:val="00D17717"/>
    <w:rsid w:val="00D17955"/>
    <w:rsid w:val="00D17DF3"/>
    <w:rsid w:val="00D20020"/>
    <w:rsid w:val="00D201AA"/>
    <w:rsid w:val="00D2026D"/>
    <w:rsid w:val="00D202E9"/>
    <w:rsid w:val="00D2084F"/>
    <w:rsid w:val="00D208AD"/>
    <w:rsid w:val="00D208D4"/>
    <w:rsid w:val="00D20951"/>
    <w:rsid w:val="00D2141B"/>
    <w:rsid w:val="00D219A2"/>
    <w:rsid w:val="00D219AD"/>
    <w:rsid w:val="00D219D3"/>
    <w:rsid w:val="00D21B45"/>
    <w:rsid w:val="00D21B4A"/>
    <w:rsid w:val="00D21D57"/>
    <w:rsid w:val="00D21E0F"/>
    <w:rsid w:val="00D22004"/>
    <w:rsid w:val="00D2285D"/>
    <w:rsid w:val="00D22966"/>
    <w:rsid w:val="00D23004"/>
    <w:rsid w:val="00D230A7"/>
    <w:rsid w:val="00D231A6"/>
    <w:rsid w:val="00D233BF"/>
    <w:rsid w:val="00D23BE6"/>
    <w:rsid w:val="00D23CB7"/>
    <w:rsid w:val="00D23E9F"/>
    <w:rsid w:val="00D23F8F"/>
    <w:rsid w:val="00D2401C"/>
    <w:rsid w:val="00D246D2"/>
    <w:rsid w:val="00D24A6A"/>
    <w:rsid w:val="00D24DC5"/>
    <w:rsid w:val="00D25311"/>
    <w:rsid w:val="00D253CE"/>
    <w:rsid w:val="00D25DC9"/>
    <w:rsid w:val="00D25FB8"/>
    <w:rsid w:val="00D25FC3"/>
    <w:rsid w:val="00D26193"/>
    <w:rsid w:val="00D261D3"/>
    <w:rsid w:val="00D26303"/>
    <w:rsid w:val="00D26382"/>
    <w:rsid w:val="00D26460"/>
    <w:rsid w:val="00D26730"/>
    <w:rsid w:val="00D2695D"/>
    <w:rsid w:val="00D26CB9"/>
    <w:rsid w:val="00D275C8"/>
    <w:rsid w:val="00D27FFE"/>
    <w:rsid w:val="00D31E51"/>
    <w:rsid w:val="00D31F2A"/>
    <w:rsid w:val="00D321F8"/>
    <w:rsid w:val="00D3223C"/>
    <w:rsid w:val="00D3243C"/>
    <w:rsid w:val="00D32577"/>
    <w:rsid w:val="00D32691"/>
    <w:rsid w:val="00D32F19"/>
    <w:rsid w:val="00D33101"/>
    <w:rsid w:val="00D33AC5"/>
    <w:rsid w:val="00D3448F"/>
    <w:rsid w:val="00D346B2"/>
    <w:rsid w:val="00D347AD"/>
    <w:rsid w:val="00D34C10"/>
    <w:rsid w:val="00D35131"/>
    <w:rsid w:val="00D35136"/>
    <w:rsid w:val="00D357ED"/>
    <w:rsid w:val="00D35CD8"/>
    <w:rsid w:val="00D35CF4"/>
    <w:rsid w:val="00D35EA3"/>
    <w:rsid w:val="00D361C6"/>
    <w:rsid w:val="00D362D6"/>
    <w:rsid w:val="00D36387"/>
    <w:rsid w:val="00D36848"/>
    <w:rsid w:val="00D369CA"/>
    <w:rsid w:val="00D36B8F"/>
    <w:rsid w:val="00D36E52"/>
    <w:rsid w:val="00D3727D"/>
    <w:rsid w:val="00D37366"/>
    <w:rsid w:val="00D373BB"/>
    <w:rsid w:val="00D376F7"/>
    <w:rsid w:val="00D378BC"/>
    <w:rsid w:val="00D401C7"/>
    <w:rsid w:val="00D40422"/>
    <w:rsid w:val="00D406B3"/>
    <w:rsid w:val="00D4086B"/>
    <w:rsid w:val="00D40A18"/>
    <w:rsid w:val="00D40B21"/>
    <w:rsid w:val="00D40F14"/>
    <w:rsid w:val="00D40FAC"/>
    <w:rsid w:val="00D41C12"/>
    <w:rsid w:val="00D420F1"/>
    <w:rsid w:val="00D4222F"/>
    <w:rsid w:val="00D4235E"/>
    <w:rsid w:val="00D4261B"/>
    <w:rsid w:val="00D42623"/>
    <w:rsid w:val="00D42805"/>
    <w:rsid w:val="00D42880"/>
    <w:rsid w:val="00D42B44"/>
    <w:rsid w:val="00D42CF4"/>
    <w:rsid w:val="00D431DF"/>
    <w:rsid w:val="00D434BF"/>
    <w:rsid w:val="00D4357A"/>
    <w:rsid w:val="00D437D7"/>
    <w:rsid w:val="00D446E3"/>
    <w:rsid w:val="00D44998"/>
    <w:rsid w:val="00D44D59"/>
    <w:rsid w:val="00D45029"/>
    <w:rsid w:val="00D452B9"/>
    <w:rsid w:val="00D456C0"/>
    <w:rsid w:val="00D45D0E"/>
    <w:rsid w:val="00D45F44"/>
    <w:rsid w:val="00D4624D"/>
    <w:rsid w:val="00D4643B"/>
    <w:rsid w:val="00D467FD"/>
    <w:rsid w:val="00D46955"/>
    <w:rsid w:val="00D469DD"/>
    <w:rsid w:val="00D46E6C"/>
    <w:rsid w:val="00D47298"/>
    <w:rsid w:val="00D4736E"/>
    <w:rsid w:val="00D47677"/>
    <w:rsid w:val="00D478BA"/>
    <w:rsid w:val="00D47AC5"/>
    <w:rsid w:val="00D47EFA"/>
    <w:rsid w:val="00D47FEF"/>
    <w:rsid w:val="00D503FA"/>
    <w:rsid w:val="00D504A0"/>
    <w:rsid w:val="00D50850"/>
    <w:rsid w:val="00D509CF"/>
    <w:rsid w:val="00D5151C"/>
    <w:rsid w:val="00D5172B"/>
    <w:rsid w:val="00D518B8"/>
    <w:rsid w:val="00D51F13"/>
    <w:rsid w:val="00D51F40"/>
    <w:rsid w:val="00D52174"/>
    <w:rsid w:val="00D524DC"/>
    <w:rsid w:val="00D52923"/>
    <w:rsid w:val="00D52C32"/>
    <w:rsid w:val="00D52D25"/>
    <w:rsid w:val="00D52DA9"/>
    <w:rsid w:val="00D53562"/>
    <w:rsid w:val="00D536A8"/>
    <w:rsid w:val="00D54587"/>
    <w:rsid w:val="00D546D1"/>
    <w:rsid w:val="00D54AEF"/>
    <w:rsid w:val="00D54B00"/>
    <w:rsid w:val="00D54BAA"/>
    <w:rsid w:val="00D55230"/>
    <w:rsid w:val="00D55732"/>
    <w:rsid w:val="00D558F9"/>
    <w:rsid w:val="00D55B24"/>
    <w:rsid w:val="00D55BE9"/>
    <w:rsid w:val="00D55E62"/>
    <w:rsid w:val="00D56571"/>
    <w:rsid w:val="00D56640"/>
    <w:rsid w:val="00D56B8B"/>
    <w:rsid w:val="00D56C2B"/>
    <w:rsid w:val="00D56CDA"/>
    <w:rsid w:val="00D5701E"/>
    <w:rsid w:val="00D570F1"/>
    <w:rsid w:val="00D57161"/>
    <w:rsid w:val="00D572BC"/>
    <w:rsid w:val="00D573C6"/>
    <w:rsid w:val="00D57675"/>
    <w:rsid w:val="00D60994"/>
    <w:rsid w:val="00D60AD4"/>
    <w:rsid w:val="00D60C4A"/>
    <w:rsid w:val="00D612DE"/>
    <w:rsid w:val="00D613BF"/>
    <w:rsid w:val="00D617A2"/>
    <w:rsid w:val="00D6186E"/>
    <w:rsid w:val="00D6192E"/>
    <w:rsid w:val="00D61E76"/>
    <w:rsid w:val="00D622C8"/>
    <w:rsid w:val="00D62330"/>
    <w:rsid w:val="00D625D2"/>
    <w:rsid w:val="00D62728"/>
    <w:rsid w:val="00D62935"/>
    <w:rsid w:val="00D62C3C"/>
    <w:rsid w:val="00D62CF2"/>
    <w:rsid w:val="00D63080"/>
    <w:rsid w:val="00D63148"/>
    <w:rsid w:val="00D632D1"/>
    <w:rsid w:val="00D6363B"/>
    <w:rsid w:val="00D63A11"/>
    <w:rsid w:val="00D63AC2"/>
    <w:rsid w:val="00D63B22"/>
    <w:rsid w:val="00D63B69"/>
    <w:rsid w:val="00D63DBD"/>
    <w:rsid w:val="00D63DE0"/>
    <w:rsid w:val="00D63ED2"/>
    <w:rsid w:val="00D64991"/>
    <w:rsid w:val="00D64A0F"/>
    <w:rsid w:val="00D64CC0"/>
    <w:rsid w:val="00D65399"/>
    <w:rsid w:val="00D655F8"/>
    <w:rsid w:val="00D6566C"/>
    <w:rsid w:val="00D65A81"/>
    <w:rsid w:val="00D66035"/>
    <w:rsid w:val="00D66038"/>
    <w:rsid w:val="00D661D3"/>
    <w:rsid w:val="00D66320"/>
    <w:rsid w:val="00D66A7D"/>
    <w:rsid w:val="00D66EFE"/>
    <w:rsid w:val="00D67065"/>
    <w:rsid w:val="00D67151"/>
    <w:rsid w:val="00D672CE"/>
    <w:rsid w:val="00D6794E"/>
    <w:rsid w:val="00D67BCF"/>
    <w:rsid w:val="00D67DF4"/>
    <w:rsid w:val="00D67E86"/>
    <w:rsid w:val="00D67ECD"/>
    <w:rsid w:val="00D7008E"/>
    <w:rsid w:val="00D70353"/>
    <w:rsid w:val="00D703ED"/>
    <w:rsid w:val="00D70882"/>
    <w:rsid w:val="00D70F9B"/>
    <w:rsid w:val="00D710D2"/>
    <w:rsid w:val="00D71404"/>
    <w:rsid w:val="00D71717"/>
    <w:rsid w:val="00D71A61"/>
    <w:rsid w:val="00D71CD3"/>
    <w:rsid w:val="00D71D68"/>
    <w:rsid w:val="00D724B7"/>
    <w:rsid w:val="00D732B2"/>
    <w:rsid w:val="00D73386"/>
    <w:rsid w:val="00D737EF"/>
    <w:rsid w:val="00D74148"/>
    <w:rsid w:val="00D741BE"/>
    <w:rsid w:val="00D745D6"/>
    <w:rsid w:val="00D74736"/>
    <w:rsid w:val="00D74900"/>
    <w:rsid w:val="00D75027"/>
    <w:rsid w:val="00D752AA"/>
    <w:rsid w:val="00D7542A"/>
    <w:rsid w:val="00D75479"/>
    <w:rsid w:val="00D758AD"/>
    <w:rsid w:val="00D75BAB"/>
    <w:rsid w:val="00D760A5"/>
    <w:rsid w:val="00D76104"/>
    <w:rsid w:val="00D761E7"/>
    <w:rsid w:val="00D76239"/>
    <w:rsid w:val="00D76331"/>
    <w:rsid w:val="00D765F1"/>
    <w:rsid w:val="00D7693E"/>
    <w:rsid w:val="00D76990"/>
    <w:rsid w:val="00D76D10"/>
    <w:rsid w:val="00D76FE6"/>
    <w:rsid w:val="00D77073"/>
    <w:rsid w:val="00D77470"/>
    <w:rsid w:val="00D77631"/>
    <w:rsid w:val="00D7767B"/>
    <w:rsid w:val="00D77C2E"/>
    <w:rsid w:val="00D77C9E"/>
    <w:rsid w:val="00D801AA"/>
    <w:rsid w:val="00D804E3"/>
    <w:rsid w:val="00D805C1"/>
    <w:rsid w:val="00D80A99"/>
    <w:rsid w:val="00D80DC3"/>
    <w:rsid w:val="00D81091"/>
    <w:rsid w:val="00D812E6"/>
    <w:rsid w:val="00D81965"/>
    <w:rsid w:val="00D81AA1"/>
    <w:rsid w:val="00D81B8D"/>
    <w:rsid w:val="00D81E70"/>
    <w:rsid w:val="00D82232"/>
    <w:rsid w:val="00D824C3"/>
    <w:rsid w:val="00D824E0"/>
    <w:rsid w:val="00D826AE"/>
    <w:rsid w:val="00D83090"/>
    <w:rsid w:val="00D83123"/>
    <w:rsid w:val="00D8341B"/>
    <w:rsid w:val="00D834E5"/>
    <w:rsid w:val="00D835ED"/>
    <w:rsid w:val="00D83ED5"/>
    <w:rsid w:val="00D84A22"/>
    <w:rsid w:val="00D84C1D"/>
    <w:rsid w:val="00D84D8E"/>
    <w:rsid w:val="00D854C2"/>
    <w:rsid w:val="00D85736"/>
    <w:rsid w:val="00D858C7"/>
    <w:rsid w:val="00D85C3C"/>
    <w:rsid w:val="00D85DFF"/>
    <w:rsid w:val="00D860B8"/>
    <w:rsid w:val="00D864BE"/>
    <w:rsid w:val="00D86529"/>
    <w:rsid w:val="00D86854"/>
    <w:rsid w:val="00D86B11"/>
    <w:rsid w:val="00D86C2C"/>
    <w:rsid w:val="00D870E8"/>
    <w:rsid w:val="00D875C3"/>
    <w:rsid w:val="00D8784C"/>
    <w:rsid w:val="00D90030"/>
    <w:rsid w:val="00D900EE"/>
    <w:rsid w:val="00D9043B"/>
    <w:rsid w:val="00D90532"/>
    <w:rsid w:val="00D90BFB"/>
    <w:rsid w:val="00D90C39"/>
    <w:rsid w:val="00D90DFE"/>
    <w:rsid w:val="00D90FEB"/>
    <w:rsid w:val="00D911B7"/>
    <w:rsid w:val="00D915C7"/>
    <w:rsid w:val="00D91DAD"/>
    <w:rsid w:val="00D9254D"/>
    <w:rsid w:val="00D92A4F"/>
    <w:rsid w:val="00D92D1B"/>
    <w:rsid w:val="00D92D1C"/>
    <w:rsid w:val="00D93195"/>
    <w:rsid w:val="00D93BFE"/>
    <w:rsid w:val="00D93CF4"/>
    <w:rsid w:val="00D93D5F"/>
    <w:rsid w:val="00D93F42"/>
    <w:rsid w:val="00D9405C"/>
    <w:rsid w:val="00D9474E"/>
    <w:rsid w:val="00D947C3"/>
    <w:rsid w:val="00D94B21"/>
    <w:rsid w:val="00D94E93"/>
    <w:rsid w:val="00D94FBA"/>
    <w:rsid w:val="00D95197"/>
    <w:rsid w:val="00D951AB"/>
    <w:rsid w:val="00D95439"/>
    <w:rsid w:val="00D9551F"/>
    <w:rsid w:val="00D955BB"/>
    <w:rsid w:val="00D95823"/>
    <w:rsid w:val="00D958A0"/>
    <w:rsid w:val="00D958B9"/>
    <w:rsid w:val="00D95C5D"/>
    <w:rsid w:val="00D96009"/>
    <w:rsid w:val="00D96278"/>
    <w:rsid w:val="00D96641"/>
    <w:rsid w:val="00D96793"/>
    <w:rsid w:val="00D968A4"/>
    <w:rsid w:val="00D96D02"/>
    <w:rsid w:val="00D97046"/>
    <w:rsid w:val="00D973D5"/>
    <w:rsid w:val="00D97F5B"/>
    <w:rsid w:val="00DA04F9"/>
    <w:rsid w:val="00DA05DA"/>
    <w:rsid w:val="00DA0AE8"/>
    <w:rsid w:val="00DA0E3E"/>
    <w:rsid w:val="00DA1126"/>
    <w:rsid w:val="00DA16E1"/>
    <w:rsid w:val="00DA16E9"/>
    <w:rsid w:val="00DA197C"/>
    <w:rsid w:val="00DA1C69"/>
    <w:rsid w:val="00DA1EA7"/>
    <w:rsid w:val="00DA2358"/>
    <w:rsid w:val="00DA237B"/>
    <w:rsid w:val="00DA2905"/>
    <w:rsid w:val="00DA293D"/>
    <w:rsid w:val="00DA2ABB"/>
    <w:rsid w:val="00DA2C45"/>
    <w:rsid w:val="00DA2EDA"/>
    <w:rsid w:val="00DA309A"/>
    <w:rsid w:val="00DA3229"/>
    <w:rsid w:val="00DA3588"/>
    <w:rsid w:val="00DA371E"/>
    <w:rsid w:val="00DA37B4"/>
    <w:rsid w:val="00DA3825"/>
    <w:rsid w:val="00DA3EA4"/>
    <w:rsid w:val="00DA3EC6"/>
    <w:rsid w:val="00DA3EDE"/>
    <w:rsid w:val="00DA444A"/>
    <w:rsid w:val="00DA452E"/>
    <w:rsid w:val="00DA4755"/>
    <w:rsid w:val="00DA48BC"/>
    <w:rsid w:val="00DA4BD9"/>
    <w:rsid w:val="00DA4C96"/>
    <w:rsid w:val="00DA4D7A"/>
    <w:rsid w:val="00DA4E9A"/>
    <w:rsid w:val="00DA4EC2"/>
    <w:rsid w:val="00DA4F82"/>
    <w:rsid w:val="00DA5212"/>
    <w:rsid w:val="00DA53FE"/>
    <w:rsid w:val="00DA5919"/>
    <w:rsid w:val="00DA5A51"/>
    <w:rsid w:val="00DA5B07"/>
    <w:rsid w:val="00DA5D6F"/>
    <w:rsid w:val="00DA5D98"/>
    <w:rsid w:val="00DA5E60"/>
    <w:rsid w:val="00DA5EA3"/>
    <w:rsid w:val="00DA5F6E"/>
    <w:rsid w:val="00DA622E"/>
    <w:rsid w:val="00DA6293"/>
    <w:rsid w:val="00DA668F"/>
    <w:rsid w:val="00DA692E"/>
    <w:rsid w:val="00DA6DEF"/>
    <w:rsid w:val="00DA70A4"/>
    <w:rsid w:val="00DA7562"/>
    <w:rsid w:val="00DA7857"/>
    <w:rsid w:val="00DB03E5"/>
    <w:rsid w:val="00DB0434"/>
    <w:rsid w:val="00DB04D0"/>
    <w:rsid w:val="00DB069F"/>
    <w:rsid w:val="00DB0777"/>
    <w:rsid w:val="00DB0B9C"/>
    <w:rsid w:val="00DB11F8"/>
    <w:rsid w:val="00DB16D2"/>
    <w:rsid w:val="00DB1763"/>
    <w:rsid w:val="00DB17BC"/>
    <w:rsid w:val="00DB1AE3"/>
    <w:rsid w:val="00DB1C35"/>
    <w:rsid w:val="00DB1DD8"/>
    <w:rsid w:val="00DB22DC"/>
    <w:rsid w:val="00DB296B"/>
    <w:rsid w:val="00DB29A0"/>
    <w:rsid w:val="00DB2A22"/>
    <w:rsid w:val="00DB2AC8"/>
    <w:rsid w:val="00DB328F"/>
    <w:rsid w:val="00DB3381"/>
    <w:rsid w:val="00DB33B9"/>
    <w:rsid w:val="00DB36AE"/>
    <w:rsid w:val="00DB373A"/>
    <w:rsid w:val="00DB37D1"/>
    <w:rsid w:val="00DB3912"/>
    <w:rsid w:val="00DB3C8C"/>
    <w:rsid w:val="00DB3EE2"/>
    <w:rsid w:val="00DB4166"/>
    <w:rsid w:val="00DB437A"/>
    <w:rsid w:val="00DB4777"/>
    <w:rsid w:val="00DB4BC9"/>
    <w:rsid w:val="00DB4BCD"/>
    <w:rsid w:val="00DB5192"/>
    <w:rsid w:val="00DB5259"/>
    <w:rsid w:val="00DB52F8"/>
    <w:rsid w:val="00DB643B"/>
    <w:rsid w:val="00DB644A"/>
    <w:rsid w:val="00DB64EB"/>
    <w:rsid w:val="00DB6D7D"/>
    <w:rsid w:val="00DB7013"/>
    <w:rsid w:val="00DB7156"/>
    <w:rsid w:val="00DB721B"/>
    <w:rsid w:val="00DB7256"/>
    <w:rsid w:val="00DB7371"/>
    <w:rsid w:val="00DB78A8"/>
    <w:rsid w:val="00DB796A"/>
    <w:rsid w:val="00DB7B6A"/>
    <w:rsid w:val="00DB7C2C"/>
    <w:rsid w:val="00DB7E4B"/>
    <w:rsid w:val="00DC0178"/>
    <w:rsid w:val="00DC056C"/>
    <w:rsid w:val="00DC05B1"/>
    <w:rsid w:val="00DC075D"/>
    <w:rsid w:val="00DC0BE9"/>
    <w:rsid w:val="00DC0E3A"/>
    <w:rsid w:val="00DC1ABB"/>
    <w:rsid w:val="00DC1CD4"/>
    <w:rsid w:val="00DC2166"/>
    <w:rsid w:val="00DC250A"/>
    <w:rsid w:val="00DC2712"/>
    <w:rsid w:val="00DC313E"/>
    <w:rsid w:val="00DC3268"/>
    <w:rsid w:val="00DC3754"/>
    <w:rsid w:val="00DC38AA"/>
    <w:rsid w:val="00DC42BA"/>
    <w:rsid w:val="00DC44AD"/>
    <w:rsid w:val="00DC49BA"/>
    <w:rsid w:val="00DC4B56"/>
    <w:rsid w:val="00DC4E70"/>
    <w:rsid w:val="00DC525D"/>
    <w:rsid w:val="00DC5378"/>
    <w:rsid w:val="00DC53F1"/>
    <w:rsid w:val="00DC5D3C"/>
    <w:rsid w:val="00DC651F"/>
    <w:rsid w:val="00DC6C87"/>
    <w:rsid w:val="00DC6CCE"/>
    <w:rsid w:val="00DC6FF8"/>
    <w:rsid w:val="00DC7035"/>
    <w:rsid w:val="00DC704D"/>
    <w:rsid w:val="00DC71A3"/>
    <w:rsid w:val="00DC77CA"/>
    <w:rsid w:val="00DC7C32"/>
    <w:rsid w:val="00DD0171"/>
    <w:rsid w:val="00DD089A"/>
    <w:rsid w:val="00DD09C4"/>
    <w:rsid w:val="00DD0D91"/>
    <w:rsid w:val="00DD0E42"/>
    <w:rsid w:val="00DD1148"/>
    <w:rsid w:val="00DD114E"/>
    <w:rsid w:val="00DD11E0"/>
    <w:rsid w:val="00DD148B"/>
    <w:rsid w:val="00DD1552"/>
    <w:rsid w:val="00DD16F0"/>
    <w:rsid w:val="00DD188C"/>
    <w:rsid w:val="00DD19C8"/>
    <w:rsid w:val="00DD1D77"/>
    <w:rsid w:val="00DD1DB2"/>
    <w:rsid w:val="00DD1EE9"/>
    <w:rsid w:val="00DD239A"/>
    <w:rsid w:val="00DD25AD"/>
    <w:rsid w:val="00DD2AFF"/>
    <w:rsid w:val="00DD2C7B"/>
    <w:rsid w:val="00DD2DF0"/>
    <w:rsid w:val="00DD3073"/>
    <w:rsid w:val="00DD3454"/>
    <w:rsid w:val="00DD38CE"/>
    <w:rsid w:val="00DD3B87"/>
    <w:rsid w:val="00DD3C2E"/>
    <w:rsid w:val="00DD408D"/>
    <w:rsid w:val="00DD40BF"/>
    <w:rsid w:val="00DD41D1"/>
    <w:rsid w:val="00DD41F7"/>
    <w:rsid w:val="00DD44DC"/>
    <w:rsid w:val="00DD4616"/>
    <w:rsid w:val="00DD4C0B"/>
    <w:rsid w:val="00DD4CA1"/>
    <w:rsid w:val="00DD4E5C"/>
    <w:rsid w:val="00DD54DC"/>
    <w:rsid w:val="00DD55EA"/>
    <w:rsid w:val="00DD5678"/>
    <w:rsid w:val="00DD5835"/>
    <w:rsid w:val="00DD6069"/>
    <w:rsid w:val="00DD6239"/>
    <w:rsid w:val="00DD62DF"/>
    <w:rsid w:val="00DD6741"/>
    <w:rsid w:val="00DD6A11"/>
    <w:rsid w:val="00DD6E7E"/>
    <w:rsid w:val="00DD71AD"/>
    <w:rsid w:val="00DD72C7"/>
    <w:rsid w:val="00DD7439"/>
    <w:rsid w:val="00DD77AF"/>
    <w:rsid w:val="00DD7BB4"/>
    <w:rsid w:val="00DD7E91"/>
    <w:rsid w:val="00DE00F3"/>
    <w:rsid w:val="00DE024F"/>
    <w:rsid w:val="00DE02F5"/>
    <w:rsid w:val="00DE07C2"/>
    <w:rsid w:val="00DE0B31"/>
    <w:rsid w:val="00DE0EB1"/>
    <w:rsid w:val="00DE1294"/>
    <w:rsid w:val="00DE159A"/>
    <w:rsid w:val="00DE1CA4"/>
    <w:rsid w:val="00DE1E21"/>
    <w:rsid w:val="00DE25CB"/>
    <w:rsid w:val="00DE2C5F"/>
    <w:rsid w:val="00DE353C"/>
    <w:rsid w:val="00DE363A"/>
    <w:rsid w:val="00DE3B28"/>
    <w:rsid w:val="00DE3FDF"/>
    <w:rsid w:val="00DE422A"/>
    <w:rsid w:val="00DE4765"/>
    <w:rsid w:val="00DE4801"/>
    <w:rsid w:val="00DE48BF"/>
    <w:rsid w:val="00DE4CD6"/>
    <w:rsid w:val="00DE4D0D"/>
    <w:rsid w:val="00DE52C2"/>
    <w:rsid w:val="00DE5525"/>
    <w:rsid w:val="00DE55FC"/>
    <w:rsid w:val="00DE5AF5"/>
    <w:rsid w:val="00DE5C8C"/>
    <w:rsid w:val="00DE6177"/>
    <w:rsid w:val="00DE6239"/>
    <w:rsid w:val="00DE626C"/>
    <w:rsid w:val="00DE62A2"/>
    <w:rsid w:val="00DE6417"/>
    <w:rsid w:val="00DE6959"/>
    <w:rsid w:val="00DE6CD9"/>
    <w:rsid w:val="00DE6CED"/>
    <w:rsid w:val="00DE6E59"/>
    <w:rsid w:val="00DE6F8C"/>
    <w:rsid w:val="00DE7472"/>
    <w:rsid w:val="00DE779A"/>
    <w:rsid w:val="00DE7B8F"/>
    <w:rsid w:val="00DE7E1E"/>
    <w:rsid w:val="00DF0218"/>
    <w:rsid w:val="00DF0355"/>
    <w:rsid w:val="00DF0567"/>
    <w:rsid w:val="00DF0BDE"/>
    <w:rsid w:val="00DF0DED"/>
    <w:rsid w:val="00DF10E7"/>
    <w:rsid w:val="00DF1624"/>
    <w:rsid w:val="00DF16C1"/>
    <w:rsid w:val="00DF2364"/>
    <w:rsid w:val="00DF246B"/>
    <w:rsid w:val="00DF2A0C"/>
    <w:rsid w:val="00DF2DDB"/>
    <w:rsid w:val="00DF2F26"/>
    <w:rsid w:val="00DF3119"/>
    <w:rsid w:val="00DF3220"/>
    <w:rsid w:val="00DF3396"/>
    <w:rsid w:val="00DF370C"/>
    <w:rsid w:val="00DF39F3"/>
    <w:rsid w:val="00DF3C7D"/>
    <w:rsid w:val="00DF3CE4"/>
    <w:rsid w:val="00DF3EB4"/>
    <w:rsid w:val="00DF3F4F"/>
    <w:rsid w:val="00DF41FC"/>
    <w:rsid w:val="00DF42B9"/>
    <w:rsid w:val="00DF48D3"/>
    <w:rsid w:val="00DF4C64"/>
    <w:rsid w:val="00DF4F27"/>
    <w:rsid w:val="00DF5026"/>
    <w:rsid w:val="00DF5128"/>
    <w:rsid w:val="00DF5138"/>
    <w:rsid w:val="00DF51FE"/>
    <w:rsid w:val="00DF52BF"/>
    <w:rsid w:val="00DF5687"/>
    <w:rsid w:val="00DF56F8"/>
    <w:rsid w:val="00DF5EDD"/>
    <w:rsid w:val="00DF6359"/>
    <w:rsid w:val="00DF6886"/>
    <w:rsid w:val="00DF6D20"/>
    <w:rsid w:val="00DF6D31"/>
    <w:rsid w:val="00DF6E91"/>
    <w:rsid w:val="00DF6FD5"/>
    <w:rsid w:val="00DF6FF5"/>
    <w:rsid w:val="00DF700B"/>
    <w:rsid w:val="00DF703B"/>
    <w:rsid w:val="00DF7043"/>
    <w:rsid w:val="00DF70D2"/>
    <w:rsid w:val="00DF790A"/>
    <w:rsid w:val="00E0014A"/>
    <w:rsid w:val="00E005B5"/>
    <w:rsid w:val="00E00637"/>
    <w:rsid w:val="00E00D53"/>
    <w:rsid w:val="00E00FBE"/>
    <w:rsid w:val="00E0132D"/>
    <w:rsid w:val="00E014C9"/>
    <w:rsid w:val="00E0153A"/>
    <w:rsid w:val="00E015F2"/>
    <w:rsid w:val="00E0168B"/>
    <w:rsid w:val="00E01A94"/>
    <w:rsid w:val="00E01C2B"/>
    <w:rsid w:val="00E02324"/>
    <w:rsid w:val="00E029D6"/>
    <w:rsid w:val="00E02EAF"/>
    <w:rsid w:val="00E0318F"/>
    <w:rsid w:val="00E034DC"/>
    <w:rsid w:val="00E03540"/>
    <w:rsid w:val="00E03853"/>
    <w:rsid w:val="00E039EA"/>
    <w:rsid w:val="00E03A1E"/>
    <w:rsid w:val="00E03FB0"/>
    <w:rsid w:val="00E042AB"/>
    <w:rsid w:val="00E042CA"/>
    <w:rsid w:val="00E04442"/>
    <w:rsid w:val="00E0480A"/>
    <w:rsid w:val="00E04A48"/>
    <w:rsid w:val="00E04B56"/>
    <w:rsid w:val="00E04BF0"/>
    <w:rsid w:val="00E04C2C"/>
    <w:rsid w:val="00E04E90"/>
    <w:rsid w:val="00E05054"/>
    <w:rsid w:val="00E05097"/>
    <w:rsid w:val="00E05970"/>
    <w:rsid w:val="00E05A40"/>
    <w:rsid w:val="00E05BB5"/>
    <w:rsid w:val="00E05CFB"/>
    <w:rsid w:val="00E06D18"/>
    <w:rsid w:val="00E06D51"/>
    <w:rsid w:val="00E06E72"/>
    <w:rsid w:val="00E07410"/>
    <w:rsid w:val="00E07484"/>
    <w:rsid w:val="00E075FA"/>
    <w:rsid w:val="00E076FF"/>
    <w:rsid w:val="00E07DFF"/>
    <w:rsid w:val="00E07EA2"/>
    <w:rsid w:val="00E10053"/>
    <w:rsid w:val="00E100DD"/>
    <w:rsid w:val="00E104D1"/>
    <w:rsid w:val="00E104F2"/>
    <w:rsid w:val="00E104F7"/>
    <w:rsid w:val="00E105EC"/>
    <w:rsid w:val="00E112B9"/>
    <w:rsid w:val="00E1145D"/>
    <w:rsid w:val="00E1149E"/>
    <w:rsid w:val="00E116EC"/>
    <w:rsid w:val="00E11763"/>
    <w:rsid w:val="00E117B6"/>
    <w:rsid w:val="00E11820"/>
    <w:rsid w:val="00E11B86"/>
    <w:rsid w:val="00E11BAF"/>
    <w:rsid w:val="00E11EBA"/>
    <w:rsid w:val="00E1206C"/>
    <w:rsid w:val="00E12A0D"/>
    <w:rsid w:val="00E12DEF"/>
    <w:rsid w:val="00E12F82"/>
    <w:rsid w:val="00E12FB8"/>
    <w:rsid w:val="00E130CD"/>
    <w:rsid w:val="00E13A04"/>
    <w:rsid w:val="00E13C06"/>
    <w:rsid w:val="00E14074"/>
    <w:rsid w:val="00E14144"/>
    <w:rsid w:val="00E14206"/>
    <w:rsid w:val="00E14376"/>
    <w:rsid w:val="00E147C6"/>
    <w:rsid w:val="00E14CB7"/>
    <w:rsid w:val="00E1559D"/>
    <w:rsid w:val="00E1595F"/>
    <w:rsid w:val="00E15CC1"/>
    <w:rsid w:val="00E16397"/>
    <w:rsid w:val="00E1695A"/>
    <w:rsid w:val="00E1697F"/>
    <w:rsid w:val="00E169E2"/>
    <w:rsid w:val="00E16D2B"/>
    <w:rsid w:val="00E16E33"/>
    <w:rsid w:val="00E175B7"/>
    <w:rsid w:val="00E17C8C"/>
    <w:rsid w:val="00E17D47"/>
    <w:rsid w:val="00E202A8"/>
    <w:rsid w:val="00E20318"/>
    <w:rsid w:val="00E20925"/>
    <w:rsid w:val="00E20CC1"/>
    <w:rsid w:val="00E21299"/>
    <w:rsid w:val="00E21782"/>
    <w:rsid w:val="00E217F2"/>
    <w:rsid w:val="00E21C28"/>
    <w:rsid w:val="00E222B7"/>
    <w:rsid w:val="00E2255A"/>
    <w:rsid w:val="00E22593"/>
    <w:rsid w:val="00E228B0"/>
    <w:rsid w:val="00E22BEC"/>
    <w:rsid w:val="00E22EB2"/>
    <w:rsid w:val="00E22F98"/>
    <w:rsid w:val="00E23441"/>
    <w:rsid w:val="00E234E8"/>
    <w:rsid w:val="00E243F7"/>
    <w:rsid w:val="00E24BC3"/>
    <w:rsid w:val="00E24C3A"/>
    <w:rsid w:val="00E24C4A"/>
    <w:rsid w:val="00E24D2E"/>
    <w:rsid w:val="00E24EBF"/>
    <w:rsid w:val="00E254C0"/>
    <w:rsid w:val="00E25960"/>
    <w:rsid w:val="00E259BD"/>
    <w:rsid w:val="00E261A8"/>
    <w:rsid w:val="00E262EB"/>
    <w:rsid w:val="00E268FF"/>
    <w:rsid w:val="00E26913"/>
    <w:rsid w:val="00E26A42"/>
    <w:rsid w:val="00E26F98"/>
    <w:rsid w:val="00E27066"/>
    <w:rsid w:val="00E271E0"/>
    <w:rsid w:val="00E276F8"/>
    <w:rsid w:val="00E2782A"/>
    <w:rsid w:val="00E278B4"/>
    <w:rsid w:val="00E279E7"/>
    <w:rsid w:val="00E27D75"/>
    <w:rsid w:val="00E27EC0"/>
    <w:rsid w:val="00E30445"/>
    <w:rsid w:val="00E30516"/>
    <w:rsid w:val="00E30A25"/>
    <w:rsid w:val="00E30B24"/>
    <w:rsid w:val="00E31353"/>
    <w:rsid w:val="00E31396"/>
    <w:rsid w:val="00E313F3"/>
    <w:rsid w:val="00E31424"/>
    <w:rsid w:val="00E31482"/>
    <w:rsid w:val="00E326C9"/>
    <w:rsid w:val="00E3284B"/>
    <w:rsid w:val="00E32BB3"/>
    <w:rsid w:val="00E32BC7"/>
    <w:rsid w:val="00E33030"/>
    <w:rsid w:val="00E3395A"/>
    <w:rsid w:val="00E33B0C"/>
    <w:rsid w:val="00E33C70"/>
    <w:rsid w:val="00E34163"/>
    <w:rsid w:val="00E343D2"/>
    <w:rsid w:val="00E346B1"/>
    <w:rsid w:val="00E34965"/>
    <w:rsid w:val="00E34C71"/>
    <w:rsid w:val="00E34C9A"/>
    <w:rsid w:val="00E355F2"/>
    <w:rsid w:val="00E35A27"/>
    <w:rsid w:val="00E35BCB"/>
    <w:rsid w:val="00E35FF0"/>
    <w:rsid w:val="00E36128"/>
    <w:rsid w:val="00E3655B"/>
    <w:rsid w:val="00E3661D"/>
    <w:rsid w:val="00E36621"/>
    <w:rsid w:val="00E36AC5"/>
    <w:rsid w:val="00E36BF5"/>
    <w:rsid w:val="00E36D52"/>
    <w:rsid w:val="00E3712C"/>
    <w:rsid w:val="00E3722B"/>
    <w:rsid w:val="00E37564"/>
    <w:rsid w:val="00E40149"/>
    <w:rsid w:val="00E405A1"/>
    <w:rsid w:val="00E40766"/>
    <w:rsid w:val="00E40DF7"/>
    <w:rsid w:val="00E40E96"/>
    <w:rsid w:val="00E414A3"/>
    <w:rsid w:val="00E41502"/>
    <w:rsid w:val="00E41729"/>
    <w:rsid w:val="00E417D7"/>
    <w:rsid w:val="00E41E47"/>
    <w:rsid w:val="00E42068"/>
    <w:rsid w:val="00E422A7"/>
    <w:rsid w:val="00E422E6"/>
    <w:rsid w:val="00E42931"/>
    <w:rsid w:val="00E429B6"/>
    <w:rsid w:val="00E42ACF"/>
    <w:rsid w:val="00E42FDD"/>
    <w:rsid w:val="00E434A9"/>
    <w:rsid w:val="00E434B3"/>
    <w:rsid w:val="00E43691"/>
    <w:rsid w:val="00E436B4"/>
    <w:rsid w:val="00E43DF2"/>
    <w:rsid w:val="00E4412F"/>
    <w:rsid w:val="00E44212"/>
    <w:rsid w:val="00E443AB"/>
    <w:rsid w:val="00E44473"/>
    <w:rsid w:val="00E4451E"/>
    <w:rsid w:val="00E44732"/>
    <w:rsid w:val="00E44966"/>
    <w:rsid w:val="00E449CB"/>
    <w:rsid w:val="00E44D58"/>
    <w:rsid w:val="00E45070"/>
    <w:rsid w:val="00E452F3"/>
    <w:rsid w:val="00E45520"/>
    <w:rsid w:val="00E4557F"/>
    <w:rsid w:val="00E458B2"/>
    <w:rsid w:val="00E45A79"/>
    <w:rsid w:val="00E45EA9"/>
    <w:rsid w:val="00E45FC3"/>
    <w:rsid w:val="00E46158"/>
    <w:rsid w:val="00E46405"/>
    <w:rsid w:val="00E46594"/>
    <w:rsid w:val="00E46C94"/>
    <w:rsid w:val="00E46E47"/>
    <w:rsid w:val="00E46E56"/>
    <w:rsid w:val="00E47C5C"/>
    <w:rsid w:val="00E47CEA"/>
    <w:rsid w:val="00E47D25"/>
    <w:rsid w:val="00E47D73"/>
    <w:rsid w:val="00E47E92"/>
    <w:rsid w:val="00E505A1"/>
    <w:rsid w:val="00E509A6"/>
    <w:rsid w:val="00E50A95"/>
    <w:rsid w:val="00E50AB7"/>
    <w:rsid w:val="00E510D6"/>
    <w:rsid w:val="00E51901"/>
    <w:rsid w:val="00E51D49"/>
    <w:rsid w:val="00E51E4A"/>
    <w:rsid w:val="00E5232D"/>
    <w:rsid w:val="00E527F7"/>
    <w:rsid w:val="00E52832"/>
    <w:rsid w:val="00E52BFF"/>
    <w:rsid w:val="00E52D95"/>
    <w:rsid w:val="00E5319E"/>
    <w:rsid w:val="00E531F8"/>
    <w:rsid w:val="00E532D1"/>
    <w:rsid w:val="00E53323"/>
    <w:rsid w:val="00E533A4"/>
    <w:rsid w:val="00E533E6"/>
    <w:rsid w:val="00E53729"/>
    <w:rsid w:val="00E53821"/>
    <w:rsid w:val="00E547AB"/>
    <w:rsid w:val="00E54C79"/>
    <w:rsid w:val="00E54D16"/>
    <w:rsid w:val="00E550C6"/>
    <w:rsid w:val="00E554D1"/>
    <w:rsid w:val="00E557E1"/>
    <w:rsid w:val="00E55E42"/>
    <w:rsid w:val="00E55FEE"/>
    <w:rsid w:val="00E56C57"/>
    <w:rsid w:val="00E56EAB"/>
    <w:rsid w:val="00E5793A"/>
    <w:rsid w:val="00E57A5F"/>
    <w:rsid w:val="00E57D09"/>
    <w:rsid w:val="00E57DD8"/>
    <w:rsid w:val="00E57DDD"/>
    <w:rsid w:val="00E57E10"/>
    <w:rsid w:val="00E6045B"/>
    <w:rsid w:val="00E6052C"/>
    <w:rsid w:val="00E60915"/>
    <w:rsid w:val="00E60D7B"/>
    <w:rsid w:val="00E61012"/>
    <w:rsid w:val="00E61159"/>
    <w:rsid w:val="00E61B1D"/>
    <w:rsid w:val="00E61C30"/>
    <w:rsid w:val="00E61CE8"/>
    <w:rsid w:val="00E61DB6"/>
    <w:rsid w:val="00E61E76"/>
    <w:rsid w:val="00E63183"/>
    <w:rsid w:val="00E63548"/>
    <w:rsid w:val="00E638CF"/>
    <w:rsid w:val="00E63F94"/>
    <w:rsid w:val="00E64080"/>
    <w:rsid w:val="00E6443B"/>
    <w:rsid w:val="00E644D6"/>
    <w:rsid w:val="00E64680"/>
    <w:rsid w:val="00E64A7A"/>
    <w:rsid w:val="00E64D45"/>
    <w:rsid w:val="00E64DB8"/>
    <w:rsid w:val="00E64DFD"/>
    <w:rsid w:val="00E64FEA"/>
    <w:rsid w:val="00E65054"/>
    <w:rsid w:val="00E6524C"/>
    <w:rsid w:val="00E655A9"/>
    <w:rsid w:val="00E6580C"/>
    <w:rsid w:val="00E65BC1"/>
    <w:rsid w:val="00E65D69"/>
    <w:rsid w:val="00E65DA5"/>
    <w:rsid w:val="00E660F8"/>
    <w:rsid w:val="00E66126"/>
    <w:rsid w:val="00E6625B"/>
    <w:rsid w:val="00E663F4"/>
    <w:rsid w:val="00E66B22"/>
    <w:rsid w:val="00E66B27"/>
    <w:rsid w:val="00E67824"/>
    <w:rsid w:val="00E67874"/>
    <w:rsid w:val="00E7007A"/>
    <w:rsid w:val="00E700A5"/>
    <w:rsid w:val="00E702F5"/>
    <w:rsid w:val="00E70821"/>
    <w:rsid w:val="00E709C3"/>
    <w:rsid w:val="00E70B5F"/>
    <w:rsid w:val="00E70CEE"/>
    <w:rsid w:val="00E70D33"/>
    <w:rsid w:val="00E71466"/>
    <w:rsid w:val="00E7172B"/>
    <w:rsid w:val="00E71915"/>
    <w:rsid w:val="00E71E8E"/>
    <w:rsid w:val="00E7203A"/>
    <w:rsid w:val="00E7227E"/>
    <w:rsid w:val="00E72511"/>
    <w:rsid w:val="00E725FA"/>
    <w:rsid w:val="00E72A47"/>
    <w:rsid w:val="00E72A6E"/>
    <w:rsid w:val="00E7300E"/>
    <w:rsid w:val="00E731EB"/>
    <w:rsid w:val="00E73A08"/>
    <w:rsid w:val="00E73B8B"/>
    <w:rsid w:val="00E73D35"/>
    <w:rsid w:val="00E74312"/>
    <w:rsid w:val="00E74552"/>
    <w:rsid w:val="00E748CC"/>
    <w:rsid w:val="00E749D0"/>
    <w:rsid w:val="00E74AD4"/>
    <w:rsid w:val="00E74F9D"/>
    <w:rsid w:val="00E75010"/>
    <w:rsid w:val="00E75477"/>
    <w:rsid w:val="00E75507"/>
    <w:rsid w:val="00E75650"/>
    <w:rsid w:val="00E75731"/>
    <w:rsid w:val="00E757B7"/>
    <w:rsid w:val="00E758E7"/>
    <w:rsid w:val="00E75A67"/>
    <w:rsid w:val="00E75E04"/>
    <w:rsid w:val="00E75EEF"/>
    <w:rsid w:val="00E7600C"/>
    <w:rsid w:val="00E76374"/>
    <w:rsid w:val="00E76BF4"/>
    <w:rsid w:val="00E776F3"/>
    <w:rsid w:val="00E77C01"/>
    <w:rsid w:val="00E80555"/>
    <w:rsid w:val="00E80824"/>
    <w:rsid w:val="00E80DB0"/>
    <w:rsid w:val="00E80EED"/>
    <w:rsid w:val="00E81217"/>
    <w:rsid w:val="00E81314"/>
    <w:rsid w:val="00E81872"/>
    <w:rsid w:val="00E8198D"/>
    <w:rsid w:val="00E81F0E"/>
    <w:rsid w:val="00E8291D"/>
    <w:rsid w:val="00E829E6"/>
    <w:rsid w:val="00E82B78"/>
    <w:rsid w:val="00E82CEE"/>
    <w:rsid w:val="00E82F02"/>
    <w:rsid w:val="00E82F53"/>
    <w:rsid w:val="00E83612"/>
    <w:rsid w:val="00E83F7F"/>
    <w:rsid w:val="00E84160"/>
    <w:rsid w:val="00E84CE1"/>
    <w:rsid w:val="00E8561C"/>
    <w:rsid w:val="00E859DD"/>
    <w:rsid w:val="00E85D0E"/>
    <w:rsid w:val="00E85F86"/>
    <w:rsid w:val="00E8617F"/>
    <w:rsid w:val="00E86484"/>
    <w:rsid w:val="00E867F5"/>
    <w:rsid w:val="00E86966"/>
    <w:rsid w:val="00E86A45"/>
    <w:rsid w:val="00E86BAB"/>
    <w:rsid w:val="00E86D2B"/>
    <w:rsid w:val="00E87125"/>
    <w:rsid w:val="00E876FC"/>
    <w:rsid w:val="00E87905"/>
    <w:rsid w:val="00E87B52"/>
    <w:rsid w:val="00E87F5D"/>
    <w:rsid w:val="00E903F8"/>
    <w:rsid w:val="00E90430"/>
    <w:rsid w:val="00E90C30"/>
    <w:rsid w:val="00E90D8B"/>
    <w:rsid w:val="00E90EEE"/>
    <w:rsid w:val="00E91394"/>
    <w:rsid w:val="00E915EA"/>
    <w:rsid w:val="00E9179E"/>
    <w:rsid w:val="00E92001"/>
    <w:rsid w:val="00E921F3"/>
    <w:rsid w:val="00E9221A"/>
    <w:rsid w:val="00E9254E"/>
    <w:rsid w:val="00E92ABD"/>
    <w:rsid w:val="00E93051"/>
    <w:rsid w:val="00E930DF"/>
    <w:rsid w:val="00E936D9"/>
    <w:rsid w:val="00E93719"/>
    <w:rsid w:val="00E937BA"/>
    <w:rsid w:val="00E93AC8"/>
    <w:rsid w:val="00E949AF"/>
    <w:rsid w:val="00E94B6F"/>
    <w:rsid w:val="00E94BE0"/>
    <w:rsid w:val="00E95120"/>
    <w:rsid w:val="00E957D7"/>
    <w:rsid w:val="00E958B3"/>
    <w:rsid w:val="00E95A1E"/>
    <w:rsid w:val="00E95ACC"/>
    <w:rsid w:val="00E95CD4"/>
    <w:rsid w:val="00E95E9A"/>
    <w:rsid w:val="00E96637"/>
    <w:rsid w:val="00E96A22"/>
    <w:rsid w:val="00E96CBF"/>
    <w:rsid w:val="00E96F97"/>
    <w:rsid w:val="00E97004"/>
    <w:rsid w:val="00E97391"/>
    <w:rsid w:val="00E973C8"/>
    <w:rsid w:val="00E97C75"/>
    <w:rsid w:val="00E97E9D"/>
    <w:rsid w:val="00EA013B"/>
    <w:rsid w:val="00EA0A1C"/>
    <w:rsid w:val="00EA0A84"/>
    <w:rsid w:val="00EA0D61"/>
    <w:rsid w:val="00EA0E5A"/>
    <w:rsid w:val="00EA0F87"/>
    <w:rsid w:val="00EA16D2"/>
    <w:rsid w:val="00EA1743"/>
    <w:rsid w:val="00EA1D61"/>
    <w:rsid w:val="00EA22D0"/>
    <w:rsid w:val="00EA2EDB"/>
    <w:rsid w:val="00EA31B1"/>
    <w:rsid w:val="00EA3591"/>
    <w:rsid w:val="00EA3EBC"/>
    <w:rsid w:val="00EA421F"/>
    <w:rsid w:val="00EA4314"/>
    <w:rsid w:val="00EA461F"/>
    <w:rsid w:val="00EA4B62"/>
    <w:rsid w:val="00EA504B"/>
    <w:rsid w:val="00EA5098"/>
    <w:rsid w:val="00EA5786"/>
    <w:rsid w:val="00EA58B7"/>
    <w:rsid w:val="00EA5ABD"/>
    <w:rsid w:val="00EA5DE0"/>
    <w:rsid w:val="00EA6626"/>
    <w:rsid w:val="00EA6674"/>
    <w:rsid w:val="00EA6CED"/>
    <w:rsid w:val="00EA6F03"/>
    <w:rsid w:val="00EA7D93"/>
    <w:rsid w:val="00EB00CC"/>
    <w:rsid w:val="00EB0335"/>
    <w:rsid w:val="00EB0DC1"/>
    <w:rsid w:val="00EB0F63"/>
    <w:rsid w:val="00EB1503"/>
    <w:rsid w:val="00EB1FA8"/>
    <w:rsid w:val="00EB2928"/>
    <w:rsid w:val="00EB2AFC"/>
    <w:rsid w:val="00EB3450"/>
    <w:rsid w:val="00EB35D4"/>
    <w:rsid w:val="00EB366D"/>
    <w:rsid w:val="00EB3733"/>
    <w:rsid w:val="00EB3739"/>
    <w:rsid w:val="00EB3933"/>
    <w:rsid w:val="00EB3A8D"/>
    <w:rsid w:val="00EB3C28"/>
    <w:rsid w:val="00EB415A"/>
    <w:rsid w:val="00EB41DD"/>
    <w:rsid w:val="00EB42D1"/>
    <w:rsid w:val="00EB4A46"/>
    <w:rsid w:val="00EB4DF9"/>
    <w:rsid w:val="00EB5212"/>
    <w:rsid w:val="00EB5679"/>
    <w:rsid w:val="00EB5BF7"/>
    <w:rsid w:val="00EB60B1"/>
    <w:rsid w:val="00EB67B4"/>
    <w:rsid w:val="00EB6B09"/>
    <w:rsid w:val="00EB6C01"/>
    <w:rsid w:val="00EB6C1D"/>
    <w:rsid w:val="00EB6F3A"/>
    <w:rsid w:val="00EB7375"/>
    <w:rsid w:val="00EB74EE"/>
    <w:rsid w:val="00EB76E5"/>
    <w:rsid w:val="00EB79A7"/>
    <w:rsid w:val="00EB7B0F"/>
    <w:rsid w:val="00EB7BE9"/>
    <w:rsid w:val="00EC0366"/>
    <w:rsid w:val="00EC039C"/>
    <w:rsid w:val="00EC04A8"/>
    <w:rsid w:val="00EC05B3"/>
    <w:rsid w:val="00EC0816"/>
    <w:rsid w:val="00EC0AFC"/>
    <w:rsid w:val="00EC138E"/>
    <w:rsid w:val="00EC1927"/>
    <w:rsid w:val="00EC1C39"/>
    <w:rsid w:val="00EC1CA6"/>
    <w:rsid w:val="00EC20B9"/>
    <w:rsid w:val="00EC27A4"/>
    <w:rsid w:val="00EC2892"/>
    <w:rsid w:val="00EC3192"/>
    <w:rsid w:val="00EC3227"/>
    <w:rsid w:val="00EC3294"/>
    <w:rsid w:val="00EC340D"/>
    <w:rsid w:val="00EC34DB"/>
    <w:rsid w:val="00EC391F"/>
    <w:rsid w:val="00EC3E93"/>
    <w:rsid w:val="00EC4615"/>
    <w:rsid w:val="00EC4973"/>
    <w:rsid w:val="00EC4FE7"/>
    <w:rsid w:val="00EC5172"/>
    <w:rsid w:val="00EC5204"/>
    <w:rsid w:val="00EC5378"/>
    <w:rsid w:val="00EC56A4"/>
    <w:rsid w:val="00EC57E6"/>
    <w:rsid w:val="00EC59B1"/>
    <w:rsid w:val="00EC5D95"/>
    <w:rsid w:val="00EC67D5"/>
    <w:rsid w:val="00EC688B"/>
    <w:rsid w:val="00EC71C2"/>
    <w:rsid w:val="00EC7597"/>
    <w:rsid w:val="00EC7C85"/>
    <w:rsid w:val="00EC7CCE"/>
    <w:rsid w:val="00EC7F1C"/>
    <w:rsid w:val="00ED0649"/>
    <w:rsid w:val="00ED072A"/>
    <w:rsid w:val="00ED0EFB"/>
    <w:rsid w:val="00ED10BC"/>
    <w:rsid w:val="00ED11CF"/>
    <w:rsid w:val="00ED13AD"/>
    <w:rsid w:val="00ED1415"/>
    <w:rsid w:val="00ED16EC"/>
    <w:rsid w:val="00ED1773"/>
    <w:rsid w:val="00ED1811"/>
    <w:rsid w:val="00ED18AB"/>
    <w:rsid w:val="00ED27B8"/>
    <w:rsid w:val="00ED2895"/>
    <w:rsid w:val="00ED2DF6"/>
    <w:rsid w:val="00ED32E2"/>
    <w:rsid w:val="00ED3373"/>
    <w:rsid w:val="00ED378D"/>
    <w:rsid w:val="00ED3983"/>
    <w:rsid w:val="00ED3A12"/>
    <w:rsid w:val="00ED3AD0"/>
    <w:rsid w:val="00ED3D5B"/>
    <w:rsid w:val="00ED3FE2"/>
    <w:rsid w:val="00ED4C1B"/>
    <w:rsid w:val="00ED4EB3"/>
    <w:rsid w:val="00ED4ED8"/>
    <w:rsid w:val="00ED583B"/>
    <w:rsid w:val="00ED62E6"/>
    <w:rsid w:val="00ED6510"/>
    <w:rsid w:val="00ED69DA"/>
    <w:rsid w:val="00ED6AC5"/>
    <w:rsid w:val="00ED6C7B"/>
    <w:rsid w:val="00ED6D85"/>
    <w:rsid w:val="00ED6DAF"/>
    <w:rsid w:val="00ED71C9"/>
    <w:rsid w:val="00ED7316"/>
    <w:rsid w:val="00ED77FE"/>
    <w:rsid w:val="00ED799F"/>
    <w:rsid w:val="00ED7BFC"/>
    <w:rsid w:val="00ED7D73"/>
    <w:rsid w:val="00ED7DDA"/>
    <w:rsid w:val="00ED7DF1"/>
    <w:rsid w:val="00ED7F8C"/>
    <w:rsid w:val="00EE0040"/>
    <w:rsid w:val="00EE05F7"/>
    <w:rsid w:val="00EE08B4"/>
    <w:rsid w:val="00EE0A6D"/>
    <w:rsid w:val="00EE0A82"/>
    <w:rsid w:val="00EE0C09"/>
    <w:rsid w:val="00EE1056"/>
    <w:rsid w:val="00EE10BB"/>
    <w:rsid w:val="00EE11C4"/>
    <w:rsid w:val="00EE1508"/>
    <w:rsid w:val="00EE16E7"/>
    <w:rsid w:val="00EE1B87"/>
    <w:rsid w:val="00EE1DA8"/>
    <w:rsid w:val="00EE2089"/>
    <w:rsid w:val="00EE24C3"/>
    <w:rsid w:val="00EE255F"/>
    <w:rsid w:val="00EE25CA"/>
    <w:rsid w:val="00EE26EB"/>
    <w:rsid w:val="00EE3391"/>
    <w:rsid w:val="00EE3938"/>
    <w:rsid w:val="00EE39FC"/>
    <w:rsid w:val="00EE3E90"/>
    <w:rsid w:val="00EE46CD"/>
    <w:rsid w:val="00EE492C"/>
    <w:rsid w:val="00EE4D3E"/>
    <w:rsid w:val="00EE4EA3"/>
    <w:rsid w:val="00EE503A"/>
    <w:rsid w:val="00EE5152"/>
    <w:rsid w:val="00EE53E6"/>
    <w:rsid w:val="00EE54D2"/>
    <w:rsid w:val="00EE5D65"/>
    <w:rsid w:val="00EE5E2A"/>
    <w:rsid w:val="00EE601C"/>
    <w:rsid w:val="00EE6262"/>
    <w:rsid w:val="00EE6526"/>
    <w:rsid w:val="00EE6F6C"/>
    <w:rsid w:val="00EE6FAB"/>
    <w:rsid w:val="00EE71D7"/>
    <w:rsid w:val="00EE731F"/>
    <w:rsid w:val="00EE75C3"/>
    <w:rsid w:val="00EE7928"/>
    <w:rsid w:val="00EF01E6"/>
    <w:rsid w:val="00EF0CBE"/>
    <w:rsid w:val="00EF12A4"/>
    <w:rsid w:val="00EF17B9"/>
    <w:rsid w:val="00EF1812"/>
    <w:rsid w:val="00EF1AB2"/>
    <w:rsid w:val="00EF1FBE"/>
    <w:rsid w:val="00EF242C"/>
    <w:rsid w:val="00EF27B6"/>
    <w:rsid w:val="00EF27E4"/>
    <w:rsid w:val="00EF28DE"/>
    <w:rsid w:val="00EF2A28"/>
    <w:rsid w:val="00EF2E6F"/>
    <w:rsid w:val="00EF2F3E"/>
    <w:rsid w:val="00EF32DA"/>
    <w:rsid w:val="00EF3360"/>
    <w:rsid w:val="00EF39BD"/>
    <w:rsid w:val="00EF4269"/>
    <w:rsid w:val="00EF4EB9"/>
    <w:rsid w:val="00EF50A4"/>
    <w:rsid w:val="00EF5418"/>
    <w:rsid w:val="00EF58A5"/>
    <w:rsid w:val="00EF5C8F"/>
    <w:rsid w:val="00EF5DF9"/>
    <w:rsid w:val="00EF6260"/>
    <w:rsid w:val="00EF62CF"/>
    <w:rsid w:val="00EF64FF"/>
    <w:rsid w:val="00EF651E"/>
    <w:rsid w:val="00EF6D3B"/>
    <w:rsid w:val="00EF705A"/>
    <w:rsid w:val="00EF71B8"/>
    <w:rsid w:val="00EF7423"/>
    <w:rsid w:val="00EF7AFE"/>
    <w:rsid w:val="00EF7B4B"/>
    <w:rsid w:val="00EF7EDF"/>
    <w:rsid w:val="00F0020F"/>
    <w:rsid w:val="00F005A4"/>
    <w:rsid w:val="00F008B9"/>
    <w:rsid w:val="00F00C47"/>
    <w:rsid w:val="00F00D38"/>
    <w:rsid w:val="00F00E3F"/>
    <w:rsid w:val="00F011A1"/>
    <w:rsid w:val="00F011B8"/>
    <w:rsid w:val="00F01285"/>
    <w:rsid w:val="00F012E5"/>
    <w:rsid w:val="00F0192B"/>
    <w:rsid w:val="00F01A78"/>
    <w:rsid w:val="00F02AB8"/>
    <w:rsid w:val="00F02C52"/>
    <w:rsid w:val="00F02EFE"/>
    <w:rsid w:val="00F03045"/>
    <w:rsid w:val="00F03365"/>
    <w:rsid w:val="00F03A20"/>
    <w:rsid w:val="00F03C51"/>
    <w:rsid w:val="00F03F99"/>
    <w:rsid w:val="00F04554"/>
    <w:rsid w:val="00F04783"/>
    <w:rsid w:val="00F04F9B"/>
    <w:rsid w:val="00F051C2"/>
    <w:rsid w:val="00F05296"/>
    <w:rsid w:val="00F05346"/>
    <w:rsid w:val="00F05528"/>
    <w:rsid w:val="00F0568A"/>
    <w:rsid w:val="00F0572C"/>
    <w:rsid w:val="00F05991"/>
    <w:rsid w:val="00F05C71"/>
    <w:rsid w:val="00F0605D"/>
    <w:rsid w:val="00F063A7"/>
    <w:rsid w:val="00F065A1"/>
    <w:rsid w:val="00F065AC"/>
    <w:rsid w:val="00F06E3F"/>
    <w:rsid w:val="00F06F88"/>
    <w:rsid w:val="00F0725C"/>
    <w:rsid w:val="00F076B8"/>
    <w:rsid w:val="00F07752"/>
    <w:rsid w:val="00F07C97"/>
    <w:rsid w:val="00F07FCB"/>
    <w:rsid w:val="00F10148"/>
    <w:rsid w:val="00F1050B"/>
    <w:rsid w:val="00F10536"/>
    <w:rsid w:val="00F107BF"/>
    <w:rsid w:val="00F10A6A"/>
    <w:rsid w:val="00F10C1B"/>
    <w:rsid w:val="00F10DA3"/>
    <w:rsid w:val="00F11DE5"/>
    <w:rsid w:val="00F12457"/>
    <w:rsid w:val="00F12503"/>
    <w:rsid w:val="00F12554"/>
    <w:rsid w:val="00F12A7A"/>
    <w:rsid w:val="00F12BDA"/>
    <w:rsid w:val="00F12C31"/>
    <w:rsid w:val="00F12DDE"/>
    <w:rsid w:val="00F12DFB"/>
    <w:rsid w:val="00F131D5"/>
    <w:rsid w:val="00F13A38"/>
    <w:rsid w:val="00F13B92"/>
    <w:rsid w:val="00F14224"/>
    <w:rsid w:val="00F1446E"/>
    <w:rsid w:val="00F14B67"/>
    <w:rsid w:val="00F14C75"/>
    <w:rsid w:val="00F14E35"/>
    <w:rsid w:val="00F14F7A"/>
    <w:rsid w:val="00F150C6"/>
    <w:rsid w:val="00F151AA"/>
    <w:rsid w:val="00F15325"/>
    <w:rsid w:val="00F1557B"/>
    <w:rsid w:val="00F15643"/>
    <w:rsid w:val="00F15651"/>
    <w:rsid w:val="00F157DF"/>
    <w:rsid w:val="00F15D80"/>
    <w:rsid w:val="00F1612B"/>
    <w:rsid w:val="00F16421"/>
    <w:rsid w:val="00F16592"/>
    <w:rsid w:val="00F1696F"/>
    <w:rsid w:val="00F17AD0"/>
    <w:rsid w:val="00F21519"/>
    <w:rsid w:val="00F216C2"/>
    <w:rsid w:val="00F219E5"/>
    <w:rsid w:val="00F21B1C"/>
    <w:rsid w:val="00F22482"/>
    <w:rsid w:val="00F2290E"/>
    <w:rsid w:val="00F22CEA"/>
    <w:rsid w:val="00F22E37"/>
    <w:rsid w:val="00F2326B"/>
    <w:rsid w:val="00F23338"/>
    <w:rsid w:val="00F23388"/>
    <w:rsid w:val="00F2355B"/>
    <w:rsid w:val="00F23723"/>
    <w:rsid w:val="00F238CF"/>
    <w:rsid w:val="00F23D31"/>
    <w:rsid w:val="00F240F0"/>
    <w:rsid w:val="00F2441F"/>
    <w:rsid w:val="00F24BE5"/>
    <w:rsid w:val="00F24C6D"/>
    <w:rsid w:val="00F25055"/>
    <w:rsid w:val="00F250DE"/>
    <w:rsid w:val="00F25241"/>
    <w:rsid w:val="00F25309"/>
    <w:rsid w:val="00F25C60"/>
    <w:rsid w:val="00F26BC3"/>
    <w:rsid w:val="00F26BE9"/>
    <w:rsid w:val="00F26C8A"/>
    <w:rsid w:val="00F27130"/>
    <w:rsid w:val="00F27305"/>
    <w:rsid w:val="00F273F9"/>
    <w:rsid w:val="00F2754D"/>
    <w:rsid w:val="00F27A5D"/>
    <w:rsid w:val="00F27BE7"/>
    <w:rsid w:val="00F27E71"/>
    <w:rsid w:val="00F27EA6"/>
    <w:rsid w:val="00F300A6"/>
    <w:rsid w:val="00F303A8"/>
    <w:rsid w:val="00F30563"/>
    <w:rsid w:val="00F308C0"/>
    <w:rsid w:val="00F308F0"/>
    <w:rsid w:val="00F30FDF"/>
    <w:rsid w:val="00F30FFE"/>
    <w:rsid w:val="00F310AF"/>
    <w:rsid w:val="00F3120B"/>
    <w:rsid w:val="00F31297"/>
    <w:rsid w:val="00F312FA"/>
    <w:rsid w:val="00F31324"/>
    <w:rsid w:val="00F315A8"/>
    <w:rsid w:val="00F31768"/>
    <w:rsid w:val="00F318B8"/>
    <w:rsid w:val="00F31DE0"/>
    <w:rsid w:val="00F31F03"/>
    <w:rsid w:val="00F322B4"/>
    <w:rsid w:val="00F3241A"/>
    <w:rsid w:val="00F32875"/>
    <w:rsid w:val="00F32CCC"/>
    <w:rsid w:val="00F32EB7"/>
    <w:rsid w:val="00F32F0E"/>
    <w:rsid w:val="00F33080"/>
    <w:rsid w:val="00F331F0"/>
    <w:rsid w:val="00F33CB6"/>
    <w:rsid w:val="00F340FD"/>
    <w:rsid w:val="00F341A7"/>
    <w:rsid w:val="00F3431D"/>
    <w:rsid w:val="00F34371"/>
    <w:rsid w:val="00F343FC"/>
    <w:rsid w:val="00F3451E"/>
    <w:rsid w:val="00F34578"/>
    <w:rsid w:val="00F34602"/>
    <w:rsid w:val="00F346F5"/>
    <w:rsid w:val="00F34C49"/>
    <w:rsid w:val="00F35873"/>
    <w:rsid w:val="00F35936"/>
    <w:rsid w:val="00F35940"/>
    <w:rsid w:val="00F359D4"/>
    <w:rsid w:val="00F35DF8"/>
    <w:rsid w:val="00F3613F"/>
    <w:rsid w:val="00F3638F"/>
    <w:rsid w:val="00F36470"/>
    <w:rsid w:val="00F365CD"/>
    <w:rsid w:val="00F36760"/>
    <w:rsid w:val="00F36999"/>
    <w:rsid w:val="00F36FF2"/>
    <w:rsid w:val="00F370D6"/>
    <w:rsid w:val="00F374B7"/>
    <w:rsid w:val="00F37732"/>
    <w:rsid w:val="00F37B0A"/>
    <w:rsid w:val="00F37C2F"/>
    <w:rsid w:val="00F37C93"/>
    <w:rsid w:val="00F37D39"/>
    <w:rsid w:val="00F37DE5"/>
    <w:rsid w:val="00F37E83"/>
    <w:rsid w:val="00F37FA7"/>
    <w:rsid w:val="00F40592"/>
    <w:rsid w:val="00F40B39"/>
    <w:rsid w:val="00F40B5E"/>
    <w:rsid w:val="00F40C9D"/>
    <w:rsid w:val="00F4104B"/>
    <w:rsid w:val="00F414DA"/>
    <w:rsid w:val="00F417CE"/>
    <w:rsid w:val="00F41CC9"/>
    <w:rsid w:val="00F42279"/>
    <w:rsid w:val="00F42478"/>
    <w:rsid w:val="00F4265B"/>
    <w:rsid w:val="00F430D5"/>
    <w:rsid w:val="00F434F2"/>
    <w:rsid w:val="00F43991"/>
    <w:rsid w:val="00F43ACB"/>
    <w:rsid w:val="00F43D55"/>
    <w:rsid w:val="00F43E56"/>
    <w:rsid w:val="00F43EB1"/>
    <w:rsid w:val="00F43F40"/>
    <w:rsid w:val="00F4411D"/>
    <w:rsid w:val="00F441EA"/>
    <w:rsid w:val="00F44550"/>
    <w:rsid w:val="00F44651"/>
    <w:rsid w:val="00F4485E"/>
    <w:rsid w:val="00F44934"/>
    <w:rsid w:val="00F44A55"/>
    <w:rsid w:val="00F44F5A"/>
    <w:rsid w:val="00F45068"/>
    <w:rsid w:val="00F450E8"/>
    <w:rsid w:val="00F458AD"/>
    <w:rsid w:val="00F45B08"/>
    <w:rsid w:val="00F45B8B"/>
    <w:rsid w:val="00F45FF5"/>
    <w:rsid w:val="00F4635B"/>
    <w:rsid w:val="00F463C6"/>
    <w:rsid w:val="00F464FF"/>
    <w:rsid w:val="00F465DC"/>
    <w:rsid w:val="00F467C6"/>
    <w:rsid w:val="00F46A8D"/>
    <w:rsid w:val="00F46D20"/>
    <w:rsid w:val="00F47217"/>
    <w:rsid w:val="00F47324"/>
    <w:rsid w:val="00F47A33"/>
    <w:rsid w:val="00F47B9C"/>
    <w:rsid w:val="00F50384"/>
    <w:rsid w:val="00F505AF"/>
    <w:rsid w:val="00F509DB"/>
    <w:rsid w:val="00F50B30"/>
    <w:rsid w:val="00F50FD0"/>
    <w:rsid w:val="00F5129F"/>
    <w:rsid w:val="00F512AC"/>
    <w:rsid w:val="00F512EB"/>
    <w:rsid w:val="00F514FD"/>
    <w:rsid w:val="00F51B4C"/>
    <w:rsid w:val="00F51CF2"/>
    <w:rsid w:val="00F528D8"/>
    <w:rsid w:val="00F52C6B"/>
    <w:rsid w:val="00F52EE6"/>
    <w:rsid w:val="00F52F9C"/>
    <w:rsid w:val="00F53439"/>
    <w:rsid w:val="00F53705"/>
    <w:rsid w:val="00F53895"/>
    <w:rsid w:val="00F53B08"/>
    <w:rsid w:val="00F53E91"/>
    <w:rsid w:val="00F53F6B"/>
    <w:rsid w:val="00F54550"/>
    <w:rsid w:val="00F54772"/>
    <w:rsid w:val="00F549D9"/>
    <w:rsid w:val="00F55227"/>
    <w:rsid w:val="00F560E2"/>
    <w:rsid w:val="00F561E9"/>
    <w:rsid w:val="00F56220"/>
    <w:rsid w:val="00F56684"/>
    <w:rsid w:val="00F5668D"/>
    <w:rsid w:val="00F56790"/>
    <w:rsid w:val="00F569A7"/>
    <w:rsid w:val="00F56CD8"/>
    <w:rsid w:val="00F56E13"/>
    <w:rsid w:val="00F56E42"/>
    <w:rsid w:val="00F56F37"/>
    <w:rsid w:val="00F5714D"/>
    <w:rsid w:val="00F5762B"/>
    <w:rsid w:val="00F578B0"/>
    <w:rsid w:val="00F57AA3"/>
    <w:rsid w:val="00F57BBC"/>
    <w:rsid w:val="00F57BF1"/>
    <w:rsid w:val="00F57F08"/>
    <w:rsid w:val="00F6033A"/>
    <w:rsid w:val="00F60668"/>
    <w:rsid w:val="00F60942"/>
    <w:rsid w:val="00F614CA"/>
    <w:rsid w:val="00F61600"/>
    <w:rsid w:val="00F61613"/>
    <w:rsid w:val="00F61B58"/>
    <w:rsid w:val="00F62785"/>
    <w:rsid w:val="00F62DDE"/>
    <w:rsid w:val="00F63059"/>
    <w:rsid w:val="00F633EE"/>
    <w:rsid w:val="00F63B42"/>
    <w:rsid w:val="00F63D73"/>
    <w:rsid w:val="00F64601"/>
    <w:rsid w:val="00F64E4D"/>
    <w:rsid w:val="00F65374"/>
    <w:rsid w:val="00F6579C"/>
    <w:rsid w:val="00F65889"/>
    <w:rsid w:val="00F65A65"/>
    <w:rsid w:val="00F65CD8"/>
    <w:rsid w:val="00F662B3"/>
    <w:rsid w:val="00F66AA3"/>
    <w:rsid w:val="00F66AA4"/>
    <w:rsid w:val="00F66AD9"/>
    <w:rsid w:val="00F66F93"/>
    <w:rsid w:val="00F67183"/>
    <w:rsid w:val="00F67340"/>
    <w:rsid w:val="00F675C4"/>
    <w:rsid w:val="00F67832"/>
    <w:rsid w:val="00F6786F"/>
    <w:rsid w:val="00F67BB4"/>
    <w:rsid w:val="00F67E38"/>
    <w:rsid w:val="00F67E61"/>
    <w:rsid w:val="00F700F4"/>
    <w:rsid w:val="00F70487"/>
    <w:rsid w:val="00F705BC"/>
    <w:rsid w:val="00F709E1"/>
    <w:rsid w:val="00F70C8B"/>
    <w:rsid w:val="00F70EF4"/>
    <w:rsid w:val="00F70F25"/>
    <w:rsid w:val="00F71000"/>
    <w:rsid w:val="00F7101E"/>
    <w:rsid w:val="00F717D9"/>
    <w:rsid w:val="00F7197C"/>
    <w:rsid w:val="00F72234"/>
    <w:rsid w:val="00F7232F"/>
    <w:rsid w:val="00F7271A"/>
    <w:rsid w:val="00F7288E"/>
    <w:rsid w:val="00F729F4"/>
    <w:rsid w:val="00F72CAF"/>
    <w:rsid w:val="00F73111"/>
    <w:rsid w:val="00F73250"/>
    <w:rsid w:val="00F73A9B"/>
    <w:rsid w:val="00F73B3F"/>
    <w:rsid w:val="00F73C63"/>
    <w:rsid w:val="00F74086"/>
    <w:rsid w:val="00F74138"/>
    <w:rsid w:val="00F74819"/>
    <w:rsid w:val="00F7488A"/>
    <w:rsid w:val="00F74C5E"/>
    <w:rsid w:val="00F75078"/>
    <w:rsid w:val="00F7507A"/>
    <w:rsid w:val="00F75109"/>
    <w:rsid w:val="00F75391"/>
    <w:rsid w:val="00F75668"/>
    <w:rsid w:val="00F75877"/>
    <w:rsid w:val="00F758CA"/>
    <w:rsid w:val="00F7614F"/>
    <w:rsid w:val="00F76349"/>
    <w:rsid w:val="00F7638D"/>
    <w:rsid w:val="00F76692"/>
    <w:rsid w:val="00F76E83"/>
    <w:rsid w:val="00F76F94"/>
    <w:rsid w:val="00F76FE4"/>
    <w:rsid w:val="00F76FFA"/>
    <w:rsid w:val="00F776C1"/>
    <w:rsid w:val="00F777D8"/>
    <w:rsid w:val="00F77D87"/>
    <w:rsid w:val="00F77EE7"/>
    <w:rsid w:val="00F77F10"/>
    <w:rsid w:val="00F77F26"/>
    <w:rsid w:val="00F80118"/>
    <w:rsid w:val="00F808D9"/>
    <w:rsid w:val="00F8155E"/>
    <w:rsid w:val="00F81B87"/>
    <w:rsid w:val="00F81DBE"/>
    <w:rsid w:val="00F8247C"/>
    <w:rsid w:val="00F82485"/>
    <w:rsid w:val="00F829AC"/>
    <w:rsid w:val="00F82A1D"/>
    <w:rsid w:val="00F82BC7"/>
    <w:rsid w:val="00F82C29"/>
    <w:rsid w:val="00F82C74"/>
    <w:rsid w:val="00F82CE1"/>
    <w:rsid w:val="00F82F8B"/>
    <w:rsid w:val="00F82FCF"/>
    <w:rsid w:val="00F83570"/>
    <w:rsid w:val="00F8380A"/>
    <w:rsid w:val="00F83952"/>
    <w:rsid w:val="00F84308"/>
    <w:rsid w:val="00F84732"/>
    <w:rsid w:val="00F847CE"/>
    <w:rsid w:val="00F849BA"/>
    <w:rsid w:val="00F84FFC"/>
    <w:rsid w:val="00F8550C"/>
    <w:rsid w:val="00F858A1"/>
    <w:rsid w:val="00F859FC"/>
    <w:rsid w:val="00F85A15"/>
    <w:rsid w:val="00F85B57"/>
    <w:rsid w:val="00F85C1B"/>
    <w:rsid w:val="00F85C52"/>
    <w:rsid w:val="00F85C62"/>
    <w:rsid w:val="00F85DD6"/>
    <w:rsid w:val="00F860AF"/>
    <w:rsid w:val="00F86806"/>
    <w:rsid w:val="00F868AB"/>
    <w:rsid w:val="00F86950"/>
    <w:rsid w:val="00F86A36"/>
    <w:rsid w:val="00F86B33"/>
    <w:rsid w:val="00F86C49"/>
    <w:rsid w:val="00F86D58"/>
    <w:rsid w:val="00F86FCD"/>
    <w:rsid w:val="00F870F9"/>
    <w:rsid w:val="00F87227"/>
    <w:rsid w:val="00F8734D"/>
    <w:rsid w:val="00F878E6"/>
    <w:rsid w:val="00F87B5D"/>
    <w:rsid w:val="00F87DCE"/>
    <w:rsid w:val="00F90AE3"/>
    <w:rsid w:val="00F90CBF"/>
    <w:rsid w:val="00F91A47"/>
    <w:rsid w:val="00F91A90"/>
    <w:rsid w:val="00F91AD9"/>
    <w:rsid w:val="00F91CF4"/>
    <w:rsid w:val="00F921E3"/>
    <w:rsid w:val="00F922EC"/>
    <w:rsid w:val="00F924E5"/>
    <w:rsid w:val="00F92618"/>
    <w:rsid w:val="00F92669"/>
    <w:rsid w:val="00F929A5"/>
    <w:rsid w:val="00F9349F"/>
    <w:rsid w:val="00F93710"/>
    <w:rsid w:val="00F9385F"/>
    <w:rsid w:val="00F93924"/>
    <w:rsid w:val="00F93DCA"/>
    <w:rsid w:val="00F940F7"/>
    <w:rsid w:val="00F94158"/>
    <w:rsid w:val="00F9477F"/>
    <w:rsid w:val="00F94AC1"/>
    <w:rsid w:val="00F94C4D"/>
    <w:rsid w:val="00F94C65"/>
    <w:rsid w:val="00F9545D"/>
    <w:rsid w:val="00F959EF"/>
    <w:rsid w:val="00F95CB6"/>
    <w:rsid w:val="00F95D2A"/>
    <w:rsid w:val="00F96644"/>
    <w:rsid w:val="00F9668D"/>
    <w:rsid w:val="00F96884"/>
    <w:rsid w:val="00F969B9"/>
    <w:rsid w:val="00F96DC2"/>
    <w:rsid w:val="00F96DCF"/>
    <w:rsid w:val="00F9703B"/>
    <w:rsid w:val="00F974E1"/>
    <w:rsid w:val="00F97ACD"/>
    <w:rsid w:val="00F97D89"/>
    <w:rsid w:val="00FA0181"/>
    <w:rsid w:val="00FA0B2B"/>
    <w:rsid w:val="00FA0FB5"/>
    <w:rsid w:val="00FA13CE"/>
    <w:rsid w:val="00FA1715"/>
    <w:rsid w:val="00FA1813"/>
    <w:rsid w:val="00FA1D43"/>
    <w:rsid w:val="00FA1FB8"/>
    <w:rsid w:val="00FA243A"/>
    <w:rsid w:val="00FA24B5"/>
    <w:rsid w:val="00FA25CE"/>
    <w:rsid w:val="00FA25DC"/>
    <w:rsid w:val="00FA26B9"/>
    <w:rsid w:val="00FA26C5"/>
    <w:rsid w:val="00FA289D"/>
    <w:rsid w:val="00FA30D7"/>
    <w:rsid w:val="00FA317B"/>
    <w:rsid w:val="00FA364E"/>
    <w:rsid w:val="00FA3784"/>
    <w:rsid w:val="00FA38B5"/>
    <w:rsid w:val="00FA3CA6"/>
    <w:rsid w:val="00FA3DB4"/>
    <w:rsid w:val="00FA3EB1"/>
    <w:rsid w:val="00FA4195"/>
    <w:rsid w:val="00FA42D5"/>
    <w:rsid w:val="00FA42FC"/>
    <w:rsid w:val="00FA4342"/>
    <w:rsid w:val="00FA465D"/>
    <w:rsid w:val="00FA47A9"/>
    <w:rsid w:val="00FA4D0F"/>
    <w:rsid w:val="00FA4FC2"/>
    <w:rsid w:val="00FA5247"/>
    <w:rsid w:val="00FA5291"/>
    <w:rsid w:val="00FA5718"/>
    <w:rsid w:val="00FA57B5"/>
    <w:rsid w:val="00FA5847"/>
    <w:rsid w:val="00FA5BF9"/>
    <w:rsid w:val="00FA5CC9"/>
    <w:rsid w:val="00FA5CCC"/>
    <w:rsid w:val="00FA5D04"/>
    <w:rsid w:val="00FA5EFE"/>
    <w:rsid w:val="00FA6105"/>
    <w:rsid w:val="00FA6305"/>
    <w:rsid w:val="00FA63F6"/>
    <w:rsid w:val="00FA649E"/>
    <w:rsid w:val="00FA64C3"/>
    <w:rsid w:val="00FA6516"/>
    <w:rsid w:val="00FA6688"/>
    <w:rsid w:val="00FA6867"/>
    <w:rsid w:val="00FA6976"/>
    <w:rsid w:val="00FA7CA1"/>
    <w:rsid w:val="00FA7DA6"/>
    <w:rsid w:val="00FA7FC3"/>
    <w:rsid w:val="00FB055F"/>
    <w:rsid w:val="00FB05F5"/>
    <w:rsid w:val="00FB0B56"/>
    <w:rsid w:val="00FB0C78"/>
    <w:rsid w:val="00FB0CE7"/>
    <w:rsid w:val="00FB0DCC"/>
    <w:rsid w:val="00FB16F2"/>
    <w:rsid w:val="00FB179B"/>
    <w:rsid w:val="00FB1ABD"/>
    <w:rsid w:val="00FB1E94"/>
    <w:rsid w:val="00FB1EAC"/>
    <w:rsid w:val="00FB22FA"/>
    <w:rsid w:val="00FB249E"/>
    <w:rsid w:val="00FB28D1"/>
    <w:rsid w:val="00FB2AF9"/>
    <w:rsid w:val="00FB2B5A"/>
    <w:rsid w:val="00FB3262"/>
    <w:rsid w:val="00FB3290"/>
    <w:rsid w:val="00FB3666"/>
    <w:rsid w:val="00FB36AE"/>
    <w:rsid w:val="00FB3996"/>
    <w:rsid w:val="00FB4251"/>
    <w:rsid w:val="00FB42D2"/>
    <w:rsid w:val="00FB4AE8"/>
    <w:rsid w:val="00FB4C5D"/>
    <w:rsid w:val="00FB4F63"/>
    <w:rsid w:val="00FB57A8"/>
    <w:rsid w:val="00FB594F"/>
    <w:rsid w:val="00FB5B2C"/>
    <w:rsid w:val="00FB5C11"/>
    <w:rsid w:val="00FB5F69"/>
    <w:rsid w:val="00FB6103"/>
    <w:rsid w:val="00FB6557"/>
    <w:rsid w:val="00FB6603"/>
    <w:rsid w:val="00FB678C"/>
    <w:rsid w:val="00FB6960"/>
    <w:rsid w:val="00FB6E52"/>
    <w:rsid w:val="00FB79CD"/>
    <w:rsid w:val="00FC07B4"/>
    <w:rsid w:val="00FC0967"/>
    <w:rsid w:val="00FC09A7"/>
    <w:rsid w:val="00FC17DE"/>
    <w:rsid w:val="00FC1816"/>
    <w:rsid w:val="00FC1A85"/>
    <w:rsid w:val="00FC1D72"/>
    <w:rsid w:val="00FC24A8"/>
    <w:rsid w:val="00FC2C8F"/>
    <w:rsid w:val="00FC30D6"/>
    <w:rsid w:val="00FC32E3"/>
    <w:rsid w:val="00FC3B49"/>
    <w:rsid w:val="00FC3B5C"/>
    <w:rsid w:val="00FC3B87"/>
    <w:rsid w:val="00FC3D08"/>
    <w:rsid w:val="00FC3DCD"/>
    <w:rsid w:val="00FC4016"/>
    <w:rsid w:val="00FC441D"/>
    <w:rsid w:val="00FC4A16"/>
    <w:rsid w:val="00FC4C09"/>
    <w:rsid w:val="00FC524C"/>
    <w:rsid w:val="00FC5AE0"/>
    <w:rsid w:val="00FC5CDB"/>
    <w:rsid w:val="00FC682B"/>
    <w:rsid w:val="00FC68BE"/>
    <w:rsid w:val="00FC68FC"/>
    <w:rsid w:val="00FC6FA1"/>
    <w:rsid w:val="00FC74AC"/>
    <w:rsid w:val="00FC755F"/>
    <w:rsid w:val="00FC77E4"/>
    <w:rsid w:val="00FC78A4"/>
    <w:rsid w:val="00FC7BAF"/>
    <w:rsid w:val="00FC7D18"/>
    <w:rsid w:val="00FC7EF9"/>
    <w:rsid w:val="00FD00AC"/>
    <w:rsid w:val="00FD015B"/>
    <w:rsid w:val="00FD03BE"/>
    <w:rsid w:val="00FD0BCD"/>
    <w:rsid w:val="00FD0D86"/>
    <w:rsid w:val="00FD0F68"/>
    <w:rsid w:val="00FD1011"/>
    <w:rsid w:val="00FD16FD"/>
    <w:rsid w:val="00FD1925"/>
    <w:rsid w:val="00FD1950"/>
    <w:rsid w:val="00FD1D4F"/>
    <w:rsid w:val="00FD25BF"/>
    <w:rsid w:val="00FD31E0"/>
    <w:rsid w:val="00FD341D"/>
    <w:rsid w:val="00FD35F7"/>
    <w:rsid w:val="00FD4021"/>
    <w:rsid w:val="00FD40E5"/>
    <w:rsid w:val="00FD46AF"/>
    <w:rsid w:val="00FD4B02"/>
    <w:rsid w:val="00FD4D81"/>
    <w:rsid w:val="00FD4DA7"/>
    <w:rsid w:val="00FD52AF"/>
    <w:rsid w:val="00FD52FA"/>
    <w:rsid w:val="00FD53C8"/>
    <w:rsid w:val="00FD565E"/>
    <w:rsid w:val="00FD5830"/>
    <w:rsid w:val="00FD590A"/>
    <w:rsid w:val="00FD5A01"/>
    <w:rsid w:val="00FD5B53"/>
    <w:rsid w:val="00FD5DE5"/>
    <w:rsid w:val="00FD5F88"/>
    <w:rsid w:val="00FD60B6"/>
    <w:rsid w:val="00FD634E"/>
    <w:rsid w:val="00FD6AA6"/>
    <w:rsid w:val="00FD6B1A"/>
    <w:rsid w:val="00FD74F8"/>
    <w:rsid w:val="00FD78FB"/>
    <w:rsid w:val="00FD798E"/>
    <w:rsid w:val="00FD7AF5"/>
    <w:rsid w:val="00FD7D21"/>
    <w:rsid w:val="00FD7EA0"/>
    <w:rsid w:val="00FD7EC7"/>
    <w:rsid w:val="00FD7F8F"/>
    <w:rsid w:val="00FE0049"/>
    <w:rsid w:val="00FE00FF"/>
    <w:rsid w:val="00FE0475"/>
    <w:rsid w:val="00FE0531"/>
    <w:rsid w:val="00FE0697"/>
    <w:rsid w:val="00FE09C7"/>
    <w:rsid w:val="00FE0A02"/>
    <w:rsid w:val="00FE0B25"/>
    <w:rsid w:val="00FE0F8D"/>
    <w:rsid w:val="00FE11C9"/>
    <w:rsid w:val="00FE124B"/>
    <w:rsid w:val="00FE12C7"/>
    <w:rsid w:val="00FE1693"/>
    <w:rsid w:val="00FE195F"/>
    <w:rsid w:val="00FE1D16"/>
    <w:rsid w:val="00FE1D1B"/>
    <w:rsid w:val="00FE2243"/>
    <w:rsid w:val="00FE363B"/>
    <w:rsid w:val="00FE368D"/>
    <w:rsid w:val="00FE3A12"/>
    <w:rsid w:val="00FE3B50"/>
    <w:rsid w:val="00FE438B"/>
    <w:rsid w:val="00FE45EF"/>
    <w:rsid w:val="00FE46BE"/>
    <w:rsid w:val="00FE4A0A"/>
    <w:rsid w:val="00FE4D47"/>
    <w:rsid w:val="00FE4D6C"/>
    <w:rsid w:val="00FE51DD"/>
    <w:rsid w:val="00FE5372"/>
    <w:rsid w:val="00FE574D"/>
    <w:rsid w:val="00FE5BC9"/>
    <w:rsid w:val="00FE5DA8"/>
    <w:rsid w:val="00FE6285"/>
    <w:rsid w:val="00FE63EE"/>
    <w:rsid w:val="00FE67E5"/>
    <w:rsid w:val="00FE6AB2"/>
    <w:rsid w:val="00FE6C8C"/>
    <w:rsid w:val="00FE6DEB"/>
    <w:rsid w:val="00FE6EE5"/>
    <w:rsid w:val="00FE745C"/>
    <w:rsid w:val="00FE7B78"/>
    <w:rsid w:val="00FE7E10"/>
    <w:rsid w:val="00FE7EC8"/>
    <w:rsid w:val="00FF0068"/>
    <w:rsid w:val="00FF0817"/>
    <w:rsid w:val="00FF0DA1"/>
    <w:rsid w:val="00FF0FE1"/>
    <w:rsid w:val="00FF1012"/>
    <w:rsid w:val="00FF12A7"/>
    <w:rsid w:val="00FF150F"/>
    <w:rsid w:val="00FF1796"/>
    <w:rsid w:val="00FF1815"/>
    <w:rsid w:val="00FF1AD4"/>
    <w:rsid w:val="00FF1C51"/>
    <w:rsid w:val="00FF1D61"/>
    <w:rsid w:val="00FF2011"/>
    <w:rsid w:val="00FF20F4"/>
    <w:rsid w:val="00FF256E"/>
    <w:rsid w:val="00FF277A"/>
    <w:rsid w:val="00FF27A3"/>
    <w:rsid w:val="00FF282C"/>
    <w:rsid w:val="00FF28BB"/>
    <w:rsid w:val="00FF29A6"/>
    <w:rsid w:val="00FF2E4D"/>
    <w:rsid w:val="00FF2F02"/>
    <w:rsid w:val="00FF2F9B"/>
    <w:rsid w:val="00FF3340"/>
    <w:rsid w:val="00FF337F"/>
    <w:rsid w:val="00FF33C1"/>
    <w:rsid w:val="00FF382B"/>
    <w:rsid w:val="00FF3F03"/>
    <w:rsid w:val="00FF3F6A"/>
    <w:rsid w:val="00FF46C8"/>
    <w:rsid w:val="00FF4B68"/>
    <w:rsid w:val="00FF4EC5"/>
    <w:rsid w:val="00FF56E8"/>
    <w:rsid w:val="00FF5A2F"/>
    <w:rsid w:val="00FF5DEC"/>
    <w:rsid w:val="00FF5E9E"/>
    <w:rsid w:val="00FF5F6C"/>
    <w:rsid w:val="00FF60C4"/>
    <w:rsid w:val="00FF6156"/>
    <w:rsid w:val="00FF627E"/>
    <w:rsid w:val="00FF640E"/>
    <w:rsid w:val="00FF6C1D"/>
    <w:rsid w:val="00FF7474"/>
    <w:rsid w:val="00FF7502"/>
    <w:rsid w:val="00FF7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67C4"/>
  <w15:chartTrackingRefBased/>
  <w15:docId w15:val="{96719FC6-C421-4315-ADBE-B6EA9D7A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66"/>
    <w:pPr>
      <w:spacing w:before="240" w:line="480" w:lineRule="auto"/>
      <w:ind w:firstLine="567"/>
    </w:pPr>
  </w:style>
  <w:style w:type="paragraph" w:styleId="Heading1">
    <w:name w:val="heading 1"/>
    <w:basedOn w:val="Normal"/>
    <w:next w:val="Normal"/>
    <w:link w:val="Heading1Char"/>
    <w:uiPriority w:val="9"/>
    <w:qFormat/>
    <w:rsid w:val="00C91F77"/>
    <w:pPr>
      <w:ind w:firstLine="0"/>
      <w:outlineLvl w:val="0"/>
    </w:pPr>
    <w:rPr>
      <w:b/>
      <w:bCs/>
      <w:sz w:val="24"/>
      <w:szCs w:val="24"/>
    </w:rPr>
  </w:style>
  <w:style w:type="paragraph" w:styleId="Heading2">
    <w:name w:val="heading 2"/>
    <w:basedOn w:val="Normal"/>
    <w:next w:val="Normal"/>
    <w:link w:val="Heading2Char"/>
    <w:uiPriority w:val="9"/>
    <w:unhideWhenUsed/>
    <w:qFormat/>
    <w:rsid w:val="008E4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77"/>
    <w:rPr>
      <w:b/>
      <w:bCs/>
      <w:sz w:val="24"/>
      <w:szCs w:val="24"/>
    </w:rPr>
  </w:style>
  <w:style w:type="character" w:customStyle="1" w:styleId="Heading2Char">
    <w:name w:val="Heading 2 Char"/>
    <w:basedOn w:val="DefaultParagraphFont"/>
    <w:link w:val="Heading2"/>
    <w:uiPriority w:val="9"/>
    <w:rsid w:val="008E4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41A"/>
    <w:rPr>
      <w:rFonts w:eastAsiaTheme="majorEastAsia" w:cstheme="majorBidi"/>
      <w:color w:val="272727" w:themeColor="text1" w:themeTint="D8"/>
    </w:rPr>
  </w:style>
  <w:style w:type="paragraph" w:styleId="Title">
    <w:name w:val="Title"/>
    <w:basedOn w:val="Normal"/>
    <w:next w:val="Normal"/>
    <w:link w:val="TitleChar"/>
    <w:uiPriority w:val="10"/>
    <w:qFormat/>
    <w:rsid w:val="009D2A1D"/>
    <w:pPr>
      <w:spacing w:before="0" w:after="0" w:line="276" w:lineRule="auto"/>
      <w:ind w:firstLine="0"/>
      <w:jc w:val="center"/>
    </w:pPr>
    <w:rPr>
      <w:b/>
      <w:bCs/>
      <w:sz w:val="40"/>
      <w:szCs w:val="40"/>
    </w:rPr>
  </w:style>
  <w:style w:type="character" w:customStyle="1" w:styleId="TitleChar">
    <w:name w:val="Title Char"/>
    <w:basedOn w:val="DefaultParagraphFont"/>
    <w:link w:val="Title"/>
    <w:uiPriority w:val="10"/>
    <w:rsid w:val="009D2A1D"/>
    <w:rPr>
      <w:b/>
      <w:bCs/>
      <w:sz w:val="40"/>
      <w:szCs w:val="40"/>
    </w:rPr>
  </w:style>
  <w:style w:type="paragraph" w:styleId="Subtitle">
    <w:name w:val="Subtitle"/>
    <w:basedOn w:val="Normal"/>
    <w:next w:val="Normal"/>
    <w:link w:val="SubtitleChar"/>
    <w:uiPriority w:val="11"/>
    <w:qFormat/>
    <w:rsid w:val="009D2A1D"/>
    <w:pPr>
      <w:numPr>
        <w:ilvl w:val="1"/>
      </w:numPr>
      <w:spacing w:after="0" w:line="276" w:lineRule="auto"/>
      <w:ind w:firstLine="567"/>
      <w:jc w:val="center"/>
    </w:pPr>
    <w:rPr>
      <w:rFonts w:eastAsiaTheme="majorEastAsia" w:cstheme="majorBidi"/>
      <w:i/>
      <w:iCs/>
      <w:color w:val="595959" w:themeColor="text1" w:themeTint="A6"/>
      <w:spacing w:val="15"/>
      <w:sz w:val="28"/>
      <w:szCs w:val="28"/>
    </w:rPr>
  </w:style>
  <w:style w:type="character" w:customStyle="1" w:styleId="SubtitleChar">
    <w:name w:val="Subtitle Char"/>
    <w:basedOn w:val="DefaultParagraphFont"/>
    <w:link w:val="Subtitle"/>
    <w:uiPriority w:val="11"/>
    <w:rsid w:val="009D2A1D"/>
    <w:rPr>
      <w:rFonts w:eastAsiaTheme="majorEastAsia" w:cstheme="majorBidi"/>
      <w:i/>
      <w:iCs/>
      <w:color w:val="595959" w:themeColor="text1" w:themeTint="A6"/>
      <w:spacing w:val="15"/>
      <w:sz w:val="28"/>
      <w:szCs w:val="28"/>
    </w:rPr>
  </w:style>
  <w:style w:type="paragraph" w:styleId="Quote">
    <w:name w:val="Quote"/>
    <w:basedOn w:val="Normal"/>
    <w:next w:val="Normal"/>
    <w:link w:val="QuoteChar"/>
    <w:uiPriority w:val="29"/>
    <w:qFormat/>
    <w:rsid w:val="008E441A"/>
    <w:pPr>
      <w:spacing w:before="160"/>
      <w:jc w:val="center"/>
    </w:pPr>
    <w:rPr>
      <w:i/>
      <w:iCs/>
      <w:color w:val="404040" w:themeColor="text1" w:themeTint="BF"/>
    </w:rPr>
  </w:style>
  <w:style w:type="character" w:customStyle="1" w:styleId="QuoteChar">
    <w:name w:val="Quote Char"/>
    <w:basedOn w:val="DefaultParagraphFont"/>
    <w:link w:val="Quote"/>
    <w:uiPriority w:val="29"/>
    <w:rsid w:val="008E441A"/>
    <w:rPr>
      <w:i/>
      <w:iCs/>
      <w:color w:val="404040" w:themeColor="text1" w:themeTint="BF"/>
    </w:rPr>
  </w:style>
  <w:style w:type="paragraph" w:styleId="ListParagraph">
    <w:name w:val="List Paragraph"/>
    <w:basedOn w:val="Normal"/>
    <w:uiPriority w:val="34"/>
    <w:qFormat/>
    <w:rsid w:val="008E441A"/>
    <w:pPr>
      <w:ind w:left="720"/>
      <w:contextualSpacing/>
    </w:pPr>
  </w:style>
  <w:style w:type="character" w:styleId="IntenseEmphasis">
    <w:name w:val="Intense Emphasis"/>
    <w:basedOn w:val="DefaultParagraphFont"/>
    <w:uiPriority w:val="21"/>
    <w:qFormat/>
    <w:rsid w:val="008E441A"/>
    <w:rPr>
      <w:i/>
      <w:iCs/>
      <w:color w:val="0F4761" w:themeColor="accent1" w:themeShade="BF"/>
    </w:rPr>
  </w:style>
  <w:style w:type="paragraph" w:styleId="IntenseQuote">
    <w:name w:val="Intense Quote"/>
    <w:basedOn w:val="Normal"/>
    <w:next w:val="Normal"/>
    <w:link w:val="IntenseQuoteChar"/>
    <w:uiPriority w:val="30"/>
    <w:qFormat/>
    <w:rsid w:val="008E4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41A"/>
    <w:rPr>
      <w:i/>
      <w:iCs/>
      <w:color w:val="0F4761" w:themeColor="accent1" w:themeShade="BF"/>
    </w:rPr>
  </w:style>
  <w:style w:type="character" w:styleId="IntenseReference">
    <w:name w:val="Intense Reference"/>
    <w:basedOn w:val="DefaultParagraphFont"/>
    <w:uiPriority w:val="32"/>
    <w:qFormat/>
    <w:rsid w:val="008E441A"/>
    <w:rPr>
      <w:b/>
      <w:bCs/>
      <w:smallCaps/>
      <w:color w:val="0F4761" w:themeColor="accent1" w:themeShade="BF"/>
      <w:spacing w:val="5"/>
    </w:rPr>
  </w:style>
  <w:style w:type="paragraph" w:styleId="TOC1">
    <w:name w:val="toc 1"/>
    <w:basedOn w:val="Normal"/>
    <w:next w:val="Normal"/>
    <w:link w:val="TOC1Char"/>
    <w:autoRedefine/>
    <w:uiPriority w:val="39"/>
    <w:unhideWhenUsed/>
    <w:rsid w:val="003776FF"/>
    <w:pPr>
      <w:tabs>
        <w:tab w:val="right" w:leader="dot" w:pos="9350"/>
      </w:tabs>
      <w:spacing w:before="0" w:after="0" w:line="276" w:lineRule="auto"/>
      <w:ind w:firstLine="0"/>
    </w:pPr>
  </w:style>
  <w:style w:type="paragraph" w:customStyle="1" w:styleId="TOCHeader">
    <w:name w:val="TOC Header"/>
    <w:basedOn w:val="Normal"/>
    <w:link w:val="TOCHeaderChar"/>
    <w:qFormat/>
    <w:rsid w:val="009D2A1D"/>
    <w:pPr>
      <w:ind w:firstLine="0"/>
    </w:pPr>
    <w:rPr>
      <w:b/>
      <w:bCs/>
      <w:sz w:val="24"/>
      <w:szCs w:val="24"/>
    </w:rPr>
  </w:style>
  <w:style w:type="character" w:customStyle="1" w:styleId="TOCHeaderChar">
    <w:name w:val="TOC Header Char"/>
    <w:basedOn w:val="DefaultParagraphFont"/>
    <w:link w:val="TOCHeader"/>
    <w:rsid w:val="009D2A1D"/>
    <w:rPr>
      <w:b/>
      <w:bCs/>
      <w:sz w:val="24"/>
      <w:szCs w:val="24"/>
    </w:rPr>
  </w:style>
  <w:style w:type="paragraph" w:customStyle="1" w:styleId="TOCnormal">
    <w:name w:val="TOC normal"/>
    <w:basedOn w:val="TOC1"/>
    <w:link w:val="TOCnormalChar"/>
    <w:qFormat/>
    <w:rsid w:val="003776FF"/>
    <w:rPr>
      <w:noProof/>
    </w:rPr>
  </w:style>
  <w:style w:type="character" w:customStyle="1" w:styleId="TOC1Char">
    <w:name w:val="TOC 1 Char"/>
    <w:basedOn w:val="DefaultParagraphFont"/>
    <w:link w:val="TOC1"/>
    <w:uiPriority w:val="39"/>
    <w:rsid w:val="003776FF"/>
  </w:style>
  <w:style w:type="character" w:customStyle="1" w:styleId="TOCnormalChar">
    <w:name w:val="TOC normal Char"/>
    <w:basedOn w:val="TOC1Char"/>
    <w:link w:val="TOCnormal"/>
    <w:rsid w:val="003776FF"/>
    <w:rPr>
      <w:noProof/>
    </w:rPr>
  </w:style>
  <w:style w:type="paragraph" w:styleId="EndnoteText">
    <w:name w:val="endnote text"/>
    <w:basedOn w:val="NoSpacing"/>
    <w:link w:val="EndnoteTextChar"/>
    <w:uiPriority w:val="99"/>
    <w:unhideWhenUsed/>
    <w:rsid w:val="001E49E1"/>
    <w:rPr>
      <w:sz w:val="20"/>
      <w:szCs w:val="20"/>
    </w:rPr>
  </w:style>
  <w:style w:type="character" w:customStyle="1" w:styleId="EndnoteTextChar">
    <w:name w:val="Endnote Text Char"/>
    <w:basedOn w:val="DefaultParagraphFont"/>
    <w:link w:val="EndnoteText"/>
    <w:uiPriority w:val="99"/>
    <w:rsid w:val="00AF4CAA"/>
    <w:rPr>
      <w:sz w:val="20"/>
      <w:szCs w:val="20"/>
    </w:rPr>
  </w:style>
  <w:style w:type="character" w:styleId="EndnoteReference">
    <w:name w:val="endnote reference"/>
    <w:basedOn w:val="DefaultParagraphFont"/>
    <w:uiPriority w:val="99"/>
    <w:semiHidden/>
    <w:unhideWhenUsed/>
    <w:rsid w:val="001E49E1"/>
    <w:rPr>
      <w:vertAlign w:val="superscript"/>
    </w:rPr>
  </w:style>
  <w:style w:type="paragraph" w:styleId="FootnoteText">
    <w:name w:val="footnote text"/>
    <w:basedOn w:val="Normal"/>
    <w:link w:val="FootnoteTextChar"/>
    <w:uiPriority w:val="99"/>
    <w:semiHidden/>
    <w:unhideWhenUsed/>
    <w:rsid w:val="004014F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014F6"/>
    <w:rPr>
      <w:sz w:val="20"/>
      <w:szCs w:val="20"/>
    </w:rPr>
  </w:style>
  <w:style w:type="character" w:styleId="FootnoteReference">
    <w:name w:val="footnote reference"/>
    <w:basedOn w:val="DefaultParagraphFont"/>
    <w:uiPriority w:val="99"/>
    <w:semiHidden/>
    <w:unhideWhenUsed/>
    <w:rsid w:val="004014F6"/>
    <w:rPr>
      <w:vertAlign w:val="superscript"/>
    </w:rPr>
  </w:style>
  <w:style w:type="paragraph" w:customStyle="1" w:styleId="refnormal">
    <w:name w:val="refnormal"/>
    <w:basedOn w:val="EndnoteText"/>
    <w:link w:val="refnormalChar"/>
    <w:qFormat/>
    <w:rsid w:val="009D2A1D"/>
  </w:style>
  <w:style w:type="character" w:customStyle="1" w:styleId="refnormalChar">
    <w:name w:val="refnormal Char"/>
    <w:basedOn w:val="EndnoteTextChar"/>
    <w:link w:val="refnormal"/>
    <w:rsid w:val="009D2A1D"/>
    <w:rPr>
      <w:sz w:val="20"/>
      <w:szCs w:val="20"/>
    </w:rPr>
  </w:style>
  <w:style w:type="paragraph" w:customStyle="1" w:styleId="Authortitle">
    <w:name w:val="Author title"/>
    <w:basedOn w:val="Subtitle"/>
    <w:link w:val="AuthortitleChar"/>
    <w:qFormat/>
    <w:rsid w:val="003936CF"/>
    <w:rPr>
      <w:sz w:val="24"/>
      <w:szCs w:val="24"/>
    </w:rPr>
  </w:style>
  <w:style w:type="character" w:customStyle="1" w:styleId="AuthortitleChar">
    <w:name w:val="Author title Char"/>
    <w:basedOn w:val="SubtitleChar"/>
    <w:link w:val="Authortitle"/>
    <w:rsid w:val="003936CF"/>
    <w:rPr>
      <w:rFonts w:eastAsiaTheme="majorEastAsia" w:cstheme="majorBidi"/>
      <w:i/>
      <w:iCs/>
      <w:color w:val="595959" w:themeColor="text1" w:themeTint="A6"/>
      <w:spacing w:val="15"/>
      <w:sz w:val="24"/>
      <w:szCs w:val="24"/>
    </w:rPr>
  </w:style>
  <w:style w:type="table" w:styleId="TableGrid">
    <w:name w:val="Table Grid"/>
    <w:basedOn w:val="TableNormal"/>
    <w:uiPriority w:val="39"/>
    <w:rsid w:val="0014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CAA"/>
    <w:pPr>
      <w:spacing w:after="0" w:line="240" w:lineRule="auto"/>
    </w:pPr>
  </w:style>
  <w:style w:type="paragraph" w:styleId="Caption">
    <w:name w:val="caption"/>
    <w:basedOn w:val="Normal"/>
    <w:next w:val="Normal"/>
    <w:uiPriority w:val="35"/>
    <w:unhideWhenUsed/>
    <w:qFormat/>
    <w:rsid w:val="00141700"/>
    <w:pPr>
      <w:keepNext/>
      <w:spacing w:before="0" w:after="200" w:line="240" w:lineRule="auto"/>
      <w:ind w:firstLine="0"/>
    </w:pPr>
    <w:rPr>
      <w:i/>
      <w:iCs/>
      <w:color w:val="0E2841" w:themeColor="text2"/>
      <w:sz w:val="18"/>
      <w:szCs w:val="18"/>
    </w:rPr>
  </w:style>
  <w:style w:type="paragraph" w:styleId="TableofFigures">
    <w:name w:val="table of figures"/>
    <w:basedOn w:val="Normal"/>
    <w:next w:val="Normal"/>
    <w:uiPriority w:val="99"/>
    <w:unhideWhenUsed/>
    <w:rsid w:val="00141700"/>
    <w:pPr>
      <w:spacing w:after="0"/>
    </w:pPr>
  </w:style>
  <w:style w:type="character" w:styleId="Hyperlink">
    <w:name w:val="Hyperlink"/>
    <w:basedOn w:val="DefaultParagraphFont"/>
    <w:uiPriority w:val="99"/>
    <w:unhideWhenUsed/>
    <w:rsid w:val="00141700"/>
    <w:rPr>
      <w:color w:val="467886" w:themeColor="hyperlink"/>
      <w:u w:val="single"/>
    </w:rPr>
  </w:style>
  <w:style w:type="paragraph" w:styleId="Header">
    <w:name w:val="header"/>
    <w:basedOn w:val="Normal"/>
    <w:link w:val="HeaderChar"/>
    <w:uiPriority w:val="99"/>
    <w:unhideWhenUsed/>
    <w:rsid w:val="00DF4F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4F27"/>
  </w:style>
  <w:style w:type="paragraph" w:styleId="Footer">
    <w:name w:val="footer"/>
    <w:basedOn w:val="Normal"/>
    <w:link w:val="FooterChar"/>
    <w:uiPriority w:val="99"/>
    <w:unhideWhenUsed/>
    <w:rsid w:val="00DF4F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4F27"/>
  </w:style>
  <w:style w:type="paragraph" w:customStyle="1" w:styleId="captionadd">
    <w:name w:val="captionadd"/>
    <w:basedOn w:val="Normal"/>
    <w:link w:val="captionaddChar"/>
    <w:qFormat/>
    <w:rsid w:val="007B03E2"/>
    <w:pPr>
      <w:spacing w:line="276" w:lineRule="auto"/>
      <w:ind w:firstLine="0"/>
    </w:pPr>
    <w:rPr>
      <w:sz w:val="18"/>
      <w:szCs w:val="18"/>
    </w:rPr>
  </w:style>
  <w:style w:type="character" w:customStyle="1" w:styleId="captionaddChar">
    <w:name w:val="captionadd Char"/>
    <w:basedOn w:val="DefaultParagraphFont"/>
    <w:link w:val="captionadd"/>
    <w:rsid w:val="007B03E2"/>
    <w:rPr>
      <w:sz w:val="18"/>
      <w:szCs w:val="18"/>
    </w:rPr>
  </w:style>
  <w:style w:type="paragraph" w:customStyle="1" w:styleId="Subheading">
    <w:name w:val="Subheading"/>
    <w:basedOn w:val="Normal"/>
    <w:link w:val="SubheadingChar"/>
    <w:qFormat/>
    <w:rsid w:val="008246EF"/>
    <w:pPr>
      <w:ind w:firstLine="0"/>
      <w:jc w:val="center"/>
    </w:pPr>
    <w:rPr>
      <w:b/>
      <w:bCs/>
      <w:u w:val="single"/>
    </w:rPr>
  </w:style>
  <w:style w:type="character" w:customStyle="1" w:styleId="SubheadingChar">
    <w:name w:val="Subheading Char"/>
    <w:basedOn w:val="DefaultParagraphFont"/>
    <w:link w:val="Subheading"/>
    <w:rsid w:val="008246EF"/>
    <w:rPr>
      <w:b/>
      <w:bCs/>
      <w:u w:val="single"/>
    </w:rPr>
  </w:style>
  <w:style w:type="paragraph" w:styleId="Bibliography">
    <w:name w:val="Bibliography"/>
    <w:basedOn w:val="Normal"/>
    <w:next w:val="Normal"/>
    <w:uiPriority w:val="37"/>
    <w:unhideWhenUsed/>
    <w:rsid w:val="00E41502"/>
    <w:pPr>
      <w:spacing w:line="360" w:lineRule="auto"/>
    </w:pPr>
  </w:style>
  <w:style w:type="paragraph" w:styleId="NormalWeb">
    <w:name w:val="Normal (Web)"/>
    <w:basedOn w:val="Normal"/>
    <w:uiPriority w:val="99"/>
    <w:semiHidden/>
    <w:unhideWhenUsed/>
    <w:rsid w:val="00D86C2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B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854">
      <w:bodyDiv w:val="1"/>
      <w:marLeft w:val="0"/>
      <w:marRight w:val="0"/>
      <w:marTop w:val="0"/>
      <w:marBottom w:val="0"/>
      <w:divBdr>
        <w:top w:val="none" w:sz="0" w:space="0" w:color="auto"/>
        <w:left w:val="none" w:sz="0" w:space="0" w:color="auto"/>
        <w:bottom w:val="none" w:sz="0" w:space="0" w:color="auto"/>
        <w:right w:val="none" w:sz="0" w:space="0" w:color="auto"/>
      </w:divBdr>
    </w:div>
    <w:div w:id="9261361">
      <w:bodyDiv w:val="1"/>
      <w:marLeft w:val="0"/>
      <w:marRight w:val="0"/>
      <w:marTop w:val="0"/>
      <w:marBottom w:val="0"/>
      <w:divBdr>
        <w:top w:val="none" w:sz="0" w:space="0" w:color="auto"/>
        <w:left w:val="none" w:sz="0" w:space="0" w:color="auto"/>
        <w:bottom w:val="none" w:sz="0" w:space="0" w:color="auto"/>
        <w:right w:val="none" w:sz="0" w:space="0" w:color="auto"/>
      </w:divBdr>
    </w:div>
    <w:div w:id="11612012">
      <w:bodyDiv w:val="1"/>
      <w:marLeft w:val="0"/>
      <w:marRight w:val="0"/>
      <w:marTop w:val="0"/>
      <w:marBottom w:val="0"/>
      <w:divBdr>
        <w:top w:val="none" w:sz="0" w:space="0" w:color="auto"/>
        <w:left w:val="none" w:sz="0" w:space="0" w:color="auto"/>
        <w:bottom w:val="none" w:sz="0" w:space="0" w:color="auto"/>
        <w:right w:val="none" w:sz="0" w:space="0" w:color="auto"/>
      </w:divBdr>
    </w:div>
    <w:div w:id="15736491">
      <w:bodyDiv w:val="1"/>
      <w:marLeft w:val="0"/>
      <w:marRight w:val="0"/>
      <w:marTop w:val="0"/>
      <w:marBottom w:val="0"/>
      <w:divBdr>
        <w:top w:val="none" w:sz="0" w:space="0" w:color="auto"/>
        <w:left w:val="none" w:sz="0" w:space="0" w:color="auto"/>
        <w:bottom w:val="none" w:sz="0" w:space="0" w:color="auto"/>
        <w:right w:val="none" w:sz="0" w:space="0" w:color="auto"/>
      </w:divBdr>
    </w:div>
    <w:div w:id="28336240">
      <w:bodyDiv w:val="1"/>
      <w:marLeft w:val="0"/>
      <w:marRight w:val="0"/>
      <w:marTop w:val="0"/>
      <w:marBottom w:val="0"/>
      <w:divBdr>
        <w:top w:val="none" w:sz="0" w:space="0" w:color="auto"/>
        <w:left w:val="none" w:sz="0" w:space="0" w:color="auto"/>
        <w:bottom w:val="none" w:sz="0" w:space="0" w:color="auto"/>
        <w:right w:val="none" w:sz="0" w:space="0" w:color="auto"/>
      </w:divBdr>
    </w:div>
    <w:div w:id="40709043">
      <w:bodyDiv w:val="1"/>
      <w:marLeft w:val="0"/>
      <w:marRight w:val="0"/>
      <w:marTop w:val="0"/>
      <w:marBottom w:val="0"/>
      <w:divBdr>
        <w:top w:val="none" w:sz="0" w:space="0" w:color="auto"/>
        <w:left w:val="none" w:sz="0" w:space="0" w:color="auto"/>
        <w:bottom w:val="none" w:sz="0" w:space="0" w:color="auto"/>
        <w:right w:val="none" w:sz="0" w:space="0" w:color="auto"/>
      </w:divBdr>
    </w:div>
    <w:div w:id="42758278">
      <w:bodyDiv w:val="1"/>
      <w:marLeft w:val="0"/>
      <w:marRight w:val="0"/>
      <w:marTop w:val="0"/>
      <w:marBottom w:val="0"/>
      <w:divBdr>
        <w:top w:val="none" w:sz="0" w:space="0" w:color="auto"/>
        <w:left w:val="none" w:sz="0" w:space="0" w:color="auto"/>
        <w:bottom w:val="none" w:sz="0" w:space="0" w:color="auto"/>
        <w:right w:val="none" w:sz="0" w:space="0" w:color="auto"/>
      </w:divBdr>
    </w:div>
    <w:div w:id="56393374">
      <w:bodyDiv w:val="1"/>
      <w:marLeft w:val="0"/>
      <w:marRight w:val="0"/>
      <w:marTop w:val="0"/>
      <w:marBottom w:val="0"/>
      <w:divBdr>
        <w:top w:val="none" w:sz="0" w:space="0" w:color="auto"/>
        <w:left w:val="none" w:sz="0" w:space="0" w:color="auto"/>
        <w:bottom w:val="none" w:sz="0" w:space="0" w:color="auto"/>
        <w:right w:val="none" w:sz="0" w:space="0" w:color="auto"/>
      </w:divBdr>
    </w:div>
    <w:div w:id="66148569">
      <w:bodyDiv w:val="1"/>
      <w:marLeft w:val="0"/>
      <w:marRight w:val="0"/>
      <w:marTop w:val="0"/>
      <w:marBottom w:val="0"/>
      <w:divBdr>
        <w:top w:val="none" w:sz="0" w:space="0" w:color="auto"/>
        <w:left w:val="none" w:sz="0" w:space="0" w:color="auto"/>
        <w:bottom w:val="none" w:sz="0" w:space="0" w:color="auto"/>
        <w:right w:val="none" w:sz="0" w:space="0" w:color="auto"/>
      </w:divBdr>
    </w:div>
    <w:div w:id="74326347">
      <w:bodyDiv w:val="1"/>
      <w:marLeft w:val="0"/>
      <w:marRight w:val="0"/>
      <w:marTop w:val="0"/>
      <w:marBottom w:val="0"/>
      <w:divBdr>
        <w:top w:val="none" w:sz="0" w:space="0" w:color="auto"/>
        <w:left w:val="none" w:sz="0" w:space="0" w:color="auto"/>
        <w:bottom w:val="none" w:sz="0" w:space="0" w:color="auto"/>
        <w:right w:val="none" w:sz="0" w:space="0" w:color="auto"/>
      </w:divBdr>
    </w:div>
    <w:div w:id="75397499">
      <w:bodyDiv w:val="1"/>
      <w:marLeft w:val="0"/>
      <w:marRight w:val="0"/>
      <w:marTop w:val="0"/>
      <w:marBottom w:val="0"/>
      <w:divBdr>
        <w:top w:val="none" w:sz="0" w:space="0" w:color="auto"/>
        <w:left w:val="none" w:sz="0" w:space="0" w:color="auto"/>
        <w:bottom w:val="none" w:sz="0" w:space="0" w:color="auto"/>
        <w:right w:val="none" w:sz="0" w:space="0" w:color="auto"/>
      </w:divBdr>
    </w:div>
    <w:div w:id="77755465">
      <w:bodyDiv w:val="1"/>
      <w:marLeft w:val="0"/>
      <w:marRight w:val="0"/>
      <w:marTop w:val="0"/>
      <w:marBottom w:val="0"/>
      <w:divBdr>
        <w:top w:val="none" w:sz="0" w:space="0" w:color="auto"/>
        <w:left w:val="none" w:sz="0" w:space="0" w:color="auto"/>
        <w:bottom w:val="none" w:sz="0" w:space="0" w:color="auto"/>
        <w:right w:val="none" w:sz="0" w:space="0" w:color="auto"/>
      </w:divBdr>
    </w:div>
    <w:div w:id="78211193">
      <w:bodyDiv w:val="1"/>
      <w:marLeft w:val="0"/>
      <w:marRight w:val="0"/>
      <w:marTop w:val="0"/>
      <w:marBottom w:val="0"/>
      <w:divBdr>
        <w:top w:val="none" w:sz="0" w:space="0" w:color="auto"/>
        <w:left w:val="none" w:sz="0" w:space="0" w:color="auto"/>
        <w:bottom w:val="none" w:sz="0" w:space="0" w:color="auto"/>
        <w:right w:val="none" w:sz="0" w:space="0" w:color="auto"/>
      </w:divBdr>
    </w:div>
    <w:div w:id="104813864">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1">
          <w:marLeft w:val="0"/>
          <w:marRight w:val="0"/>
          <w:marTop w:val="0"/>
          <w:marBottom w:val="0"/>
          <w:divBdr>
            <w:top w:val="none" w:sz="0" w:space="0" w:color="auto"/>
            <w:left w:val="none" w:sz="0" w:space="0" w:color="auto"/>
            <w:bottom w:val="none" w:sz="0" w:space="0" w:color="auto"/>
            <w:right w:val="none" w:sz="0" w:space="0" w:color="auto"/>
          </w:divBdr>
        </w:div>
      </w:divsChild>
    </w:div>
    <w:div w:id="107093987">
      <w:bodyDiv w:val="1"/>
      <w:marLeft w:val="0"/>
      <w:marRight w:val="0"/>
      <w:marTop w:val="0"/>
      <w:marBottom w:val="0"/>
      <w:divBdr>
        <w:top w:val="none" w:sz="0" w:space="0" w:color="auto"/>
        <w:left w:val="none" w:sz="0" w:space="0" w:color="auto"/>
        <w:bottom w:val="none" w:sz="0" w:space="0" w:color="auto"/>
        <w:right w:val="none" w:sz="0" w:space="0" w:color="auto"/>
      </w:divBdr>
    </w:div>
    <w:div w:id="116947371">
      <w:bodyDiv w:val="1"/>
      <w:marLeft w:val="0"/>
      <w:marRight w:val="0"/>
      <w:marTop w:val="0"/>
      <w:marBottom w:val="0"/>
      <w:divBdr>
        <w:top w:val="none" w:sz="0" w:space="0" w:color="auto"/>
        <w:left w:val="none" w:sz="0" w:space="0" w:color="auto"/>
        <w:bottom w:val="none" w:sz="0" w:space="0" w:color="auto"/>
        <w:right w:val="none" w:sz="0" w:space="0" w:color="auto"/>
      </w:divBdr>
    </w:div>
    <w:div w:id="122846140">
      <w:bodyDiv w:val="1"/>
      <w:marLeft w:val="0"/>
      <w:marRight w:val="0"/>
      <w:marTop w:val="0"/>
      <w:marBottom w:val="0"/>
      <w:divBdr>
        <w:top w:val="none" w:sz="0" w:space="0" w:color="auto"/>
        <w:left w:val="none" w:sz="0" w:space="0" w:color="auto"/>
        <w:bottom w:val="none" w:sz="0" w:space="0" w:color="auto"/>
        <w:right w:val="none" w:sz="0" w:space="0" w:color="auto"/>
      </w:divBdr>
    </w:div>
    <w:div w:id="126169465">
      <w:bodyDiv w:val="1"/>
      <w:marLeft w:val="0"/>
      <w:marRight w:val="0"/>
      <w:marTop w:val="0"/>
      <w:marBottom w:val="0"/>
      <w:divBdr>
        <w:top w:val="none" w:sz="0" w:space="0" w:color="auto"/>
        <w:left w:val="none" w:sz="0" w:space="0" w:color="auto"/>
        <w:bottom w:val="none" w:sz="0" w:space="0" w:color="auto"/>
        <w:right w:val="none" w:sz="0" w:space="0" w:color="auto"/>
      </w:divBdr>
    </w:div>
    <w:div w:id="130755377">
      <w:bodyDiv w:val="1"/>
      <w:marLeft w:val="0"/>
      <w:marRight w:val="0"/>
      <w:marTop w:val="0"/>
      <w:marBottom w:val="0"/>
      <w:divBdr>
        <w:top w:val="none" w:sz="0" w:space="0" w:color="auto"/>
        <w:left w:val="none" w:sz="0" w:space="0" w:color="auto"/>
        <w:bottom w:val="none" w:sz="0" w:space="0" w:color="auto"/>
        <w:right w:val="none" w:sz="0" w:space="0" w:color="auto"/>
      </w:divBdr>
    </w:div>
    <w:div w:id="133761517">
      <w:bodyDiv w:val="1"/>
      <w:marLeft w:val="0"/>
      <w:marRight w:val="0"/>
      <w:marTop w:val="0"/>
      <w:marBottom w:val="0"/>
      <w:divBdr>
        <w:top w:val="none" w:sz="0" w:space="0" w:color="auto"/>
        <w:left w:val="none" w:sz="0" w:space="0" w:color="auto"/>
        <w:bottom w:val="none" w:sz="0" w:space="0" w:color="auto"/>
        <w:right w:val="none" w:sz="0" w:space="0" w:color="auto"/>
      </w:divBdr>
    </w:div>
    <w:div w:id="152720060">
      <w:bodyDiv w:val="1"/>
      <w:marLeft w:val="0"/>
      <w:marRight w:val="0"/>
      <w:marTop w:val="0"/>
      <w:marBottom w:val="0"/>
      <w:divBdr>
        <w:top w:val="none" w:sz="0" w:space="0" w:color="auto"/>
        <w:left w:val="none" w:sz="0" w:space="0" w:color="auto"/>
        <w:bottom w:val="none" w:sz="0" w:space="0" w:color="auto"/>
        <w:right w:val="none" w:sz="0" w:space="0" w:color="auto"/>
      </w:divBdr>
    </w:div>
    <w:div w:id="161287687">
      <w:bodyDiv w:val="1"/>
      <w:marLeft w:val="0"/>
      <w:marRight w:val="0"/>
      <w:marTop w:val="0"/>
      <w:marBottom w:val="0"/>
      <w:divBdr>
        <w:top w:val="none" w:sz="0" w:space="0" w:color="auto"/>
        <w:left w:val="none" w:sz="0" w:space="0" w:color="auto"/>
        <w:bottom w:val="none" w:sz="0" w:space="0" w:color="auto"/>
        <w:right w:val="none" w:sz="0" w:space="0" w:color="auto"/>
      </w:divBdr>
    </w:div>
    <w:div w:id="163516663">
      <w:bodyDiv w:val="1"/>
      <w:marLeft w:val="0"/>
      <w:marRight w:val="0"/>
      <w:marTop w:val="0"/>
      <w:marBottom w:val="0"/>
      <w:divBdr>
        <w:top w:val="none" w:sz="0" w:space="0" w:color="auto"/>
        <w:left w:val="none" w:sz="0" w:space="0" w:color="auto"/>
        <w:bottom w:val="none" w:sz="0" w:space="0" w:color="auto"/>
        <w:right w:val="none" w:sz="0" w:space="0" w:color="auto"/>
      </w:divBdr>
    </w:div>
    <w:div w:id="181865074">
      <w:bodyDiv w:val="1"/>
      <w:marLeft w:val="0"/>
      <w:marRight w:val="0"/>
      <w:marTop w:val="0"/>
      <w:marBottom w:val="0"/>
      <w:divBdr>
        <w:top w:val="none" w:sz="0" w:space="0" w:color="auto"/>
        <w:left w:val="none" w:sz="0" w:space="0" w:color="auto"/>
        <w:bottom w:val="none" w:sz="0" w:space="0" w:color="auto"/>
        <w:right w:val="none" w:sz="0" w:space="0" w:color="auto"/>
      </w:divBdr>
    </w:div>
    <w:div w:id="185949990">
      <w:bodyDiv w:val="1"/>
      <w:marLeft w:val="0"/>
      <w:marRight w:val="0"/>
      <w:marTop w:val="0"/>
      <w:marBottom w:val="0"/>
      <w:divBdr>
        <w:top w:val="none" w:sz="0" w:space="0" w:color="auto"/>
        <w:left w:val="none" w:sz="0" w:space="0" w:color="auto"/>
        <w:bottom w:val="none" w:sz="0" w:space="0" w:color="auto"/>
        <w:right w:val="none" w:sz="0" w:space="0" w:color="auto"/>
      </w:divBdr>
    </w:div>
    <w:div w:id="198443357">
      <w:bodyDiv w:val="1"/>
      <w:marLeft w:val="0"/>
      <w:marRight w:val="0"/>
      <w:marTop w:val="0"/>
      <w:marBottom w:val="0"/>
      <w:divBdr>
        <w:top w:val="none" w:sz="0" w:space="0" w:color="auto"/>
        <w:left w:val="none" w:sz="0" w:space="0" w:color="auto"/>
        <w:bottom w:val="none" w:sz="0" w:space="0" w:color="auto"/>
        <w:right w:val="none" w:sz="0" w:space="0" w:color="auto"/>
      </w:divBdr>
    </w:div>
    <w:div w:id="201140205">
      <w:bodyDiv w:val="1"/>
      <w:marLeft w:val="0"/>
      <w:marRight w:val="0"/>
      <w:marTop w:val="0"/>
      <w:marBottom w:val="0"/>
      <w:divBdr>
        <w:top w:val="none" w:sz="0" w:space="0" w:color="auto"/>
        <w:left w:val="none" w:sz="0" w:space="0" w:color="auto"/>
        <w:bottom w:val="none" w:sz="0" w:space="0" w:color="auto"/>
        <w:right w:val="none" w:sz="0" w:space="0" w:color="auto"/>
      </w:divBdr>
    </w:div>
    <w:div w:id="217787690">
      <w:bodyDiv w:val="1"/>
      <w:marLeft w:val="0"/>
      <w:marRight w:val="0"/>
      <w:marTop w:val="0"/>
      <w:marBottom w:val="0"/>
      <w:divBdr>
        <w:top w:val="none" w:sz="0" w:space="0" w:color="auto"/>
        <w:left w:val="none" w:sz="0" w:space="0" w:color="auto"/>
        <w:bottom w:val="none" w:sz="0" w:space="0" w:color="auto"/>
        <w:right w:val="none" w:sz="0" w:space="0" w:color="auto"/>
      </w:divBdr>
    </w:div>
    <w:div w:id="245381946">
      <w:bodyDiv w:val="1"/>
      <w:marLeft w:val="0"/>
      <w:marRight w:val="0"/>
      <w:marTop w:val="0"/>
      <w:marBottom w:val="0"/>
      <w:divBdr>
        <w:top w:val="none" w:sz="0" w:space="0" w:color="auto"/>
        <w:left w:val="none" w:sz="0" w:space="0" w:color="auto"/>
        <w:bottom w:val="none" w:sz="0" w:space="0" w:color="auto"/>
        <w:right w:val="none" w:sz="0" w:space="0" w:color="auto"/>
      </w:divBdr>
    </w:div>
    <w:div w:id="249392637">
      <w:bodyDiv w:val="1"/>
      <w:marLeft w:val="0"/>
      <w:marRight w:val="0"/>
      <w:marTop w:val="0"/>
      <w:marBottom w:val="0"/>
      <w:divBdr>
        <w:top w:val="none" w:sz="0" w:space="0" w:color="auto"/>
        <w:left w:val="none" w:sz="0" w:space="0" w:color="auto"/>
        <w:bottom w:val="none" w:sz="0" w:space="0" w:color="auto"/>
        <w:right w:val="none" w:sz="0" w:space="0" w:color="auto"/>
      </w:divBdr>
    </w:div>
    <w:div w:id="252904702">
      <w:bodyDiv w:val="1"/>
      <w:marLeft w:val="0"/>
      <w:marRight w:val="0"/>
      <w:marTop w:val="0"/>
      <w:marBottom w:val="0"/>
      <w:divBdr>
        <w:top w:val="none" w:sz="0" w:space="0" w:color="auto"/>
        <w:left w:val="none" w:sz="0" w:space="0" w:color="auto"/>
        <w:bottom w:val="none" w:sz="0" w:space="0" w:color="auto"/>
        <w:right w:val="none" w:sz="0" w:space="0" w:color="auto"/>
      </w:divBdr>
    </w:div>
    <w:div w:id="258409737">
      <w:bodyDiv w:val="1"/>
      <w:marLeft w:val="0"/>
      <w:marRight w:val="0"/>
      <w:marTop w:val="0"/>
      <w:marBottom w:val="0"/>
      <w:divBdr>
        <w:top w:val="none" w:sz="0" w:space="0" w:color="auto"/>
        <w:left w:val="none" w:sz="0" w:space="0" w:color="auto"/>
        <w:bottom w:val="none" w:sz="0" w:space="0" w:color="auto"/>
        <w:right w:val="none" w:sz="0" w:space="0" w:color="auto"/>
      </w:divBdr>
    </w:div>
    <w:div w:id="283736982">
      <w:bodyDiv w:val="1"/>
      <w:marLeft w:val="0"/>
      <w:marRight w:val="0"/>
      <w:marTop w:val="0"/>
      <w:marBottom w:val="0"/>
      <w:divBdr>
        <w:top w:val="none" w:sz="0" w:space="0" w:color="auto"/>
        <w:left w:val="none" w:sz="0" w:space="0" w:color="auto"/>
        <w:bottom w:val="none" w:sz="0" w:space="0" w:color="auto"/>
        <w:right w:val="none" w:sz="0" w:space="0" w:color="auto"/>
      </w:divBdr>
    </w:div>
    <w:div w:id="285619710">
      <w:bodyDiv w:val="1"/>
      <w:marLeft w:val="0"/>
      <w:marRight w:val="0"/>
      <w:marTop w:val="0"/>
      <w:marBottom w:val="0"/>
      <w:divBdr>
        <w:top w:val="none" w:sz="0" w:space="0" w:color="auto"/>
        <w:left w:val="none" w:sz="0" w:space="0" w:color="auto"/>
        <w:bottom w:val="none" w:sz="0" w:space="0" w:color="auto"/>
        <w:right w:val="none" w:sz="0" w:space="0" w:color="auto"/>
      </w:divBdr>
    </w:div>
    <w:div w:id="292903494">
      <w:bodyDiv w:val="1"/>
      <w:marLeft w:val="0"/>
      <w:marRight w:val="0"/>
      <w:marTop w:val="0"/>
      <w:marBottom w:val="0"/>
      <w:divBdr>
        <w:top w:val="none" w:sz="0" w:space="0" w:color="auto"/>
        <w:left w:val="none" w:sz="0" w:space="0" w:color="auto"/>
        <w:bottom w:val="none" w:sz="0" w:space="0" w:color="auto"/>
        <w:right w:val="none" w:sz="0" w:space="0" w:color="auto"/>
      </w:divBdr>
    </w:div>
    <w:div w:id="321737381">
      <w:bodyDiv w:val="1"/>
      <w:marLeft w:val="0"/>
      <w:marRight w:val="0"/>
      <w:marTop w:val="0"/>
      <w:marBottom w:val="0"/>
      <w:divBdr>
        <w:top w:val="none" w:sz="0" w:space="0" w:color="auto"/>
        <w:left w:val="none" w:sz="0" w:space="0" w:color="auto"/>
        <w:bottom w:val="none" w:sz="0" w:space="0" w:color="auto"/>
        <w:right w:val="none" w:sz="0" w:space="0" w:color="auto"/>
      </w:divBdr>
    </w:div>
    <w:div w:id="321858583">
      <w:bodyDiv w:val="1"/>
      <w:marLeft w:val="0"/>
      <w:marRight w:val="0"/>
      <w:marTop w:val="0"/>
      <w:marBottom w:val="0"/>
      <w:divBdr>
        <w:top w:val="none" w:sz="0" w:space="0" w:color="auto"/>
        <w:left w:val="none" w:sz="0" w:space="0" w:color="auto"/>
        <w:bottom w:val="none" w:sz="0" w:space="0" w:color="auto"/>
        <w:right w:val="none" w:sz="0" w:space="0" w:color="auto"/>
      </w:divBdr>
    </w:div>
    <w:div w:id="324237545">
      <w:bodyDiv w:val="1"/>
      <w:marLeft w:val="0"/>
      <w:marRight w:val="0"/>
      <w:marTop w:val="0"/>
      <w:marBottom w:val="0"/>
      <w:divBdr>
        <w:top w:val="none" w:sz="0" w:space="0" w:color="auto"/>
        <w:left w:val="none" w:sz="0" w:space="0" w:color="auto"/>
        <w:bottom w:val="none" w:sz="0" w:space="0" w:color="auto"/>
        <w:right w:val="none" w:sz="0" w:space="0" w:color="auto"/>
      </w:divBdr>
    </w:div>
    <w:div w:id="327906171">
      <w:bodyDiv w:val="1"/>
      <w:marLeft w:val="0"/>
      <w:marRight w:val="0"/>
      <w:marTop w:val="0"/>
      <w:marBottom w:val="0"/>
      <w:divBdr>
        <w:top w:val="none" w:sz="0" w:space="0" w:color="auto"/>
        <w:left w:val="none" w:sz="0" w:space="0" w:color="auto"/>
        <w:bottom w:val="none" w:sz="0" w:space="0" w:color="auto"/>
        <w:right w:val="none" w:sz="0" w:space="0" w:color="auto"/>
      </w:divBdr>
    </w:div>
    <w:div w:id="330909430">
      <w:bodyDiv w:val="1"/>
      <w:marLeft w:val="0"/>
      <w:marRight w:val="0"/>
      <w:marTop w:val="0"/>
      <w:marBottom w:val="0"/>
      <w:divBdr>
        <w:top w:val="none" w:sz="0" w:space="0" w:color="auto"/>
        <w:left w:val="none" w:sz="0" w:space="0" w:color="auto"/>
        <w:bottom w:val="none" w:sz="0" w:space="0" w:color="auto"/>
        <w:right w:val="none" w:sz="0" w:space="0" w:color="auto"/>
      </w:divBdr>
    </w:div>
    <w:div w:id="336468103">
      <w:bodyDiv w:val="1"/>
      <w:marLeft w:val="0"/>
      <w:marRight w:val="0"/>
      <w:marTop w:val="0"/>
      <w:marBottom w:val="0"/>
      <w:divBdr>
        <w:top w:val="none" w:sz="0" w:space="0" w:color="auto"/>
        <w:left w:val="none" w:sz="0" w:space="0" w:color="auto"/>
        <w:bottom w:val="none" w:sz="0" w:space="0" w:color="auto"/>
        <w:right w:val="none" w:sz="0" w:space="0" w:color="auto"/>
      </w:divBdr>
    </w:div>
    <w:div w:id="340394673">
      <w:bodyDiv w:val="1"/>
      <w:marLeft w:val="0"/>
      <w:marRight w:val="0"/>
      <w:marTop w:val="0"/>
      <w:marBottom w:val="0"/>
      <w:divBdr>
        <w:top w:val="none" w:sz="0" w:space="0" w:color="auto"/>
        <w:left w:val="none" w:sz="0" w:space="0" w:color="auto"/>
        <w:bottom w:val="none" w:sz="0" w:space="0" w:color="auto"/>
        <w:right w:val="none" w:sz="0" w:space="0" w:color="auto"/>
      </w:divBdr>
    </w:div>
    <w:div w:id="343366656">
      <w:bodyDiv w:val="1"/>
      <w:marLeft w:val="0"/>
      <w:marRight w:val="0"/>
      <w:marTop w:val="0"/>
      <w:marBottom w:val="0"/>
      <w:divBdr>
        <w:top w:val="none" w:sz="0" w:space="0" w:color="auto"/>
        <w:left w:val="none" w:sz="0" w:space="0" w:color="auto"/>
        <w:bottom w:val="none" w:sz="0" w:space="0" w:color="auto"/>
        <w:right w:val="none" w:sz="0" w:space="0" w:color="auto"/>
      </w:divBdr>
    </w:div>
    <w:div w:id="364329313">
      <w:bodyDiv w:val="1"/>
      <w:marLeft w:val="0"/>
      <w:marRight w:val="0"/>
      <w:marTop w:val="0"/>
      <w:marBottom w:val="0"/>
      <w:divBdr>
        <w:top w:val="none" w:sz="0" w:space="0" w:color="auto"/>
        <w:left w:val="none" w:sz="0" w:space="0" w:color="auto"/>
        <w:bottom w:val="none" w:sz="0" w:space="0" w:color="auto"/>
        <w:right w:val="none" w:sz="0" w:space="0" w:color="auto"/>
      </w:divBdr>
    </w:div>
    <w:div w:id="371539637">
      <w:bodyDiv w:val="1"/>
      <w:marLeft w:val="0"/>
      <w:marRight w:val="0"/>
      <w:marTop w:val="0"/>
      <w:marBottom w:val="0"/>
      <w:divBdr>
        <w:top w:val="none" w:sz="0" w:space="0" w:color="auto"/>
        <w:left w:val="none" w:sz="0" w:space="0" w:color="auto"/>
        <w:bottom w:val="none" w:sz="0" w:space="0" w:color="auto"/>
        <w:right w:val="none" w:sz="0" w:space="0" w:color="auto"/>
      </w:divBdr>
    </w:div>
    <w:div w:id="423382048">
      <w:bodyDiv w:val="1"/>
      <w:marLeft w:val="0"/>
      <w:marRight w:val="0"/>
      <w:marTop w:val="0"/>
      <w:marBottom w:val="0"/>
      <w:divBdr>
        <w:top w:val="none" w:sz="0" w:space="0" w:color="auto"/>
        <w:left w:val="none" w:sz="0" w:space="0" w:color="auto"/>
        <w:bottom w:val="none" w:sz="0" w:space="0" w:color="auto"/>
        <w:right w:val="none" w:sz="0" w:space="0" w:color="auto"/>
      </w:divBdr>
    </w:div>
    <w:div w:id="425611596">
      <w:bodyDiv w:val="1"/>
      <w:marLeft w:val="0"/>
      <w:marRight w:val="0"/>
      <w:marTop w:val="0"/>
      <w:marBottom w:val="0"/>
      <w:divBdr>
        <w:top w:val="none" w:sz="0" w:space="0" w:color="auto"/>
        <w:left w:val="none" w:sz="0" w:space="0" w:color="auto"/>
        <w:bottom w:val="none" w:sz="0" w:space="0" w:color="auto"/>
        <w:right w:val="none" w:sz="0" w:space="0" w:color="auto"/>
      </w:divBdr>
    </w:div>
    <w:div w:id="444085199">
      <w:bodyDiv w:val="1"/>
      <w:marLeft w:val="0"/>
      <w:marRight w:val="0"/>
      <w:marTop w:val="0"/>
      <w:marBottom w:val="0"/>
      <w:divBdr>
        <w:top w:val="none" w:sz="0" w:space="0" w:color="auto"/>
        <w:left w:val="none" w:sz="0" w:space="0" w:color="auto"/>
        <w:bottom w:val="none" w:sz="0" w:space="0" w:color="auto"/>
        <w:right w:val="none" w:sz="0" w:space="0" w:color="auto"/>
      </w:divBdr>
    </w:div>
    <w:div w:id="466774790">
      <w:bodyDiv w:val="1"/>
      <w:marLeft w:val="0"/>
      <w:marRight w:val="0"/>
      <w:marTop w:val="0"/>
      <w:marBottom w:val="0"/>
      <w:divBdr>
        <w:top w:val="none" w:sz="0" w:space="0" w:color="auto"/>
        <w:left w:val="none" w:sz="0" w:space="0" w:color="auto"/>
        <w:bottom w:val="none" w:sz="0" w:space="0" w:color="auto"/>
        <w:right w:val="none" w:sz="0" w:space="0" w:color="auto"/>
      </w:divBdr>
    </w:div>
    <w:div w:id="479805113">
      <w:bodyDiv w:val="1"/>
      <w:marLeft w:val="0"/>
      <w:marRight w:val="0"/>
      <w:marTop w:val="0"/>
      <w:marBottom w:val="0"/>
      <w:divBdr>
        <w:top w:val="none" w:sz="0" w:space="0" w:color="auto"/>
        <w:left w:val="none" w:sz="0" w:space="0" w:color="auto"/>
        <w:bottom w:val="none" w:sz="0" w:space="0" w:color="auto"/>
        <w:right w:val="none" w:sz="0" w:space="0" w:color="auto"/>
      </w:divBdr>
    </w:div>
    <w:div w:id="481043231">
      <w:bodyDiv w:val="1"/>
      <w:marLeft w:val="0"/>
      <w:marRight w:val="0"/>
      <w:marTop w:val="0"/>
      <w:marBottom w:val="0"/>
      <w:divBdr>
        <w:top w:val="none" w:sz="0" w:space="0" w:color="auto"/>
        <w:left w:val="none" w:sz="0" w:space="0" w:color="auto"/>
        <w:bottom w:val="none" w:sz="0" w:space="0" w:color="auto"/>
        <w:right w:val="none" w:sz="0" w:space="0" w:color="auto"/>
      </w:divBdr>
    </w:div>
    <w:div w:id="555508965">
      <w:bodyDiv w:val="1"/>
      <w:marLeft w:val="0"/>
      <w:marRight w:val="0"/>
      <w:marTop w:val="0"/>
      <w:marBottom w:val="0"/>
      <w:divBdr>
        <w:top w:val="none" w:sz="0" w:space="0" w:color="auto"/>
        <w:left w:val="none" w:sz="0" w:space="0" w:color="auto"/>
        <w:bottom w:val="none" w:sz="0" w:space="0" w:color="auto"/>
        <w:right w:val="none" w:sz="0" w:space="0" w:color="auto"/>
      </w:divBdr>
    </w:div>
    <w:div w:id="557209272">
      <w:bodyDiv w:val="1"/>
      <w:marLeft w:val="0"/>
      <w:marRight w:val="0"/>
      <w:marTop w:val="0"/>
      <w:marBottom w:val="0"/>
      <w:divBdr>
        <w:top w:val="none" w:sz="0" w:space="0" w:color="auto"/>
        <w:left w:val="none" w:sz="0" w:space="0" w:color="auto"/>
        <w:bottom w:val="none" w:sz="0" w:space="0" w:color="auto"/>
        <w:right w:val="none" w:sz="0" w:space="0" w:color="auto"/>
      </w:divBdr>
    </w:div>
    <w:div w:id="566499068">
      <w:bodyDiv w:val="1"/>
      <w:marLeft w:val="0"/>
      <w:marRight w:val="0"/>
      <w:marTop w:val="0"/>
      <w:marBottom w:val="0"/>
      <w:divBdr>
        <w:top w:val="none" w:sz="0" w:space="0" w:color="auto"/>
        <w:left w:val="none" w:sz="0" w:space="0" w:color="auto"/>
        <w:bottom w:val="none" w:sz="0" w:space="0" w:color="auto"/>
        <w:right w:val="none" w:sz="0" w:space="0" w:color="auto"/>
      </w:divBdr>
    </w:div>
    <w:div w:id="582185068">
      <w:bodyDiv w:val="1"/>
      <w:marLeft w:val="0"/>
      <w:marRight w:val="0"/>
      <w:marTop w:val="0"/>
      <w:marBottom w:val="0"/>
      <w:divBdr>
        <w:top w:val="none" w:sz="0" w:space="0" w:color="auto"/>
        <w:left w:val="none" w:sz="0" w:space="0" w:color="auto"/>
        <w:bottom w:val="none" w:sz="0" w:space="0" w:color="auto"/>
        <w:right w:val="none" w:sz="0" w:space="0" w:color="auto"/>
      </w:divBdr>
    </w:div>
    <w:div w:id="585499517">
      <w:bodyDiv w:val="1"/>
      <w:marLeft w:val="0"/>
      <w:marRight w:val="0"/>
      <w:marTop w:val="0"/>
      <w:marBottom w:val="0"/>
      <w:divBdr>
        <w:top w:val="none" w:sz="0" w:space="0" w:color="auto"/>
        <w:left w:val="none" w:sz="0" w:space="0" w:color="auto"/>
        <w:bottom w:val="none" w:sz="0" w:space="0" w:color="auto"/>
        <w:right w:val="none" w:sz="0" w:space="0" w:color="auto"/>
      </w:divBdr>
    </w:div>
    <w:div w:id="588319644">
      <w:bodyDiv w:val="1"/>
      <w:marLeft w:val="0"/>
      <w:marRight w:val="0"/>
      <w:marTop w:val="0"/>
      <w:marBottom w:val="0"/>
      <w:divBdr>
        <w:top w:val="none" w:sz="0" w:space="0" w:color="auto"/>
        <w:left w:val="none" w:sz="0" w:space="0" w:color="auto"/>
        <w:bottom w:val="none" w:sz="0" w:space="0" w:color="auto"/>
        <w:right w:val="none" w:sz="0" w:space="0" w:color="auto"/>
      </w:divBdr>
    </w:div>
    <w:div w:id="589511414">
      <w:bodyDiv w:val="1"/>
      <w:marLeft w:val="0"/>
      <w:marRight w:val="0"/>
      <w:marTop w:val="0"/>
      <w:marBottom w:val="0"/>
      <w:divBdr>
        <w:top w:val="none" w:sz="0" w:space="0" w:color="auto"/>
        <w:left w:val="none" w:sz="0" w:space="0" w:color="auto"/>
        <w:bottom w:val="none" w:sz="0" w:space="0" w:color="auto"/>
        <w:right w:val="none" w:sz="0" w:space="0" w:color="auto"/>
      </w:divBdr>
    </w:div>
    <w:div w:id="590163847">
      <w:bodyDiv w:val="1"/>
      <w:marLeft w:val="0"/>
      <w:marRight w:val="0"/>
      <w:marTop w:val="0"/>
      <w:marBottom w:val="0"/>
      <w:divBdr>
        <w:top w:val="none" w:sz="0" w:space="0" w:color="auto"/>
        <w:left w:val="none" w:sz="0" w:space="0" w:color="auto"/>
        <w:bottom w:val="none" w:sz="0" w:space="0" w:color="auto"/>
        <w:right w:val="none" w:sz="0" w:space="0" w:color="auto"/>
      </w:divBdr>
    </w:div>
    <w:div w:id="590239175">
      <w:bodyDiv w:val="1"/>
      <w:marLeft w:val="0"/>
      <w:marRight w:val="0"/>
      <w:marTop w:val="0"/>
      <w:marBottom w:val="0"/>
      <w:divBdr>
        <w:top w:val="none" w:sz="0" w:space="0" w:color="auto"/>
        <w:left w:val="none" w:sz="0" w:space="0" w:color="auto"/>
        <w:bottom w:val="none" w:sz="0" w:space="0" w:color="auto"/>
        <w:right w:val="none" w:sz="0" w:space="0" w:color="auto"/>
      </w:divBdr>
    </w:div>
    <w:div w:id="603347779">
      <w:bodyDiv w:val="1"/>
      <w:marLeft w:val="0"/>
      <w:marRight w:val="0"/>
      <w:marTop w:val="0"/>
      <w:marBottom w:val="0"/>
      <w:divBdr>
        <w:top w:val="none" w:sz="0" w:space="0" w:color="auto"/>
        <w:left w:val="none" w:sz="0" w:space="0" w:color="auto"/>
        <w:bottom w:val="none" w:sz="0" w:space="0" w:color="auto"/>
        <w:right w:val="none" w:sz="0" w:space="0" w:color="auto"/>
      </w:divBdr>
    </w:div>
    <w:div w:id="627517884">
      <w:bodyDiv w:val="1"/>
      <w:marLeft w:val="0"/>
      <w:marRight w:val="0"/>
      <w:marTop w:val="0"/>
      <w:marBottom w:val="0"/>
      <w:divBdr>
        <w:top w:val="none" w:sz="0" w:space="0" w:color="auto"/>
        <w:left w:val="none" w:sz="0" w:space="0" w:color="auto"/>
        <w:bottom w:val="none" w:sz="0" w:space="0" w:color="auto"/>
        <w:right w:val="none" w:sz="0" w:space="0" w:color="auto"/>
      </w:divBdr>
    </w:div>
    <w:div w:id="637762273">
      <w:bodyDiv w:val="1"/>
      <w:marLeft w:val="0"/>
      <w:marRight w:val="0"/>
      <w:marTop w:val="0"/>
      <w:marBottom w:val="0"/>
      <w:divBdr>
        <w:top w:val="none" w:sz="0" w:space="0" w:color="auto"/>
        <w:left w:val="none" w:sz="0" w:space="0" w:color="auto"/>
        <w:bottom w:val="none" w:sz="0" w:space="0" w:color="auto"/>
        <w:right w:val="none" w:sz="0" w:space="0" w:color="auto"/>
      </w:divBdr>
    </w:div>
    <w:div w:id="644236221">
      <w:bodyDiv w:val="1"/>
      <w:marLeft w:val="0"/>
      <w:marRight w:val="0"/>
      <w:marTop w:val="0"/>
      <w:marBottom w:val="0"/>
      <w:divBdr>
        <w:top w:val="none" w:sz="0" w:space="0" w:color="auto"/>
        <w:left w:val="none" w:sz="0" w:space="0" w:color="auto"/>
        <w:bottom w:val="none" w:sz="0" w:space="0" w:color="auto"/>
        <w:right w:val="none" w:sz="0" w:space="0" w:color="auto"/>
      </w:divBdr>
    </w:div>
    <w:div w:id="649945998">
      <w:bodyDiv w:val="1"/>
      <w:marLeft w:val="0"/>
      <w:marRight w:val="0"/>
      <w:marTop w:val="0"/>
      <w:marBottom w:val="0"/>
      <w:divBdr>
        <w:top w:val="none" w:sz="0" w:space="0" w:color="auto"/>
        <w:left w:val="none" w:sz="0" w:space="0" w:color="auto"/>
        <w:bottom w:val="none" w:sz="0" w:space="0" w:color="auto"/>
        <w:right w:val="none" w:sz="0" w:space="0" w:color="auto"/>
      </w:divBdr>
    </w:div>
    <w:div w:id="662708218">
      <w:bodyDiv w:val="1"/>
      <w:marLeft w:val="0"/>
      <w:marRight w:val="0"/>
      <w:marTop w:val="0"/>
      <w:marBottom w:val="0"/>
      <w:divBdr>
        <w:top w:val="none" w:sz="0" w:space="0" w:color="auto"/>
        <w:left w:val="none" w:sz="0" w:space="0" w:color="auto"/>
        <w:bottom w:val="none" w:sz="0" w:space="0" w:color="auto"/>
        <w:right w:val="none" w:sz="0" w:space="0" w:color="auto"/>
      </w:divBdr>
    </w:div>
    <w:div w:id="667827797">
      <w:bodyDiv w:val="1"/>
      <w:marLeft w:val="0"/>
      <w:marRight w:val="0"/>
      <w:marTop w:val="0"/>
      <w:marBottom w:val="0"/>
      <w:divBdr>
        <w:top w:val="none" w:sz="0" w:space="0" w:color="auto"/>
        <w:left w:val="none" w:sz="0" w:space="0" w:color="auto"/>
        <w:bottom w:val="none" w:sz="0" w:space="0" w:color="auto"/>
        <w:right w:val="none" w:sz="0" w:space="0" w:color="auto"/>
      </w:divBdr>
    </w:div>
    <w:div w:id="679965509">
      <w:bodyDiv w:val="1"/>
      <w:marLeft w:val="0"/>
      <w:marRight w:val="0"/>
      <w:marTop w:val="0"/>
      <w:marBottom w:val="0"/>
      <w:divBdr>
        <w:top w:val="none" w:sz="0" w:space="0" w:color="auto"/>
        <w:left w:val="none" w:sz="0" w:space="0" w:color="auto"/>
        <w:bottom w:val="none" w:sz="0" w:space="0" w:color="auto"/>
        <w:right w:val="none" w:sz="0" w:space="0" w:color="auto"/>
      </w:divBdr>
    </w:div>
    <w:div w:id="690492828">
      <w:bodyDiv w:val="1"/>
      <w:marLeft w:val="0"/>
      <w:marRight w:val="0"/>
      <w:marTop w:val="0"/>
      <w:marBottom w:val="0"/>
      <w:divBdr>
        <w:top w:val="none" w:sz="0" w:space="0" w:color="auto"/>
        <w:left w:val="none" w:sz="0" w:space="0" w:color="auto"/>
        <w:bottom w:val="none" w:sz="0" w:space="0" w:color="auto"/>
        <w:right w:val="none" w:sz="0" w:space="0" w:color="auto"/>
      </w:divBdr>
    </w:div>
    <w:div w:id="694189583">
      <w:bodyDiv w:val="1"/>
      <w:marLeft w:val="0"/>
      <w:marRight w:val="0"/>
      <w:marTop w:val="0"/>
      <w:marBottom w:val="0"/>
      <w:divBdr>
        <w:top w:val="none" w:sz="0" w:space="0" w:color="auto"/>
        <w:left w:val="none" w:sz="0" w:space="0" w:color="auto"/>
        <w:bottom w:val="none" w:sz="0" w:space="0" w:color="auto"/>
        <w:right w:val="none" w:sz="0" w:space="0" w:color="auto"/>
      </w:divBdr>
    </w:div>
    <w:div w:id="709380180">
      <w:bodyDiv w:val="1"/>
      <w:marLeft w:val="0"/>
      <w:marRight w:val="0"/>
      <w:marTop w:val="0"/>
      <w:marBottom w:val="0"/>
      <w:divBdr>
        <w:top w:val="none" w:sz="0" w:space="0" w:color="auto"/>
        <w:left w:val="none" w:sz="0" w:space="0" w:color="auto"/>
        <w:bottom w:val="none" w:sz="0" w:space="0" w:color="auto"/>
        <w:right w:val="none" w:sz="0" w:space="0" w:color="auto"/>
      </w:divBdr>
    </w:div>
    <w:div w:id="741634832">
      <w:bodyDiv w:val="1"/>
      <w:marLeft w:val="0"/>
      <w:marRight w:val="0"/>
      <w:marTop w:val="0"/>
      <w:marBottom w:val="0"/>
      <w:divBdr>
        <w:top w:val="none" w:sz="0" w:space="0" w:color="auto"/>
        <w:left w:val="none" w:sz="0" w:space="0" w:color="auto"/>
        <w:bottom w:val="none" w:sz="0" w:space="0" w:color="auto"/>
        <w:right w:val="none" w:sz="0" w:space="0" w:color="auto"/>
      </w:divBdr>
    </w:div>
    <w:div w:id="741870452">
      <w:bodyDiv w:val="1"/>
      <w:marLeft w:val="0"/>
      <w:marRight w:val="0"/>
      <w:marTop w:val="0"/>
      <w:marBottom w:val="0"/>
      <w:divBdr>
        <w:top w:val="none" w:sz="0" w:space="0" w:color="auto"/>
        <w:left w:val="none" w:sz="0" w:space="0" w:color="auto"/>
        <w:bottom w:val="none" w:sz="0" w:space="0" w:color="auto"/>
        <w:right w:val="none" w:sz="0" w:space="0" w:color="auto"/>
      </w:divBdr>
    </w:div>
    <w:div w:id="754131097">
      <w:bodyDiv w:val="1"/>
      <w:marLeft w:val="0"/>
      <w:marRight w:val="0"/>
      <w:marTop w:val="0"/>
      <w:marBottom w:val="0"/>
      <w:divBdr>
        <w:top w:val="none" w:sz="0" w:space="0" w:color="auto"/>
        <w:left w:val="none" w:sz="0" w:space="0" w:color="auto"/>
        <w:bottom w:val="none" w:sz="0" w:space="0" w:color="auto"/>
        <w:right w:val="none" w:sz="0" w:space="0" w:color="auto"/>
      </w:divBdr>
    </w:div>
    <w:div w:id="758871424">
      <w:bodyDiv w:val="1"/>
      <w:marLeft w:val="0"/>
      <w:marRight w:val="0"/>
      <w:marTop w:val="0"/>
      <w:marBottom w:val="0"/>
      <w:divBdr>
        <w:top w:val="none" w:sz="0" w:space="0" w:color="auto"/>
        <w:left w:val="none" w:sz="0" w:space="0" w:color="auto"/>
        <w:bottom w:val="none" w:sz="0" w:space="0" w:color="auto"/>
        <w:right w:val="none" w:sz="0" w:space="0" w:color="auto"/>
      </w:divBdr>
    </w:div>
    <w:div w:id="763650313">
      <w:bodyDiv w:val="1"/>
      <w:marLeft w:val="0"/>
      <w:marRight w:val="0"/>
      <w:marTop w:val="0"/>
      <w:marBottom w:val="0"/>
      <w:divBdr>
        <w:top w:val="none" w:sz="0" w:space="0" w:color="auto"/>
        <w:left w:val="none" w:sz="0" w:space="0" w:color="auto"/>
        <w:bottom w:val="none" w:sz="0" w:space="0" w:color="auto"/>
        <w:right w:val="none" w:sz="0" w:space="0" w:color="auto"/>
      </w:divBdr>
    </w:div>
    <w:div w:id="767193045">
      <w:bodyDiv w:val="1"/>
      <w:marLeft w:val="0"/>
      <w:marRight w:val="0"/>
      <w:marTop w:val="0"/>
      <w:marBottom w:val="0"/>
      <w:divBdr>
        <w:top w:val="none" w:sz="0" w:space="0" w:color="auto"/>
        <w:left w:val="none" w:sz="0" w:space="0" w:color="auto"/>
        <w:bottom w:val="none" w:sz="0" w:space="0" w:color="auto"/>
        <w:right w:val="none" w:sz="0" w:space="0" w:color="auto"/>
      </w:divBdr>
    </w:div>
    <w:div w:id="779954396">
      <w:bodyDiv w:val="1"/>
      <w:marLeft w:val="0"/>
      <w:marRight w:val="0"/>
      <w:marTop w:val="0"/>
      <w:marBottom w:val="0"/>
      <w:divBdr>
        <w:top w:val="none" w:sz="0" w:space="0" w:color="auto"/>
        <w:left w:val="none" w:sz="0" w:space="0" w:color="auto"/>
        <w:bottom w:val="none" w:sz="0" w:space="0" w:color="auto"/>
        <w:right w:val="none" w:sz="0" w:space="0" w:color="auto"/>
      </w:divBdr>
    </w:div>
    <w:div w:id="791166179">
      <w:bodyDiv w:val="1"/>
      <w:marLeft w:val="0"/>
      <w:marRight w:val="0"/>
      <w:marTop w:val="0"/>
      <w:marBottom w:val="0"/>
      <w:divBdr>
        <w:top w:val="none" w:sz="0" w:space="0" w:color="auto"/>
        <w:left w:val="none" w:sz="0" w:space="0" w:color="auto"/>
        <w:bottom w:val="none" w:sz="0" w:space="0" w:color="auto"/>
        <w:right w:val="none" w:sz="0" w:space="0" w:color="auto"/>
      </w:divBdr>
    </w:div>
    <w:div w:id="795176883">
      <w:bodyDiv w:val="1"/>
      <w:marLeft w:val="0"/>
      <w:marRight w:val="0"/>
      <w:marTop w:val="0"/>
      <w:marBottom w:val="0"/>
      <w:divBdr>
        <w:top w:val="none" w:sz="0" w:space="0" w:color="auto"/>
        <w:left w:val="none" w:sz="0" w:space="0" w:color="auto"/>
        <w:bottom w:val="none" w:sz="0" w:space="0" w:color="auto"/>
        <w:right w:val="none" w:sz="0" w:space="0" w:color="auto"/>
      </w:divBdr>
    </w:div>
    <w:div w:id="799882470">
      <w:bodyDiv w:val="1"/>
      <w:marLeft w:val="0"/>
      <w:marRight w:val="0"/>
      <w:marTop w:val="0"/>
      <w:marBottom w:val="0"/>
      <w:divBdr>
        <w:top w:val="none" w:sz="0" w:space="0" w:color="auto"/>
        <w:left w:val="none" w:sz="0" w:space="0" w:color="auto"/>
        <w:bottom w:val="none" w:sz="0" w:space="0" w:color="auto"/>
        <w:right w:val="none" w:sz="0" w:space="0" w:color="auto"/>
      </w:divBdr>
    </w:div>
    <w:div w:id="811092925">
      <w:bodyDiv w:val="1"/>
      <w:marLeft w:val="0"/>
      <w:marRight w:val="0"/>
      <w:marTop w:val="0"/>
      <w:marBottom w:val="0"/>
      <w:divBdr>
        <w:top w:val="none" w:sz="0" w:space="0" w:color="auto"/>
        <w:left w:val="none" w:sz="0" w:space="0" w:color="auto"/>
        <w:bottom w:val="none" w:sz="0" w:space="0" w:color="auto"/>
        <w:right w:val="none" w:sz="0" w:space="0" w:color="auto"/>
      </w:divBdr>
    </w:div>
    <w:div w:id="811630286">
      <w:bodyDiv w:val="1"/>
      <w:marLeft w:val="0"/>
      <w:marRight w:val="0"/>
      <w:marTop w:val="0"/>
      <w:marBottom w:val="0"/>
      <w:divBdr>
        <w:top w:val="none" w:sz="0" w:space="0" w:color="auto"/>
        <w:left w:val="none" w:sz="0" w:space="0" w:color="auto"/>
        <w:bottom w:val="none" w:sz="0" w:space="0" w:color="auto"/>
        <w:right w:val="none" w:sz="0" w:space="0" w:color="auto"/>
      </w:divBdr>
    </w:div>
    <w:div w:id="844124502">
      <w:bodyDiv w:val="1"/>
      <w:marLeft w:val="0"/>
      <w:marRight w:val="0"/>
      <w:marTop w:val="0"/>
      <w:marBottom w:val="0"/>
      <w:divBdr>
        <w:top w:val="none" w:sz="0" w:space="0" w:color="auto"/>
        <w:left w:val="none" w:sz="0" w:space="0" w:color="auto"/>
        <w:bottom w:val="none" w:sz="0" w:space="0" w:color="auto"/>
        <w:right w:val="none" w:sz="0" w:space="0" w:color="auto"/>
      </w:divBdr>
    </w:div>
    <w:div w:id="850997359">
      <w:bodyDiv w:val="1"/>
      <w:marLeft w:val="0"/>
      <w:marRight w:val="0"/>
      <w:marTop w:val="0"/>
      <w:marBottom w:val="0"/>
      <w:divBdr>
        <w:top w:val="none" w:sz="0" w:space="0" w:color="auto"/>
        <w:left w:val="none" w:sz="0" w:space="0" w:color="auto"/>
        <w:bottom w:val="none" w:sz="0" w:space="0" w:color="auto"/>
        <w:right w:val="none" w:sz="0" w:space="0" w:color="auto"/>
      </w:divBdr>
    </w:div>
    <w:div w:id="853304128">
      <w:bodyDiv w:val="1"/>
      <w:marLeft w:val="0"/>
      <w:marRight w:val="0"/>
      <w:marTop w:val="0"/>
      <w:marBottom w:val="0"/>
      <w:divBdr>
        <w:top w:val="none" w:sz="0" w:space="0" w:color="auto"/>
        <w:left w:val="none" w:sz="0" w:space="0" w:color="auto"/>
        <w:bottom w:val="none" w:sz="0" w:space="0" w:color="auto"/>
        <w:right w:val="none" w:sz="0" w:space="0" w:color="auto"/>
      </w:divBdr>
    </w:div>
    <w:div w:id="874200746">
      <w:bodyDiv w:val="1"/>
      <w:marLeft w:val="0"/>
      <w:marRight w:val="0"/>
      <w:marTop w:val="0"/>
      <w:marBottom w:val="0"/>
      <w:divBdr>
        <w:top w:val="none" w:sz="0" w:space="0" w:color="auto"/>
        <w:left w:val="none" w:sz="0" w:space="0" w:color="auto"/>
        <w:bottom w:val="none" w:sz="0" w:space="0" w:color="auto"/>
        <w:right w:val="none" w:sz="0" w:space="0" w:color="auto"/>
      </w:divBdr>
    </w:div>
    <w:div w:id="885457557">
      <w:bodyDiv w:val="1"/>
      <w:marLeft w:val="0"/>
      <w:marRight w:val="0"/>
      <w:marTop w:val="0"/>
      <w:marBottom w:val="0"/>
      <w:divBdr>
        <w:top w:val="none" w:sz="0" w:space="0" w:color="auto"/>
        <w:left w:val="none" w:sz="0" w:space="0" w:color="auto"/>
        <w:bottom w:val="none" w:sz="0" w:space="0" w:color="auto"/>
        <w:right w:val="none" w:sz="0" w:space="0" w:color="auto"/>
      </w:divBdr>
    </w:div>
    <w:div w:id="888538501">
      <w:bodyDiv w:val="1"/>
      <w:marLeft w:val="0"/>
      <w:marRight w:val="0"/>
      <w:marTop w:val="0"/>
      <w:marBottom w:val="0"/>
      <w:divBdr>
        <w:top w:val="none" w:sz="0" w:space="0" w:color="auto"/>
        <w:left w:val="none" w:sz="0" w:space="0" w:color="auto"/>
        <w:bottom w:val="none" w:sz="0" w:space="0" w:color="auto"/>
        <w:right w:val="none" w:sz="0" w:space="0" w:color="auto"/>
      </w:divBdr>
    </w:div>
    <w:div w:id="913128565">
      <w:bodyDiv w:val="1"/>
      <w:marLeft w:val="0"/>
      <w:marRight w:val="0"/>
      <w:marTop w:val="0"/>
      <w:marBottom w:val="0"/>
      <w:divBdr>
        <w:top w:val="none" w:sz="0" w:space="0" w:color="auto"/>
        <w:left w:val="none" w:sz="0" w:space="0" w:color="auto"/>
        <w:bottom w:val="none" w:sz="0" w:space="0" w:color="auto"/>
        <w:right w:val="none" w:sz="0" w:space="0" w:color="auto"/>
      </w:divBdr>
    </w:div>
    <w:div w:id="930509157">
      <w:bodyDiv w:val="1"/>
      <w:marLeft w:val="0"/>
      <w:marRight w:val="0"/>
      <w:marTop w:val="0"/>
      <w:marBottom w:val="0"/>
      <w:divBdr>
        <w:top w:val="none" w:sz="0" w:space="0" w:color="auto"/>
        <w:left w:val="none" w:sz="0" w:space="0" w:color="auto"/>
        <w:bottom w:val="none" w:sz="0" w:space="0" w:color="auto"/>
        <w:right w:val="none" w:sz="0" w:space="0" w:color="auto"/>
      </w:divBdr>
    </w:div>
    <w:div w:id="956378232">
      <w:bodyDiv w:val="1"/>
      <w:marLeft w:val="0"/>
      <w:marRight w:val="0"/>
      <w:marTop w:val="0"/>
      <w:marBottom w:val="0"/>
      <w:divBdr>
        <w:top w:val="none" w:sz="0" w:space="0" w:color="auto"/>
        <w:left w:val="none" w:sz="0" w:space="0" w:color="auto"/>
        <w:bottom w:val="none" w:sz="0" w:space="0" w:color="auto"/>
        <w:right w:val="none" w:sz="0" w:space="0" w:color="auto"/>
      </w:divBdr>
    </w:div>
    <w:div w:id="958219371">
      <w:bodyDiv w:val="1"/>
      <w:marLeft w:val="0"/>
      <w:marRight w:val="0"/>
      <w:marTop w:val="0"/>
      <w:marBottom w:val="0"/>
      <w:divBdr>
        <w:top w:val="none" w:sz="0" w:space="0" w:color="auto"/>
        <w:left w:val="none" w:sz="0" w:space="0" w:color="auto"/>
        <w:bottom w:val="none" w:sz="0" w:space="0" w:color="auto"/>
        <w:right w:val="none" w:sz="0" w:space="0" w:color="auto"/>
      </w:divBdr>
    </w:div>
    <w:div w:id="959532241">
      <w:bodyDiv w:val="1"/>
      <w:marLeft w:val="0"/>
      <w:marRight w:val="0"/>
      <w:marTop w:val="0"/>
      <w:marBottom w:val="0"/>
      <w:divBdr>
        <w:top w:val="none" w:sz="0" w:space="0" w:color="auto"/>
        <w:left w:val="none" w:sz="0" w:space="0" w:color="auto"/>
        <w:bottom w:val="none" w:sz="0" w:space="0" w:color="auto"/>
        <w:right w:val="none" w:sz="0" w:space="0" w:color="auto"/>
      </w:divBdr>
    </w:div>
    <w:div w:id="961114292">
      <w:bodyDiv w:val="1"/>
      <w:marLeft w:val="0"/>
      <w:marRight w:val="0"/>
      <w:marTop w:val="0"/>
      <w:marBottom w:val="0"/>
      <w:divBdr>
        <w:top w:val="none" w:sz="0" w:space="0" w:color="auto"/>
        <w:left w:val="none" w:sz="0" w:space="0" w:color="auto"/>
        <w:bottom w:val="none" w:sz="0" w:space="0" w:color="auto"/>
        <w:right w:val="none" w:sz="0" w:space="0" w:color="auto"/>
      </w:divBdr>
    </w:div>
    <w:div w:id="966811442">
      <w:bodyDiv w:val="1"/>
      <w:marLeft w:val="0"/>
      <w:marRight w:val="0"/>
      <w:marTop w:val="0"/>
      <w:marBottom w:val="0"/>
      <w:divBdr>
        <w:top w:val="none" w:sz="0" w:space="0" w:color="auto"/>
        <w:left w:val="none" w:sz="0" w:space="0" w:color="auto"/>
        <w:bottom w:val="none" w:sz="0" w:space="0" w:color="auto"/>
        <w:right w:val="none" w:sz="0" w:space="0" w:color="auto"/>
      </w:divBdr>
    </w:div>
    <w:div w:id="982777939">
      <w:bodyDiv w:val="1"/>
      <w:marLeft w:val="0"/>
      <w:marRight w:val="0"/>
      <w:marTop w:val="0"/>
      <w:marBottom w:val="0"/>
      <w:divBdr>
        <w:top w:val="none" w:sz="0" w:space="0" w:color="auto"/>
        <w:left w:val="none" w:sz="0" w:space="0" w:color="auto"/>
        <w:bottom w:val="none" w:sz="0" w:space="0" w:color="auto"/>
        <w:right w:val="none" w:sz="0" w:space="0" w:color="auto"/>
      </w:divBdr>
    </w:div>
    <w:div w:id="995959011">
      <w:bodyDiv w:val="1"/>
      <w:marLeft w:val="0"/>
      <w:marRight w:val="0"/>
      <w:marTop w:val="0"/>
      <w:marBottom w:val="0"/>
      <w:divBdr>
        <w:top w:val="none" w:sz="0" w:space="0" w:color="auto"/>
        <w:left w:val="none" w:sz="0" w:space="0" w:color="auto"/>
        <w:bottom w:val="none" w:sz="0" w:space="0" w:color="auto"/>
        <w:right w:val="none" w:sz="0" w:space="0" w:color="auto"/>
      </w:divBdr>
    </w:div>
    <w:div w:id="998266751">
      <w:bodyDiv w:val="1"/>
      <w:marLeft w:val="0"/>
      <w:marRight w:val="0"/>
      <w:marTop w:val="0"/>
      <w:marBottom w:val="0"/>
      <w:divBdr>
        <w:top w:val="none" w:sz="0" w:space="0" w:color="auto"/>
        <w:left w:val="none" w:sz="0" w:space="0" w:color="auto"/>
        <w:bottom w:val="none" w:sz="0" w:space="0" w:color="auto"/>
        <w:right w:val="none" w:sz="0" w:space="0" w:color="auto"/>
      </w:divBdr>
    </w:div>
    <w:div w:id="1061635241">
      <w:bodyDiv w:val="1"/>
      <w:marLeft w:val="0"/>
      <w:marRight w:val="0"/>
      <w:marTop w:val="0"/>
      <w:marBottom w:val="0"/>
      <w:divBdr>
        <w:top w:val="none" w:sz="0" w:space="0" w:color="auto"/>
        <w:left w:val="none" w:sz="0" w:space="0" w:color="auto"/>
        <w:bottom w:val="none" w:sz="0" w:space="0" w:color="auto"/>
        <w:right w:val="none" w:sz="0" w:space="0" w:color="auto"/>
      </w:divBdr>
    </w:div>
    <w:div w:id="1065299096">
      <w:bodyDiv w:val="1"/>
      <w:marLeft w:val="0"/>
      <w:marRight w:val="0"/>
      <w:marTop w:val="0"/>
      <w:marBottom w:val="0"/>
      <w:divBdr>
        <w:top w:val="none" w:sz="0" w:space="0" w:color="auto"/>
        <w:left w:val="none" w:sz="0" w:space="0" w:color="auto"/>
        <w:bottom w:val="none" w:sz="0" w:space="0" w:color="auto"/>
        <w:right w:val="none" w:sz="0" w:space="0" w:color="auto"/>
      </w:divBdr>
    </w:div>
    <w:div w:id="1075012338">
      <w:bodyDiv w:val="1"/>
      <w:marLeft w:val="0"/>
      <w:marRight w:val="0"/>
      <w:marTop w:val="0"/>
      <w:marBottom w:val="0"/>
      <w:divBdr>
        <w:top w:val="none" w:sz="0" w:space="0" w:color="auto"/>
        <w:left w:val="none" w:sz="0" w:space="0" w:color="auto"/>
        <w:bottom w:val="none" w:sz="0" w:space="0" w:color="auto"/>
        <w:right w:val="none" w:sz="0" w:space="0" w:color="auto"/>
      </w:divBdr>
    </w:div>
    <w:div w:id="1088842822">
      <w:bodyDiv w:val="1"/>
      <w:marLeft w:val="0"/>
      <w:marRight w:val="0"/>
      <w:marTop w:val="0"/>
      <w:marBottom w:val="0"/>
      <w:divBdr>
        <w:top w:val="none" w:sz="0" w:space="0" w:color="auto"/>
        <w:left w:val="none" w:sz="0" w:space="0" w:color="auto"/>
        <w:bottom w:val="none" w:sz="0" w:space="0" w:color="auto"/>
        <w:right w:val="none" w:sz="0" w:space="0" w:color="auto"/>
      </w:divBdr>
      <w:divsChild>
        <w:div w:id="1100296647">
          <w:marLeft w:val="0"/>
          <w:marRight w:val="0"/>
          <w:marTop w:val="0"/>
          <w:marBottom w:val="0"/>
          <w:divBdr>
            <w:top w:val="none" w:sz="0" w:space="0" w:color="auto"/>
            <w:left w:val="none" w:sz="0" w:space="0" w:color="auto"/>
            <w:bottom w:val="none" w:sz="0" w:space="0" w:color="auto"/>
            <w:right w:val="none" w:sz="0" w:space="0" w:color="auto"/>
          </w:divBdr>
        </w:div>
      </w:divsChild>
    </w:div>
    <w:div w:id="1109858716">
      <w:bodyDiv w:val="1"/>
      <w:marLeft w:val="0"/>
      <w:marRight w:val="0"/>
      <w:marTop w:val="0"/>
      <w:marBottom w:val="0"/>
      <w:divBdr>
        <w:top w:val="none" w:sz="0" w:space="0" w:color="auto"/>
        <w:left w:val="none" w:sz="0" w:space="0" w:color="auto"/>
        <w:bottom w:val="none" w:sz="0" w:space="0" w:color="auto"/>
        <w:right w:val="none" w:sz="0" w:space="0" w:color="auto"/>
      </w:divBdr>
    </w:div>
    <w:div w:id="1110514445">
      <w:bodyDiv w:val="1"/>
      <w:marLeft w:val="0"/>
      <w:marRight w:val="0"/>
      <w:marTop w:val="0"/>
      <w:marBottom w:val="0"/>
      <w:divBdr>
        <w:top w:val="none" w:sz="0" w:space="0" w:color="auto"/>
        <w:left w:val="none" w:sz="0" w:space="0" w:color="auto"/>
        <w:bottom w:val="none" w:sz="0" w:space="0" w:color="auto"/>
        <w:right w:val="none" w:sz="0" w:space="0" w:color="auto"/>
      </w:divBdr>
    </w:div>
    <w:div w:id="1131243312">
      <w:bodyDiv w:val="1"/>
      <w:marLeft w:val="0"/>
      <w:marRight w:val="0"/>
      <w:marTop w:val="0"/>
      <w:marBottom w:val="0"/>
      <w:divBdr>
        <w:top w:val="none" w:sz="0" w:space="0" w:color="auto"/>
        <w:left w:val="none" w:sz="0" w:space="0" w:color="auto"/>
        <w:bottom w:val="none" w:sz="0" w:space="0" w:color="auto"/>
        <w:right w:val="none" w:sz="0" w:space="0" w:color="auto"/>
      </w:divBdr>
    </w:div>
    <w:div w:id="1147668435">
      <w:bodyDiv w:val="1"/>
      <w:marLeft w:val="0"/>
      <w:marRight w:val="0"/>
      <w:marTop w:val="0"/>
      <w:marBottom w:val="0"/>
      <w:divBdr>
        <w:top w:val="none" w:sz="0" w:space="0" w:color="auto"/>
        <w:left w:val="none" w:sz="0" w:space="0" w:color="auto"/>
        <w:bottom w:val="none" w:sz="0" w:space="0" w:color="auto"/>
        <w:right w:val="none" w:sz="0" w:space="0" w:color="auto"/>
      </w:divBdr>
    </w:div>
    <w:div w:id="1156414714">
      <w:bodyDiv w:val="1"/>
      <w:marLeft w:val="0"/>
      <w:marRight w:val="0"/>
      <w:marTop w:val="0"/>
      <w:marBottom w:val="0"/>
      <w:divBdr>
        <w:top w:val="none" w:sz="0" w:space="0" w:color="auto"/>
        <w:left w:val="none" w:sz="0" w:space="0" w:color="auto"/>
        <w:bottom w:val="none" w:sz="0" w:space="0" w:color="auto"/>
        <w:right w:val="none" w:sz="0" w:space="0" w:color="auto"/>
      </w:divBdr>
    </w:div>
    <w:div w:id="1156803720">
      <w:bodyDiv w:val="1"/>
      <w:marLeft w:val="0"/>
      <w:marRight w:val="0"/>
      <w:marTop w:val="0"/>
      <w:marBottom w:val="0"/>
      <w:divBdr>
        <w:top w:val="none" w:sz="0" w:space="0" w:color="auto"/>
        <w:left w:val="none" w:sz="0" w:space="0" w:color="auto"/>
        <w:bottom w:val="none" w:sz="0" w:space="0" w:color="auto"/>
        <w:right w:val="none" w:sz="0" w:space="0" w:color="auto"/>
      </w:divBdr>
    </w:div>
    <w:div w:id="1170294565">
      <w:bodyDiv w:val="1"/>
      <w:marLeft w:val="0"/>
      <w:marRight w:val="0"/>
      <w:marTop w:val="0"/>
      <w:marBottom w:val="0"/>
      <w:divBdr>
        <w:top w:val="none" w:sz="0" w:space="0" w:color="auto"/>
        <w:left w:val="none" w:sz="0" w:space="0" w:color="auto"/>
        <w:bottom w:val="none" w:sz="0" w:space="0" w:color="auto"/>
        <w:right w:val="none" w:sz="0" w:space="0" w:color="auto"/>
      </w:divBdr>
    </w:div>
    <w:div w:id="1172643111">
      <w:bodyDiv w:val="1"/>
      <w:marLeft w:val="0"/>
      <w:marRight w:val="0"/>
      <w:marTop w:val="0"/>
      <w:marBottom w:val="0"/>
      <w:divBdr>
        <w:top w:val="none" w:sz="0" w:space="0" w:color="auto"/>
        <w:left w:val="none" w:sz="0" w:space="0" w:color="auto"/>
        <w:bottom w:val="none" w:sz="0" w:space="0" w:color="auto"/>
        <w:right w:val="none" w:sz="0" w:space="0" w:color="auto"/>
      </w:divBdr>
    </w:div>
    <w:div w:id="1181896497">
      <w:bodyDiv w:val="1"/>
      <w:marLeft w:val="0"/>
      <w:marRight w:val="0"/>
      <w:marTop w:val="0"/>
      <w:marBottom w:val="0"/>
      <w:divBdr>
        <w:top w:val="none" w:sz="0" w:space="0" w:color="auto"/>
        <w:left w:val="none" w:sz="0" w:space="0" w:color="auto"/>
        <w:bottom w:val="none" w:sz="0" w:space="0" w:color="auto"/>
        <w:right w:val="none" w:sz="0" w:space="0" w:color="auto"/>
      </w:divBdr>
    </w:div>
    <w:div w:id="1208832586">
      <w:bodyDiv w:val="1"/>
      <w:marLeft w:val="0"/>
      <w:marRight w:val="0"/>
      <w:marTop w:val="0"/>
      <w:marBottom w:val="0"/>
      <w:divBdr>
        <w:top w:val="none" w:sz="0" w:space="0" w:color="auto"/>
        <w:left w:val="none" w:sz="0" w:space="0" w:color="auto"/>
        <w:bottom w:val="none" w:sz="0" w:space="0" w:color="auto"/>
        <w:right w:val="none" w:sz="0" w:space="0" w:color="auto"/>
      </w:divBdr>
    </w:div>
    <w:div w:id="1222716124">
      <w:bodyDiv w:val="1"/>
      <w:marLeft w:val="0"/>
      <w:marRight w:val="0"/>
      <w:marTop w:val="0"/>
      <w:marBottom w:val="0"/>
      <w:divBdr>
        <w:top w:val="none" w:sz="0" w:space="0" w:color="auto"/>
        <w:left w:val="none" w:sz="0" w:space="0" w:color="auto"/>
        <w:bottom w:val="none" w:sz="0" w:space="0" w:color="auto"/>
        <w:right w:val="none" w:sz="0" w:space="0" w:color="auto"/>
      </w:divBdr>
    </w:div>
    <w:div w:id="1223296008">
      <w:bodyDiv w:val="1"/>
      <w:marLeft w:val="0"/>
      <w:marRight w:val="0"/>
      <w:marTop w:val="0"/>
      <w:marBottom w:val="0"/>
      <w:divBdr>
        <w:top w:val="none" w:sz="0" w:space="0" w:color="auto"/>
        <w:left w:val="none" w:sz="0" w:space="0" w:color="auto"/>
        <w:bottom w:val="none" w:sz="0" w:space="0" w:color="auto"/>
        <w:right w:val="none" w:sz="0" w:space="0" w:color="auto"/>
      </w:divBdr>
    </w:div>
    <w:div w:id="1249457899">
      <w:bodyDiv w:val="1"/>
      <w:marLeft w:val="0"/>
      <w:marRight w:val="0"/>
      <w:marTop w:val="0"/>
      <w:marBottom w:val="0"/>
      <w:divBdr>
        <w:top w:val="none" w:sz="0" w:space="0" w:color="auto"/>
        <w:left w:val="none" w:sz="0" w:space="0" w:color="auto"/>
        <w:bottom w:val="none" w:sz="0" w:space="0" w:color="auto"/>
        <w:right w:val="none" w:sz="0" w:space="0" w:color="auto"/>
      </w:divBdr>
    </w:div>
    <w:div w:id="1267695200">
      <w:bodyDiv w:val="1"/>
      <w:marLeft w:val="0"/>
      <w:marRight w:val="0"/>
      <w:marTop w:val="0"/>
      <w:marBottom w:val="0"/>
      <w:divBdr>
        <w:top w:val="none" w:sz="0" w:space="0" w:color="auto"/>
        <w:left w:val="none" w:sz="0" w:space="0" w:color="auto"/>
        <w:bottom w:val="none" w:sz="0" w:space="0" w:color="auto"/>
        <w:right w:val="none" w:sz="0" w:space="0" w:color="auto"/>
      </w:divBdr>
    </w:div>
    <w:div w:id="1280645421">
      <w:bodyDiv w:val="1"/>
      <w:marLeft w:val="0"/>
      <w:marRight w:val="0"/>
      <w:marTop w:val="0"/>
      <w:marBottom w:val="0"/>
      <w:divBdr>
        <w:top w:val="none" w:sz="0" w:space="0" w:color="auto"/>
        <w:left w:val="none" w:sz="0" w:space="0" w:color="auto"/>
        <w:bottom w:val="none" w:sz="0" w:space="0" w:color="auto"/>
        <w:right w:val="none" w:sz="0" w:space="0" w:color="auto"/>
      </w:divBdr>
    </w:div>
    <w:div w:id="1291789724">
      <w:bodyDiv w:val="1"/>
      <w:marLeft w:val="0"/>
      <w:marRight w:val="0"/>
      <w:marTop w:val="0"/>
      <w:marBottom w:val="0"/>
      <w:divBdr>
        <w:top w:val="none" w:sz="0" w:space="0" w:color="auto"/>
        <w:left w:val="none" w:sz="0" w:space="0" w:color="auto"/>
        <w:bottom w:val="none" w:sz="0" w:space="0" w:color="auto"/>
        <w:right w:val="none" w:sz="0" w:space="0" w:color="auto"/>
      </w:divBdr>
    </w:div>
    <w:div w:id="1322124529">
      <w:bodyDiv w:val="1"/>
      <w:marLeft w:val="0"/>
      <w:marRight w:val="0"/>
      <w:marTop w:val="0"/>
      <w:marBottom w:val="0"/>
      <w:divBdr>
        <w:top w:val="none" w:sz="0" w:space="0" w:color="auto"/>
        <w:left w:val="none" w:sz="0" w:space="0" w:color="auto"/>
        <w:bottom w:val="none" w:sz="0" w:space="0" w:color="auto"/>
        <w:right w:val="none" w:sz="0" w:space="0" w:color="auto"/>
      </w:divBdr>
    </w:div>
    <w:div w:id="1347632126">
      <w:bodyDiv w:val="1"/>
      <w:marLeft w:val="0"/>
      <w:marRight w:val="0"/>
      <w:marTop w:val="0"/>
      <w:marBottom w:val="0"/>
      <w:divBdr>
        <w:top w:val="none" w:sz="0" w:space="0" w:color="auto"/>
        <w:left w:val="none" w:sz="0" w:space="0" w:color="auto"/>
        <w:bottom w:val="none" w:sz="0" w:space="0" w:color="auto"/>
        <w:right w:val="none" w:sz="0" w:space="0" w:color="auto"/>
      </w:divBdr>
    </w:div>
    <w:div w:id="1364094343">
      <w:bodyDiv w:val="1"/>
      <w:marLeft w:val="0"/>
      <w:marRight w:val="0"/>
      <w:marTop w:val="0"/>
      <w:marBottom w:val="0"/>
      <w:divBdr>
        <w:top w:val="none" w:sz="0" w:space="0" w:color="auto"/>
        <w:left w:val="none" w:sz="0" w:space="0" w:color="auto"/>
        <w:bottom w:val="none" w:sz="0" w:space="0" w:color="auto"/>
        <w:right w:val="none" w:sz="0" w:space="0" w:color="auto"/>
      </w:divBdr>
    </w:div>
    <w:div w:id="1380013278">
      <w:bodyDiv w:val="1"/>
      <w:marLeft w:val="0"/>
      <w:marRight w:val="0"/>
      <w:marTop w:val="0"/>
      <w:marBottom w:val="0"/>
      <w:divBdr>
        <w:top w:val="none" w:sz="0" w:space="0" w:color="auto"/>
        <w:left w:val="none" w:sz="0" w:space="0" w:color="auto"/>
        <w:bottom w:val="none" w:sz="0" w:space="0" w:color="auto"/>
        <w:right w:val="none" w:sz="0" w:space="0" w:color="auto"/>
      </w:divBdr>
    </w:div>
    <w:div w:id="1424959397">
      <w:bodyDiv w:val="1"/>
      <w:marLeft w:val="0"/>
      <w:marRight w:val="0"/>
      <w:marTop w:val="0"/>
      <w:marBottom w:val="0"/>
      <w:divBdr>
        <w:top w:val="none" w:sz="0" w:space="0" w:color="auto"/>
        <w:left w:val="none" w:sz="0" w:space="0" w:color="auto"/>
        <w:bottom w:val="none" w:sz="0" w:space="0" w:color="auto"/>
        <w:right w:val="none" w:sz="0" w:space="0" w:color="auto"/>
      </w:divBdr>
    </w:div>
    <w:div w:id="1476799535">
      <w:bodyDiv w:val="1"/>
      <w:marLeft w:val="0"/>
      <w:marRight w:val="0"/>
      <w:marTop w:val="0"/>
      <w:marBottom w:val="0"/>
      <w:divBdr>
        <w:top w:val="none" w:sz="0" w:space="0" w:color="auto"/>
        <w:left w:val="none" w:sz="0" w:space="0" w:color="auto"/>
        <w:bottom w:val="none" w:sz="0" w:space="0" w:color="auto"/>
        <w:right w:val="none" w:sz="0" w:space="0" w:color="auto"/>
      </w:divBdr>
    </w:div>
    <w:div w:id="1504390307">
      <w:bodyDiv w:val="1"/>
      <w:marLeft w:val="0"/>
      <w:marRight w:val="0"/>
      <w:marTop w:val="0"/>
      <w:marBottom w:val="0"/>
      <w:divBdr>
        <w:top w:val="none" w:sz="0" w:space="0" w:color="auto"/>
        <w:left w:val="none" w:sz="0" w:space="0" w:color="auto"/>
        <w:bottom w:val="none" w:sz="0" w:space="0" w:color="auto"/>
        <w:right w:val="none" w:sz="0" w:space="0" w:color="auto"/>
      </w:divBdr>
    </w:div>
    <w:div w:id="1520579729">
      <w:bodyDiv w:val="1"/>
      <w:marLeft w:val="0"/>
      <w:marRight w:val="0"/>
      <w:marTop w:val="0"/>
      <w:marBottom w:val="0"/>
      <w:divBdr>
        <w:top w:val="none" w:sz="0" w:space="0" w:color="auto"/>
        <w:left w:val="none" w:sz="0" w:space="0" w:color="auto"/>
        <w:bottom w:val="none" w:sz="0" w:space="0" w:color="auto"/>
        <w:right w:val="none" w:sz="0" w:space="0" w:color="auto"/>
      </w:divBdr>
    </w:div>
    <w:div w:id="1523201003">
      <w:bodyDiv w:val="1"/>
      <w:marLeft w:val="0"/>
      <w:marRight w:val="0"/>
      <w:marTop w:val="0"/>
      <w:marBottom w:val="0"/>
      <w:divBdr>
        <w:top w:val="none" w:sz="0" w:space="0" w:color="auto"/>
        <w:left w:val="none" w:sz="0" w:space="0" w:color="auto"/>
        <w:bottom w:val="none" w:sz="0" w:space="0" w:color="auto"/>
        <w:right w:val="none" w:sz="0" w:space="0" w:color="auto"/>
      </w:divBdr>
    </w:div>
    <w:div w:id="1583030128">
      <w:bodyDiv w:val="1"/>
      <w:marLeft w:val="0"/>
      <w:marRight w:val="0"/>
      <w:marTop w:val="0"/>
      <w:marBottom w:val="0"/>
      <w:divBdr>
        <w:top w:val="none" w:sz="0" w:space="0" w:color="auto"/>
        <w:left w:val="none" w:sz="0" w:space="0" w:color="auto"/>
        <w:bottom w:val="none" w:sz="0" w:space="0" w:color="auto"/>
        <w:right w:val="none" w:sz="0" w:space="0" w:color="auto"/>
      </w:divBdr>
    </w:div>
    <w:div w:id="1584803116">
      <w:bodyDiv w:val="1"/>
      <w:marLeft w:val="0"/>
      <w:marRight w:val="0"/>
      <w:marTop w:val="0"/>
      <w:marBottom w:val="0"/>
      <w:divBdr>
        <w:top w:val="none" w:sz="0" w:space="0" w:color="auto"/>
        <w:left w:val="none" w:sz="0" w:space="0" w:color="auto"/>
        <w:bottom w:val="none" w:sz="0" w:space="0" w:color="auto"/>
        <w:right w:val="none" w:sz="0" w:space="0" w:color="auto"/>
      </w:divBdr>
    </w:div>
    <w:div w:id="1603148966">
      <w:bodyDiv w:val="1"/>
      <w:marLeft w:val="0"/>
      <w:marRight w:val="0"/>
      <w:marTop w:val="0"/>
      <w:marBottom w:val="0"/>
      <w:divBdr>
        <w:top w:val="none" w:sz="0" w:space="0" w:color="auto"/>
        <w:left w:val="none" w:sz="0" w:space="0" w:color="auto"/>
        <w:bottom w:val="none" w:sz="0" w:space="0" w:color="auto"/>
        <w:right w:val="none" w:sz="0" w:space="0" w:color="auto"/>
      </w:divBdr>
    </w:div>
    <w:div w:id="1626231841">
      <w:bodyDiv w:val="1"/>
      <w:marLeft w:val="0"/>
      <w:marRight w:val="0"/>
      <w:marTop w:val="0"/>
      <w:marBottom w:val="0"/>
      <w:divBdr>
        <w:top w:val="none" w:sz="0" w:space="0" w:color="auto"/>
        <w:left w:val="none" w:sz="0" w:space="0" w:color="auto"/>
        <w:bottom w:val="none" w:sz="0" w:space="0" w:color="auto"/>
        <w:right w:val="none" w:sz="0" w:space="0" w:color="auto"/>
      </w:divBdr>
    </w:div>
    <w:div w:id="1627539438">
      <w:bodyDiv w:val="1"/>
      <w:marLeft w:val="0"/>
      <w:marRight w:val="0"/>
      <w:marTop w:val="0"/>
      <w:marBottom w:val="0"/>
      <w:divBdr>
        <w:top w:val="none" w:sz="0" w:space="0" w:color="auto"/>
        <w:left w:val="none" w:sz="0" w:space="0" w:color="auto"/>
        <w:bottom w:val="none" w:sz="0" w:space="0" w:color="auto"/>
        <w:right w:val="none" w:sz="0" w:space="0" w:color="auto"/>
      </w:divBdr>
    </w:div>
    <w:div w:id="1637486085">
      <w:bodyDiv w:val="1"/>
      <w:marLeft w:val="0"/>
      <w:marRight w:val="0"/>
      <w:marTop w:val="0"/>
      <w:marBottom w:val="0"/>
      <w:divBdr>
        <w:top w:val="none" w:sz="0" w:space="0" w:color="auto"/>
        <w:left w:val="none" w:sz="0" w:space="0" w:color="auto"/>
        <w:bottom w:val="none" w:sz="0" w:space="0" w:color="auto"/>
        <w:right w:val="none" w:sz="0" w:space="0" w:color="auto"/>
      </w:divBdr>
    </w:div>
    <w:div w:id="1663579052">
      <w:bodyDiv w:val="1"/>
      <w:marLeft w:val="0"/>
      <w:marRight w:val="0"/>
      <w:marTop w:val="0"/>
      <w:marBottom w:val="0"/>
      <w:divBdr>
        <w:top w:val="none" w:sz="0" w:space="0" w:color="auto"/>
        <w:left w:val="none" w:sz="0" w:space="0" w:color="auto"/>
        <w:bottom w:val="none" w:sz="0" w:space="0" w:color="auto"/>
        <w:right w:val="none" w:sz="0" w:space="0" w:color="auto"/>
      </w:divBdr>
    </w:div>
    <w:div w:id="1687706052">
      <w:bodyDiv w:val="1"/>
      <w:marLeft w:val="0"/>
      <w:marRight w:val="0"/>
      <w:marTop w:val="0"/>
      <w:marBottom w:val="0"/>
      <w:divBdr>
        <w:top w:val="none" w:sz="0" w:space="0" w:color="auto"/>
        <w:left w:val="none" w:sz="0" w:space="0" w:color="auto"/>
        <w:bottom w:val="none" w:sz="0" w:space="0" w:color="auto"/>
        <w:right w:val="none" w:sz="0" w:space="0" w:color="auto"/>
      </w:divBdr>
      <w:divsChild>
        <w:div w:id="703411236">
          <w:marLeft w:val="0"/>
          <w:marRight w:val="0"/>
          <w:marTop w:val="0"/>
          <w:marBottom w:val="0"/>
          <w:divBdr>
            <w:top w:val="none" w:sz="0" w:space="0" w:color="auto"/>
            <w:left w:val="none" w:sz="0" w:space="0" w:color="auto"/>
            <w:bottom w:val="none" w:sz="0" w:space="0" w:color="auto"/>
            <w:right w:val="none" w:sz="0" w:space="0" w:color="auto"/>
          </w:divBdr>
        </w:div>
      </w:divsChild>
    </w:div>
    <w:div w:id="1713963489">
      <w:bodyDiv w:val="1"/>
      <w:marLeft w:val="0"/>
      <w:marRight w:val="0"/>
      <w:marTop w:val="0"/>
      <w:marBottom w:val="0"/>
      <w:divBdr>
        <w:top w:val="none" w:sz="0" w:space="0" w:color="auto"/>
        <w:left w:val="none" w:sz="0" w:space="0" w:color="auto"/>
        <w:bottom w:val="none" w:sz="0" w:space="0" w:color="auto"/>
        <w:right w:val="none" w:sz="0" w:space="0" w:color="auto"/>
      </w:divBdr>
    </w:div>
    <w:div w:id="1715882647">
      <w:bodyDiv w:val="1"/>
      <w:marLeft w:val="0"/>
      <w:marRight w:val="0"/>
      <w:marTop w:val="0"/>
      <w:marBottom w:val="0"/>
      <w:divBdr>
        <w:top w:val="none" w:sz="0" w:space="0" w:color="auto"/>
        <w:left w:val="none" w:sz="0" w:space="0" w:color="auto"/>
        <w:bottom w:val="none" w:sz="0" w:space="0" w:color="auto"/>
        <w:right w:val="none" w:sz="0" w:space="0" w:color="auto"/>
      </w:divBdr>
    </w:div>
    <w:div w:id="1718579336">
      <w:bodyDiv w:val="1"/>
      <w:marLeft w:val="0"/>
      <w:marRight w:val="0"/>
      <w:marTop w:val="0"/>
      <w:marBottom w:val="0"/>
      <w:divBdr>
        <w:top w:val="none" w:sz="0" w:space="0" w:color="auto"/>
        <w:left w:val="none" w:sz="0" w:space="0" w:color="auto"/>
        <w:bottom w:val="none" w:sz="0" w:space="0" w:color="auto"/>
        <w:right w:val="none" w:sz="0" w:space="0" w:color="auto"/>
      </w:divBdr>
    </w:div>
    <w:div w:id="1734814011">
      <w:bodyDiv w:val="1"/>
      <w:marLeft w:val="0"/>
      <w:marRight w:val="0"/>
      <w:marTop w:val="0"/>
      <w:marBottom w:val="0"/>
      <w:divBdr>
        <w:top w:val="none" w:sz="0" w:space="0" w:color="auto"/>
        <w:left w:val="none" w:sz="0" w:space="0" w:color="auto"/>
        <w:bottom w:val="none" w:sz="0" w:space="0" w:color="auto"/>
        <w:right w:val="none" w:sz="0" w:space="0" w:color="auto"/>
      </w:divBdr>
    </w:div>
    <w:div w:id="1738354556">
      <w:bodyDiv w:val="1"/>
      <w:marLeft w:val="0"/>
      <w:marRight w:val="0"/>
      <w:marTop w:val="0"/>
      <w:marBottom w:val="0"/>
      <w:divBdr>
        <w:top w:val="none" w:sz="0" w:space="0" w:color="auto"/>
        <w:left w:val="none" w:sz="0" w:space="0" w:color="auto"/>
        <w:bottom w:val="none" w:sz="0" w:space="0" w:color="auto"/>
        <w:right w:val="none" w:sz="0" w:space="0" w:color="auto"/>
      </w:divBdr>
    </w:div>
    <w:div w:id="1739090494">
      <w:bodyDiv w:val="1"/>
      <w:marLeft w:val="0"/>
      <w:marRight w:val="0"/>
      <w:marTop w:val="0"/>
      <w:marBottom w:val="0"/>
      <w:divBdr>
        <w:top w:val="none" w:sz="0" w:space="0" w:color="auto"/>
        <w:left w:val="none" w:sz="0" w:space="0" w:color="auto"/>
        <w:bottom w:val="none" w:sz="0" w:space="0" w:color="auto"/>
        <w:right w:val="none" w:sz="0" w:space="0" w:color="auto"/>
      </w:divBdr>
    </w:div>
    <w:div w:id="1789624169">
      <w:bodyDiv w:val="1"/>
      <w:marLeft w:val="0"/>
      <w:marRight w:val="0"/>
      <w:marTop w:val="0"/>
      <w:marBottom w:val="0"/>
      <w:divBdr>
        <w:top w:val="none" w:sz="0" w:space="0" w:color="auto"/>
        <w:left w:val="none" w:sz="0" w:space="0" w:color="auto"/>
        <w:bottom w:val="none" w:sz="0" w:space="0" w:color="auto"/>
        <w:right w:val="none" w:sz="0" w:space="0" w:color="auto"/>
      </w:divBdr>
    </w:div>
    <w:div w:id="1794209724">
      <w:bodyDiv w:val="1"/>
      <w:marLeft w:val="0"/>
      <w:marRight w:val="0"/>
      <w:marTop w:val="0"/>
      <w:marBottom w:val="0"/>
      <w:divBdr>
        <w:top w:val="none" w:sz="0" w:space="0" w:color="auto"/>
        <w:left w:val="none" w:sz="0" w:space="0" w:color="auto"/>
        <w:bottom w:val="none" w:sz="0" w:space="0" w:color="auto"/>
        <w:right w:val="none" w:sz="0" w:space="0" w:color="auto"/>
      </w:divBdr>
    </w:div>
    <w:div w:id="1808860469">
      <w:bodyDiv w:val="1"/>
      <w:marLeft w:val="0"/>
      <w:marRight w:val="0"/>
      <w:marTop w:val="0"/>
      <w:marBottom w:val="0"/>
      <w:divBdr>
        <w:top w:val="none" w:sz="0" w:space="0" w:color="auto"/>
        <w:left w:val="none" w:sz="0" w:space="0" w:color="auto"/>
        <w:bottom w:val="none" w:sz="0" w:space="0" w:color="auto"/>
        <w:right w:val="none" w:sz="0" w:space="0" w:color="auto"/>
      </w:divBdr>
    </w:div>
    <w:div w:id="1822892027">
      <w:bodyDiv w:val="1"/>
      <w:marLeft w:val="0"/>
      <w:marRight w:val="0"/>
      <w:marTop w:val="0"/>
      <w:marBottom w:val="0"/>
      <w:divBdr>
        <w:top w:val="none" w:sz="0" w:space="0" w:color="auto"/>
        <w:left w:val="none" w:sz="0" w:space="0" w:color="auto"/>
        <w:bottom w:val="none" w:sz="0" w:space="0" w:color="auto"/>
        <w:right w:val="none" w:sz="0" w:space="0" w:color="auto"/>
      </w:divBdr>
    </w:div>
    <w:div w:id="1828857613">
      <w:bodyDiv w:val="1"/>
      <w:marLeft w:val="0"/>
      <w:marRight w:val="0"/>
      <w:marTop w:val="0"/>
      <w:marBottom w:val="0"/>
      <w:divBdr>
        <w:top w:val="none" w:sz="0" w:space="0" w:color="auto"/>
        <w:left w:val="none" w:sz="0" w:space="0" w:color="auto"/>
        <w:bottom w:val="none" w:sz="0" w:space="0" w:color="auto"/>
        <w:right w:val="none" w:sz="0" w:space="0" w:color="auto"/>
      </w:divBdr>
    </w:div>
    <w:div w:id="1835149041">
      <w:bodyDiv w:val="1"/>
      <w:marLeft w:val="0"/>
      <w:marRight w:val="0"/>
      <w:marTop w:val="0"/>
      <w:marBottom w:val="0"/>
      <w:divBdr>
        <w:top w:val="none" w:sz="0" w:space="0" w:color="auto"/>
        <w:left w:val="none" w:sz="0" w:space="0" w:color="auto"/>
        <w:bottom w:val="none" w:sz="0" w:space="0" w:color="auto"/>
        <w:right w:val="none" w:sz="0" w:space="0" w:color="auto"/>
      </w:divBdr>
    </w:div>
    <w:div w:id="1839617298">
      <w:bodyDiv w:val="1"/>
      <w:marLeft w:val="0"/>
      <w:marRight w:val="0"/>
      <w:marTop w:val="0"/>
      <w:marBottom w:val="0"/>
      <w:divBdr>
        <w:top w:val="none" w:sz="0" w:space="0" w:color="auto"/>
        <w:left w:val="none" w:sz="0" w:space="0" w:color="auto"/>
        <w:bottom w:val="none" w:sz="0" w:space="0" w:color="auto"/>
        <w:right w:val="none" w:sz="0" w:space="0" w:color="auto"/>
      </w:divBdr>
    </w:div>
    <w:div w:id="1841656245">
      <w:bodyDiv w:val="1"/>
      <w:marLeft w:val="0"/>
      <w:marRight w:val="0"/>
      <w:marTop w:val="0"/>
      <w:marBottom w:val="0"/>
      <w:divBdr>
        <w:top w:val="none" w:sz="0" w:space="0" w:color="auto"/>
        <w:left w:val="none" w:sz="0" w:space="0" w:color="auto"/>
        <w:bottom w:val="none" w:sz="0" w:space="0" w:color="auto"/>
        <w:right w:val="none" w:sz="0" w:space="0" w:color="auto"/>
      </w:divBdr>
    </w:div>
    <w:div w:id="1849296989">
      <w:bodyDiv w:val="1"/>
      <w:marLeft w:val="0"/>
      <w:marRight w:val="0"/>
      <w:marTop w:val="0"/>
      <w:marBottom w:val="0"/>
      <w:divBdr>
        <w:top w:val="none" w:sz="0" w:space="0" w:color="auto"/>
        <w:left w:val="none" w:sz="0" w:space="0" w:color="auto"/>
        <w:bottom w:val="none" w:sz="0" w:space="0" w:color="auto"/>
        <w:right w:val="none" w:sz="0" w:space="0" w:color="auto"/>
      </w:divBdr>
    </w:div>
    <w:div w:id="1872953449">
      <w:bodyDiv w:val="1"/>
      <w:marLeft w:val="0"/>
      <w:marRight w:val="0"/>
      <w:marTop w:val="0"/>
      <w:marBottom w:val="0"/>
      <w:divBdr>
        <w:top w:val="none" w:sz="0" w:space="0" w:color="auto"/>
        <w:left w:val="none" w:sz="0" w:space="0" w:color="auto"/>
        <w:bottom w:val="none" w:sz="0" w:space="0" w:color="auto"/>
        <w:right w:val="none" w:sz="0" w:space="0" w:color="auto"/>
      </w:divBdr>
    </w:div>
    <w:div w:id="1883976772">
      <w:bodyDiv w:val="1"/>
      <w:marLeft w:val="0"/>
      <w:marRight w:val="0"/>
      <w:marTop w:val="0"/>
      <w:marBottom w:val="0"/>
      <w:divBdr>
        <w:top w:val="none" w:sz="0" w:space="0" w:color="auto"/>
        <w:left w:val="none" w:sz="0" w:space="0" w:color="auto"/>
        <w:bottom w:val="none" w:sz="0" w:space="0" w:color="auto"/>
        <w:right w:val="none" w:sz="0" w:space="0" w:color="auto"/>
      </w:divBdr>
    </w:div>
    <w:div w:id="1923099060">
      <w:bodyDiv w:val="1"/>
      <w:marLeft w:val="0"/>
      <w:marRight w:val="0"/>
      <w:marTop w:val="0"/>
      <w:marBottom w:val="0"/>
      <w:divBdr>
        <w:top w:val="none" w:sz="0" w:space="0" w:color="auto"/>
        <w:left w:val="none" w:sz="0" w:space="0" w:color="auto"/>
        <w:bottom w:val="none" w:sz="0" w:space="0" w:color="auto"/>
        <w:right w:val="none" w:sz="0" w:space="0" w:color="auto"/>
      </w:divBdr>
    </w:div>
    <w:div w:id="1929383909">
      <w:bodyDiv w:val="1"/>
      <w:marLeft w:val="0"/>
      <w:marRight w:val="0"/>
      <w:marTop w:val="0"/>
      <w:marBottom w:val="0"/>
      <w:divBdr>
        <w:top w:val="none" w:sz="0" w:space="0" w:color="auto"/>
        <w:left w:val="none" w:sz="0" w:space="0" w:color="auto"/>
        <w:bottom w:val="none" w:sz="0" w:space="0" w:color="auto"/>
        <w:right w:val="none" w:sz="0" w:space="0" w:color="auto"/>
      </w:divBdr>
    </w:div>
    <w:div w:id="1944996030">
      <w:bodyDiv w:val="1"/>
      <w:marLeft w:val="0"/>
      <w:marRight w:val="0"/>
      <w:marTop w:val="0"/>
      <w:marBottom w:val="0"/>
      <w:divBdr>
        <w:top w:val="none" w:sz="0" w:space="0" w:color="auto"/>
        <w:left w:val="none" w:sz="0" w:space="0" w:color="auto"/>
        <w:bottom w:val="none" w:sz="0" w:space="0" w:color="auto"/>
        <w:right w:val="none" w:sz="0" w:space="0" w:color="auto"/>
      </w:divBdr>
    </w:div>
    <w:div w:id="1949313937">
      <w:bodyDiv w:val="1"/>
      <w:marLeft w:val="0"/>
      <w:marRight w:val="0"/>
      <w:marTop w:val="0"/>
      <w:marBottom w:val="0"/>
      <w:divBdr>
        <w:top w:val="none" w:sz="0" w:space="0" w:color="auto"/>
        <w:left w:val="none" w:sz="0" w:space="0" w:color="auto"/>
        <w:bottom w:val="none" w:sz="0" w:space="0" w:color="auto"/>
        <w:right w:val="none" w:sz="0" w:space="0" w:color="auto"/>
      </w:divBdr>
    </w:div>
    <w:div w:id="1957253326">
      <w:bodyDiv w:val="1"/>
      <w:marLeft w:val="0"/>
      <w:marRight w:val="0"/>
      <w:marTop w:val="0"/>
      <w:marBottom w:val="0"/>
      <w:divBdr>
        <w:top w:val="none" w:sz="0" w:space="0" w:color="auto"/>
        <w:left w:val="none" w:sz="0" w:space="0" w:color="auto"/>
        <w:bottom w:val="none" w:sz="0" w:space="0" w:color="auto"/>
        <w:right w:val="none" w:sz="0" w:space="0" w:color="auto"/>
      </w:divBdr>
    </w:div>
    <w:div w:id="1965424723">
      <w:bodyDiv w:val="1"/>
      <w:marLeft w:val="0"/>
      <w:marRight w:val="0"/>
      <w:marTop w:val="0"/>
      <w:marBottom w:val="0"/>
      <w:divBdr>
        <w:top w:val="none" w:sz="0" w:space="0" w:color="auto"/>
        <w:left w:val="none" w:sz="0" w:space="0" w:color="auto"/>
        <w:bottom w:val="none" w:sz="0" w:space="0" w:color="auto"/>
        <w:right w:val="none" w:sz="0" w:space="0" w:color="auto"/>
      </w:divBdr>
    </w:div>
    <w:div w:id="1968772685">
      <w:bodyDiv w:val="1"/>
      <w:marLeft w:val="0"/>
      <w:marRight w:val="0"/>
      <w:marTop w:val="0"/>
      <w:marBottom w:val="0"/>
      <w:divBdr>
        <w:top w:val="none" w:sz="0" w:space="0" w:color="auto"/>
        <w:left w:val="none" w:sz="0" w:space="0" w:color="auto"/>
        <w:bottom w:val="none" w:sz="0" w:space="0" w:color="auto"/>
        <w:right w:val="none" w:sz="0" w:space="0" w:color="auto"/>
      </w:divBdr>
    </w:div>
    <w:div w:id="1988628049">
      <w:bodyDiv w:val="1"/>
      <w:marLeft w:val="0"/>
      <w:marRight w:val="0"/>
      <w:marTop w:val="0"/>
      <w:marBottom w:val="0"/>
      <w:divBdr>
        <w:top w:val="none" w:sz="0" w:space="0" w:color="auto"/>
        <w:left w:val="none" w:sz="0" w:space="0" w:color="auto"/>
        <w:bottom w:val="none" w:sz="0" w:space="0" w:color="auto"/>
        <w:right w:val="none" w:sz="0" w:space="0" w:color="auto"/>
      </w:divBdr>
    </w:div>
    <w:div w:id="2010055703">
      <w:bodyDiv w:val="1"/>
      <w:marLeft w:val="0"/>
      <w:marRight w:val="0"/>
      <w:marTop w:val="0"/>
      <w:marBottom w:val="0"/>
      <w:divBdr>
        <w:top w:val="none" w:sz="0" w:space="0" w:color="auto"/>
        <w:left w:val="none" w:sz="0" w:space="0" w:color="auto"/>
        <w:bottom w:val="none" w:sz="0" w:space="0" w:color="auto"/>
        <w:right w:val="none" w:sz="0" w:space="0" w:color="auto"/>
      </w:divBdr>
    </w:div>
    <w:div w:id="2010719254">
      <w:bodyDiv w:val="1"/>
      <w:marLeft w:val="0"/>
      <w:marRight w:val="0"/>
      <w:marTop w:val="0"/>
      <w:marBottom w:val="0"/>
      <w:divBdr>
        <w:top w:val="none" w:sz="0" w:space="0" w:color="auto"/>
        <w:left w:val="none" w:sz="0" w:space="0" w:color="auto"/>
        <w:bottom w:val="none" w:sz="0" w:space="0" w:color="auto"/>
        <w:right w:val="none" w:sz="0" w:space="0" w:color="auto"/>
      </w:divBdr>
      <w:divsChild>
        <w:div w:id="160392382">
          <w:marLeft w:val="0"/>
          <w:marRight w:val="0"/>
          <w:marTop w:val="0"/>
          <w:marBottom w:val="0"/>
          <w:divBdr>
            <w:top w:val="none" w:sz="0" w:space="0" w:color="auto"/>
            <w:left w:val="none" w:sz="0" w:space="0" w:color="auto"/>
            <w:bottom w:val="none" w:sz="0" w:space="0" w:color="auto"/>
            <w:right w:val="none" w:sz="0" w:space="0" w:color="auto"/>
          </w:divBdr>
        </w:div>
      </w:divsChild>
    </w:div>
    <w:div w:id="2011129604">
      <w:bodyDiv w:val="1"/>
      <w:marLeft w:val="0"/>
      <w:marRight w:val="0"/>
      <w:marTop w:val="0"/>
      <w:marBottom w:val="0"/>
      <w:divBdr>
        <w:top w:val="none" w:sz="0" w:space="0" w:color="auto"/>
        <w:left w:val="none" w:sz="0" w:space="0" w:color="auto"/>
        <w:bottom w:val="none" w:sz="0" w:space="0" w:color="auto"/>
        <w:right w:val="none" w:sz="0" w:space="0" w:color="auto"/>
      </w:divBdr>
    </w:div>
    <w:div w:id="2014183761">
      <w:bodyDiv w:val="1"/>
      <w:marLeft w:val="0"/>
      <w:marRight w:val="0"/>
      <w:marTop w:val="0"/>
      <w:marBottom w:val="0"/>
      <w:divBdr>
        <w:top w:val="none" w:sz="0" w:space="0" w:color="auto"/>
        <w:left w:val="none" w:sz="0" w:space="0" w:color="auto"/>
        <w:bottom w:val="none" w:sz="0" w:space="0" w:color="auto"/>
        <w:right w:val="none" w:sz="0" w:space="0" w:color="auto"/>
      </w:divBdr>
    </w:div>
    <w:div w:id="2014912259">
      <w:bodyDiv w:val="1"/>
      <w:marLeft w:val="0"/>
      <w:marRight w:val="0"/>
      <w:marTop w:val="0"/>
      <w:marBottom w:val="0"/>
      <w:divBdr>
        <w:top w:val="none" w:sz="0" w:space="0" w:color="auto"/>
        <w:left w:val="none" w:sz="0" w:space="0" w:color="auto"/>
        <w:bottom w:val="none" w:sz="0" w:space="0" w:color="auto"/>
        <w:right w:val="none" w:sz="0" w:space="0" w:color="auto"/>
      </w:divBdr>
    </w:div>
    <w:div w:id="2024626405">
      <w:bodyDiv w:val="1"/>
      <w:marLeft w:val="0"/>
      <w:marRight w:val="0"/>
      <w:marTop w:val="0"/>
      <w:marBottom w:val="0"/>
      <w:divBdr>
        <w:top w:val="none" w:sz="0" w:space="0" w:color="auto"/>
        <w:left w:val="none" w:sz="0" w:space="0" w:color="auto"/>
        <w:bottom w:val="none" w:sz="0" w:space="0" w:color="auto"/>
        <w:right w:val="none" w:sz="0" w:space="0" w:color="auto"/>
      </w:divBdr>
    </w:div>
    <w:div w:id="2028436087">
      <w:bodyDiv w:val="1"/>
      <w:marLeft w:val="0"/>
      <w:marRight w:val="0"/>
      <w:marTop w:val="0"/>
      <w:marBottom w:val="0"/>
      <w:divBdr>
        <w:top w:val="none" w:sz="0" w:space="0" w:color="auto"/>
        <w:left w:val="none" w:sz="0" w:space="0" w:color="auto"/>
        <w:bottom w:val="none" w:sz="0" w:space="0" w:color="auto"/>
        <w:right w:val="none" w:sz="0" w:space="0" w:color="auto"/>
      </w:divBdr>
    </w:div>
    <w:div w:id="2028942287">
      <w:bodyDiv w:val="1"/>
      <w:marLeft w:val="0"/>
      <w:marRight w:val="0"/>
      <w:marTop w:val="0"/>
      <w:marBottom w:val="0"/>
      <w:divBdr>
        <w:top w:val="none" w:sz="0" w:space="0" w:color="auto"/>
        <w:left w:val="none" w:sz="0" w:space="0" w:color="auto"/>
        <w:bottom w:val="none" w:sz="0" w:space="0" w:color="auto"/>
        <w:right w:val="none" w:sz="0" w:space="0" w:color="auto"/>
      </w:divBdr>
    </w:div>
    <w:div w:id="2038039679">
      <w:bodyDiv w:val="1"/>
      <w:marLeft w:val="0"/>
      <w:marRight w:val="0"/>
      <w:marTop w:val="0"/>
      <w:marBottom w:val="0"/>
      <w:divBdr>
        <w:top w:val="none" w:sz="0" w:space="0" w:color="auto"/>
        <w:left w:val="none" w:sz="0" w:space="0" w:color="auto"/>
        <w:bottom w:val="none" w:sz="0" w:space="0" w:color="auto"/>
        <w:right w:val="none" w:sz="0" w:space="0" w:color="auto"/>
      </w:divBdr>
    </w:div>
    <w:div w:id="2047171839">
      <w:bodyDiv w:val="1"/>
      <w:marLeft w:val="0"/>
      <w:marRight w:val="0"/>
      <w:marTop w:val="0"/>
      <w:marBottom w:val="0"/>
      <w:divBdr>
        <w:top w:val="none" w:sz="0" w:space="0" w:color="auto"/>
        <w:left w:val="none" w:sz="0" w:space="0" w:color="auto"/>
        <w:bottom w:val="none" w:sz="0" w:space="0" w:color="auto"/>
        <w:right w:val="none" w:sz="0" w:space="0" w:color="auto"/>
      </w:divBdr>
    </w:div>
    <w:div w:id="2047364528">
      <w:bodyDiv w:val="1"/>
      <w:marLeft w:val="0"/>
      <w:marRight w:val="0"/>
      <w:marTop w:val="0"/>
      <w:marBottom w:val="0"/>
      <w:divBdr>
        <w:top w:val="none" w:sz="0" w:space="0" w:color="auto"/>
        <w:left w:val="none" w:sz="0" w:space="0" w:color="auto"/>
        <w:bottom w:val="none" w:sz="0" w:space="0" w:color="auto"/>
        <w:right w:val="none" w:sz="0" w:space="0" w:color="auto"/>
      </w:divBdr>
    </w:div>
    <w:div w:id="2048067476">
      <w:bodyDiv w:val="1"/>
      <w:marLeft w:val="0"/>
      <w:marRight w:val="0"/>
      <w:marTop w:val="0"/>
      <w:marBottom w:val="0"/>
      <w:divBdr>
        <w:top w:val="none" w:sz="0" w:space="0" w:color="auto"/>
        <w:left w:val="none" w:sz="0" w:space="0" w:color="auto"/>
        <w:bottom w:val="none" w:sz="0" w:space="0" w:color="auto"/>
        <w:right w:val="none" w:sz="0" w:space="0" w:color="auto"/>
      </w:divBdr>
    </w:div>
    <w:div w:id="2053728654">
      <w:bodyDiv w:val="1"/>
      <w:marLeft w:val="0"/>
      <w:marRight w:val="0"/>
      <w:marTop w:val="0"/>
      <w:marBottom w:val="0"/>
      <w:divBdr>
        <w:top w:val="none" w:sz="0" w:space="0" w:color="auto"/>
        <w:left w:val="none" w:sz="0" w:space="0" w:color="auto"/>
        <w:bottom w:val="none" w:sz="0" w:space="0" w:color="auto"/>
        <w:right w:val="none" w:sz="0" w:space="0" w:color="auto"/>
      </w:divBdr>
    </w:div>
    <w:div w:id="2077239171">
      <w:bodyDiv w:val="1"/>
      <w:marLeft w:val="0"/>
      <w:marRight w:val="0"/>
      <w:marTop w:val="0"/>
      <w:marBottom w:val="0"/>
      <w:divBdr>
        <w:top w:val="none" w:sz="0" w:space="0" w:color="auto"/>
        <w:left w:val="none" w:sz="0" w:space="0" w:color="auto"/>
        <w:bottom w:val="none" w:sz="0" w:space="0" w:color="auto"/>
        <w:right w:val="none" w:sz="0" w:space="0" w:color="auto"/>
      </w:divBdr>
    </w:div>
    <w:div w:id="2085952085">
      <w:bodyDiv w:val="1"/>
      <w:marLeft w:val="0"/>
      <w:marRight w:val="0"/>
      <w:marTop w:val="0"/>
      <w:marBottom w:val="0"/>
      <w:divBdr>
        <w:top w:val="none" w:sz="0" w:space="0" w:color="auto"/>
        <w:left w:val="none" w:sz="0" w:space="0" w:color="auto"/>
        <w:bottom w:val="none" w:sz="0" w:space="0" w:color="auto"/>
        <w:right w:val="none" w:sz="0" w:space="0" w:color="auto"/>
      </w:divBdr>
    </w:div>
    <w:div w:id="2132433283">
      <w:bodyDiv w:val="1"/>
      <w:marLeft w:val="0"/>
      <w:marRight w:val="0"/>
      <w:marTop w:val="0"/>
      <w:marBottom w:val="0"/>
      <w:divBdr>
        <w:top w:val="none" w:sz="0" w:space="0" w:color="auto"/>
        <w:left w:val="none" w:sz="0" w:space="0" w:color="auto"/>
        <w:bottom w:val="none" w:sz="0" w:space="0" w:color="auto"/>
        <w:right w:val="none" w:sz="0" w:space="0" w:color="auto"/>
      </w:divBdr>
    </w:div>
    <w:div w:id="21391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Wit72</b:Tag>
    <b:SourceType>Book</b:SourceType>
    <b:Guid>{8E78D98A-4064-4895-8F86-D11043F27361}</b:Guid>
    <b:Author>
      <b:Author>
        <b:NameList>
          <b:Person>
            <b:Last>Witty</b:Last>
            <b:First>Alicia</b:First>
          </b:Person>
        </b:NameList>
      </b:Author>
    </b:Author>
    <b:Title>Faction and Republic: The Birth of American Party Politics, 1789–1801</b:Title>
    <b:Year>1972</b:Year>
    <b:City>Concord</b:City>
    <b:Publisher>Quiner University</b:Publisher>
    <b:StateProvince>Indiana</b:StateProvince>
    <b:RefOrder>1</b:RefOrder>
  </b:Source>
  <b:Source>
    <b:Tag>Wic77</b:Tag>
    <b:SourceType>Book</b:SourceType>
    <b:Guid>{160210A5-B7D0-4682-9622-7E710ED302A1}</b:Guid>
    <b:Author>
      <b:Author>
        <b:NameList>
          <b:Person>
            <b:Last>Wickers</b:Last>
            <b:First>Allen</b:First>
          </b:Person>
        </b:NameList>
      </b:Author>
    </b:Author>
    <b:Title>The National Nadir: The Pike Presidency and the Slow Crisis of the Sections</b:Title>
    <b:Year>1977</b:Year>
    <b:City>Harrisonopolis</b:City>
    <b:Publisher>University of Harrisonopolis Press</b:Publisher>
    <b:RefOrder>2</b:RefOrder>
  </b:Source>
  <b:Source>
    <b:Tag>Whi10</b:Tag>
    <b:SourceType>Book</b:SourceType>
    <b:Guid>{AFF3BDC6-C1AA-43DC-BFA2-AD3ED7088692}</b:Guid>
    <b:Author>
      <b:Author>
        <b:NameList>
          <b:Person>
            <b:Last>Whitmore</b:Last>
            <b:First>Charles</b:First>
          </b:Person>
        </b:NameList>
      </b:Author>
    </b:Author>
    <b:Title>Bonds of Anxiety: British-American Relations in the Age of Abolition</b:Title>
    <b:Year>2010</b:Year>
    <b:City>London</b:City>
    <b:Publisher>London University Press</b:Publisher>
    <b:CountryRegion>British Isles</b:CountryRegion>
    <b:RefOrder>3</b:RefOrder>
  </b:Source>
  <b:Source>
    <b:Tag>Wen84</b:Tag>
    <b:SourceType>Book</b:SourceType>
    <b:Guid>{3458E1C2-32B9-49DB-9B90-633DC7FFA607}</b:Guid>
    <b:Author>
      <b:Author>
        <b:NameList>
          <b:Person>
            <b:Last>Wentworth</b:Last>
            <b:First>Sidney</b:First>
          </b:Person>
        </b:NameList>
      </b:Author>
    </b:Author>
    <b:Title>The Decline and Fall of the House of Guelph</b:Title>
    <b:Year>1984</b:Year>
    <b:City>Dublin</b:City>
    <b:Publisher>Dublin Historical Studies</b:Publisher>
    <b:RefOrder>4</b:RefOrder>
  </b:Source>
  <b:Source>
    <b:Tag>Web88</b:Tag>
    <b:SourceType>Book</b:SourceType>
    <b:Guid>{C58B5DF0-F9D9-4900-B3E7-D4249D0A0C6E}</b:Guid>
    <b:Title>Speeches of Daniel Webster: Vol I: 1800-1825 </b:Title>
    <b:Year>1988</b:Year>
    <b:Author>
      <b:Author>
        <b:NameList>
          <b:Person>
            <b:Last>Webster</b:Last>
            <b:First>Daniel</b:First>
          </b:Person>
        </b:NameList>
      </b:Author>
    </b:Author>
    <b:City>Washington</b:City>
    <b:Publisher>Library of Alexandria Publishing</b:Publisher>
    <b:RefOrder>5</b:RefOrder>
  </b:Source>
  <b:Source>
    <b:Tag>Web98</b:Tag>
    <b:SourceType>BookSection</b:SourceType>
    <b:Guid>{EE3B7F15-8475-499E-B9F9-9780D7C87A2A}</b:Guid>
    <b:Author>
      <b:Author>
        <b:NameList>
          <b:Person>
            <b:Last>Webster</b:Last>
            <b:First>Daniel</b:First>
          </b:Person>
        </b:NameList>
      </b:Author>
      <b:BookAuthor>
        <b:NameList>
          <b:Person>
            <b:Last>O'Donnell</b:Last>
            <b:First>Fergus</b:First>
          </b:Person>
        </b:NameList>
      </b:BookAuthor>
    </b:Author>
    <b:Title>A Proclamation to the State of South Carolina</b:Title>
    <b:Year>1998</b:Year>
    <b:Publisher>Library of Alexandria Publishing</b:Publisher>
    <b:City>Alexandria</b:City>
    <b:BookTitle>Speeches of Daniel Webster: Vol III: 1845-1852</b:BookTitle>
    <b:RefOrder>6</b:RefOrder>
  </b:Source>
  <b:Source>
    <b:Tag>Wai77</b:Tag>
    <b:SourceType>Book</b:SourceType>
    <b:Guid>{695BFA85-FA23-4B89-98D0-9F2548A90B37}</b:Guid>
    <b:Author>
      <b:Author>
        <b:NameList>
          <b:Person>
            <b:Last>Wainwright</b:Last>
            <b:First>Samuel</b:First>
          </b:Person>
        </b:NameList>
      </b:Author>
    </b:Author>
    <b:Title>A Bank for the Nation: The Second Bank of the United States, 1825–1868</b:Title>
    <b:Year>1977</b:Year>
    <b:City>Cincinnati</b:City>
    <b:Publisher>Macror Publishing</b:Publisher>
    <b:RefOrder>7</b:RefOrder>
  </b:Source>
  <b:Source>
    <b:Tag>Dan87</b:Tag>
    <b:SourceType>BookSection</b:SourceType>
    <b:Guid>{12F0E8AB-88DB-4507-8AB1-398F2F4DE061}</b:Guid>
    <b:Title>Colorphobia Enshrined: Fredonia and the Myth of Benevolent Segregation</b:Title>
    <b:Year>1987</b:Year>
    <b:City>Princeton</b:City>
    <b:Publisher>University of New Jersey Press</b:Publisher>
    <b:Author>
      <b:Author>
        <b:NameList>
          <b:Person>
            <b:Last>Volkov</b:Last>
            <b:First>Danielle</b:First>
          </b:Person>
        </b:NameList>
      </b:Author>
      <b:BookAuthor>
        <b:NameList>
          <b:Person>
            <b:Last>Clarke</b:Last>
            <b:First>Theodore</b:First>
          </b:Person>
        </b:NameList>
      </b:BookAuthor>
    </b:Author>
    <b:BookTitle>Rewriting Freedom: Critical Essays on Slavery and the American Republic</b:BookTitle>
    <b:RefOrder>8</b:RefOrder>
  </b:Source>
  <b:Source>
    <b:Tag>Van89</b:Tag>
    <b:SourceType>Book</b:SourceType>
    <b:Guid>{3DE2C062-0FB5-4BEE-A558-62BCC76AB109}</b:Guid>
    <b:Author>
      <b:Author>
        <b:NameList>
          <b:Person>
            <b:Last>Vance</b:Last>
            <b:First>Catherine</b:First>
          </b:Person>
        </b:NameList>
      </b:Author>
    </b:Author>
    <b:Title>From Erie to Eternity: The Great March of the Sophians</b:Title>
    <b:Year>1989</b:Year>
    <b:City>Cincinnati</b:City>
    <b:Publisher>Mackintosh University</b:Publisher>
    <b:RefOrder>9</b:RefOrder>
  </b:Source>
  <b:Source>
    <b:Tag>Tur89</b:Tag>
    <b:SourceType>Book</b:SourceType>
    <b:Guid>{2A05DCB5-9193-4DD1-8291-545085F65EE3}</b:Guid>
    <b:Author>
      <b:Author>
        <b:NameList>
          <b:Person>
            <b:Last>Turnbull</b:Last>
            <b:First>Malcolm</b:First>
          </b:Person>
        </b:NameList>
      </b:Author>
    </b:Author>
    <b:Title>From Freedom to Flight: The Colored Exodus to Canada, 1837-1845</b:Title>
    <b:Year>1989</b:Year>
    <b:City>Toronto</b:City>
    <b:Publisher>Toronto University Press</b:Publisher>
    <b:CountryRegion>Canada</b:CountryRegion>
    <b:RefOrder>10</b:RefOrder>
  </b:Source>
  <b:Source>
    <b:Tag>Tor21</b:Tag>
    <b:SourceType>Book</b:SourceType>
    <b:Guid>{E9266CFF-3555-4E11-BC96-39C38DCD6F68}</b:Guid>
    <b:Author>
      <b:Author>
        <b:NameList>
          <b:Person>
            <b:Last>Torres</b:Last>
            <b:First>Ramon</b:First>
          </b:Person>
        </b:NameList>
      </b:Author>
    </b:Author>
    <b:Title>The Lost Empire: Spain, Britain, and the Collapse of Bourbon Power in the Americas</b:Title>
    <b:Year>2021</b:Year>
    <b:City>Alcalá</b:City>
    <b:Publisher>Complutense University</b:Publisher>
    <b:CountryRegion>Spain</b:CountryRegion>
    <b:RefOrder>11</b:RefOrder>
  </b:Source>
  <b:Source>
    <b:Tag>Tho93</b:Tag>
    <b:SourceType>Book</b:SourceType>
    <b:Guid>{F17BA929-331B-485D-842A-9375B3409028}</b:Guid>
    <b:Author>
      <b:Author>
        <b:NameList>
          <b:Person>
            <b:Last>Thorne</b:Last>
            <b:First>Caleb</b:First>
          </b:Person>
        </b:NameList>
      </b:Author>
    </b:Author>
    <b:Title> Temperance and Tyranny: Vice, Virtue, and the American State</b:Title>
    <b:Year>1993</b:Year>
    <b:City>Washington</b:City>
    <b:Publisher>Gracchi Institute</b:Publisher>
    <b:RefOrder>12</b:RefOrder>
  </b:Source>
  <b:Source>
    <b:Tag>Tho88</b:Tag>
    <b:SourceType>Book</b:SourceType>
    <b:Guid>{AC6FFB39-E6F2-43F3-8B66-2EAB110FD8B2}</b:Guid>
    <b:Author>
      <b:Author>
        <b:NameList>
          <b:Person>
            <b:Last>Thompson</b:Last>
            <b:First>Harold</b:First>
          </b:Person>
        </b:NameList>
      </b:Author>
    </b:Author>
    <b:Title>The Pan-American Idea: Diplomacy and Disillusionment, 1829–1837</b:Title>
    <b:Year>1988</b:Year>
    <b:City>Websteropolis</b:City>
    <b:Publisher>Websteropolis University Press</b:Publisher>
    <b:RefOrder>13</b:RefOrder>
  </b:Source>
  <b:Source>
    <b:Tag>Tho97</b:Tag>
    <b:SourceType>JournalArticle</b:SourceType>
    <b:Guid>{1A8DBCAA-BC7E-41F9-AF98-C9ABFB81EAB9}</b:Guid>
    <b:Title>Revolution by Ballot: The Legacy of 1800 in American Politics</b:Title>
    <b:Year>1897</b:Year>
    <b:Author>
      <b:Author>
        <b:NameList>
          <b:Person>
            <b:Last>Thompson</b:Last>
            <b:First>Edwin</b:First>
          </b:Person>
        </b:NameList>
      </b:Author>
    </b:Author>
    <b:JournalName>Columbia University Press</b:JournalName>
    <b:RefOrder>14</b:RefOrder>
  </b:Source>
  <b:Source>
    <b:Tag>Sut12</b:Tag>
    <b:SourceType>Book</b:SourceType>
    <b:Guid>{55ACCFD7-8074-400A-AE92-4BA9F28860D7}</b:Guid>
    <b:Author>
      <b:Author>
        <b:NameList>
          <b:Person>
            <b:Last>Sutherland</b:Last>
            <b:First>Christine</b:First>
          </b:Person>
        </b:NameList>
      </b:Author>
    </b:Author>
    <b:Title>Henry Clay and the Empire of Liberty</b:Title>
    <b:Year>2012</b:Year>
    <b:City>Washington</b:City>
    <b:Publisher>Smithsonian History Press</b:Publisher>
    <b:RefOrder>15</b:RefOrder>
  </b:Source>
  <b:Source>
    <b:Tag>Sum45</b:Tag>
    <b:SourceType>Book</b:SourceType>
    <b:Guid>{47552ACC-68FF-481A-912D-679ACE4F76A5}</b:Guid>
    <b:Author>
      <b:Author>
        <b:NameList>
          <b:Person>
            <b:Last>Summers</b:Last>
            <b:First>Henry</b:First>
          </b:Person>
        </b:NameList>
      </b:Author>
    </b:Author>
    <b:Title>The Question of Succession: Exchanges of Power in a Republican Country</b:Title>
    <b:Year>1945</b:Year>
    <b:City>London</b:City>
    <b:Publisher>London University Press</b:Publisher>
    <b:CountryRegion>British Isles</b:CountryRegion>
    <b:RefOrder>16</b:RefOrder>
  </b:Source>
  <b:Source>
    <b:Tag>Sul87</b:Tag>
    <b:SourceType>Book</b:SourceType>
    <b:Guid>{A48B04BE-F294-4C90-ADA7-1F53A65E80E5}</b:Guid>
    <b:Author>
      <b:Author>
        <b:NameList>
          <b:Person>
            <b:Last>Sullivan</b:Last>
            <b:First>Peter</b:First>
          </b:Person>
        </b:NameList>
      </b:Author>
    </b:Author>
    <b:Title>The Jeffersonian Republic: National Debt, Expansion, and Foreign Relations</b:Title>
    <b:Year>1987</b:Year>
    <b:City>Memphis</b:City>
    <b:Publisher>Ogden University Press</b:Publisher>
    <b:RefOrder>17</b:RefOrder>
  </b:Source>
  <b:Source>
    <b:Tag>Sto52</b:Tag>
    <b:SourceType>Book</b:SourceType>
    <b:Guid>{15644A1A-36C1-4649-AC98-26FFBAF4112D}</b:Guid>
    <b:Author>
      <b:Author>
        <b:NameList>
          <b:Person>
            <b:Last>Stoddard</b:Last>
            <b:First>Hortense</b:First>
          </b:Person>
        </b:NameList>
      </b:Author>
    </b:Author>
    <b:Title>Genius in the Tower: The Science and Statesmanship of Joseph Henry</b:Title>
    <b:Year>1952</b:Year>
    <b:City>Washington</b:City>
    <b:Publisher>Society for the Diffusion of Useful Knowledge</b:Publisher>
    <b:RefOrder>18</b:RefOrder>
  </b:Source>
  <b:Source>
    <b:Tag>Sta88</b:Tag>
    <b:SourceType>Book</b:SourceType>
    <b:Guid>{447C1814-73BD-4C35-ABCB-AF8DBD88B7B8}</b:Guid>
    <b:Author>
      <b:Author>
        <b:NameList>
          <b:Person>
            <b:Last>Stanton</b:Last>
            <b:First>Clara</b:First>
          </b:Person>
        </b:NameList>
      </b:Author>
    </b:Author>
    <b:Title>The Websterian Moment: Nationalism and Order in Antebellum America</b:Title>
    <b:Year>1988</b:Year>
    <b:City>New York</b:City>
    <b:Publisher>Columbia University Press</b:Publisher>
    <b:RefOrder>19</b:RefOrder>
  </b:Source>
  <b:Source>
    <b:Tag>Smi03</b:Tag>
    <b:SourceType>Book</b:SourceType>
    <b:Guid>{7E75A964-18FA-4B70-BDBA-2A5EF18E89AF}</b:Guid>
    <b:Author>
      <b:Author>
        <b:NameList>
          <b:Person>
            <b:Last>Smith</b:Last>
            <b:First>Fitzgerald</b:First>
          </b:Person>
        </b:NameList>
      </b:Author>
    </b:Author>
    <b:Title>The Harp and Stars: The Great Irish Rebellion and Burr, 1799-1823</b:Title>
    <b:Year>2003</b:Year>
    <b:City>Dublin</b:City>
    <b:Publisher>Dublin Historical Studies</b:Publisher>
    <b:RefOrder>20</b:RefOrder>
  </b:Source>
  <b:Source>
    <b:Tag>Sch19</b:Tag>
    <b:SourceType>Book</b:SourceType>
    <b:Guid>{A5536D22-8CDB-4BD0-AFD3-965E8C8096A9}</b:Guid>
    <b:Author>
      <b:Author>
        <b:NameList>
          <b:Person>
            <b:Last>Schultz</b:Last>
            <b:First>Anna</b:First>
          </b:Person>
        </b:NameList>
      </b:Author>
    </b:Author>
    <b:Title>The Franchise: How Women won the Right to Vote</b:Title>
    <b:Year>2019</b:Year>
    <b:City>Fitzgerald</b:City>
    <b:Publisher>Webster University</b:Publisher>
    <b:RefOrder>21</b:RefOrder>
  </b:Source>
  <b:Source>
    <b:Tag>Sch03</b:Tag>
    <b:SourceType>Book</b:SourceType>
    <b:Guid>{AC81BBC3-65C8-454F-8A1F-D017865B1784}</b:Guid>
    <b:Author>
      <b:Author>
        <b:NameList>
          <b:Person>
            <b:Last>Schmitt</b:Last>
            <b:First>Angela</b:First>
          </b:Person>
        </b:NameList>
      </b:Author>
    </b:Author>
    <b:Title>The Southern Diaspora North: Class, Race, and Migration in Antebellum America</b:Title>
    <b:Year>2003</b:Year>
    <b:City>Lexington</b:City>
    <b:Publisher>Transylvania University Press</b:Publisher>
    <b:StateProvince>Kentucky</b:StateProvince>
    <b:RefOrder>22</b:RefOrder>
  </b:Source>
  <b:Source>
    <b:Tag>Sam11</b:Tag>
    <b:SourceType>JournalArticle</b:SourceType>
    <b:Guid>{AE79743A-2A3E-4C53-AE7F-04A5B64D2081}</b:Guid>
    <b:Author>
      <b:Author>
        <b:NameList>
          <b:Person>
            <b:Last>Samuels</b:Last>
            <b:First>Roger</b:First>
          </b:Person>
        </b:NameList>
      </b:Author>
    </b:Author>
    <b:Title>The Rise of the Washington Board of Brokers: 1800–1840</b:Title>
    <b:JournalName>Journal of Washington Studies 7, no. 1</b:JournalName>
    <b:Year>2011</b:Year>
    <b:RefOrder>23</b:RefOrder>
  </b:Source>
  <b:Source>
    <b:Tag>Rom87</b:Tag>
    <b:SourceType>Book</b:SourceType>
    <b:Guid>{97A703F3-C10D-4E4E-8BC8-C5E2CD5A4E5F}</b:Guid>
    <b:Author>
      <b:Author>
        <b:NameList>
          <b:Person>
            <b:Last>Romanov</b:Last>
            <b:First>Warren</b:First>
          </b:Person>
        </b:NameList>
      </b:Author>
    </b:Author>
    <b:Title>Refugees in their Own Country: The Indigenous Tribes After Removal, 1837-1916</b:Title>
    <b:Year>1987</b:Year>
    <b:City>Chester</b:City>
    <b:Publisher>University of Shackamia Press</b:Publisher>
    <b:StateProvince>Shackamia</b:StateProvince>
    <b:RefOrder>24</b:RefOrder>
  </b:Source>
  <b:Source>
    <b:Tag>Rob98</b:Tag>
    <b:SourceType>Book</b:SourceType>
    <b:Guid>{77FAEFA6-B897-44F6-B6C9-743E644DDB78}</b:Guid>
    <b:Author>
      <b:Author>
        <b:NameList>
          <b:Person>
            <b:Last>Roberts</b:Last>
            <b:First>Sylvia</b:First>
          </b:Person>
        </b:NameList>
      </b:Author>
    </b:Author>
    <b:Title>Blood and Fire: Violence and Resistance in the Antebellum House of Representatives</b:Title>
    <b:Year>1998</b:Year>
    <b:City>Washington</b:City>
    <b:Publisher>Smithsonian History Press</b:Publisher>
    <b:RefOrder>25</b:RefOrder>
  </b:Source>
  <b:Source>
    <b:Tag>Rid03</b:Tag>
    <b:SourceType>Book</b:SourceType>
    <b:Guid>{DBC78F80-1F34-461C-ACB3-BF95E05250D8}</b:Guid>
    <b:Author>
      <b:Author>
        <b:NameList>
          <b:Person>
            <b:Last>Ridley</b:Last>
            <b:First>Benjamin</b:First>
          </b:Person>
        </b:NameList>
      </b:Author>
    </b:Author>
    <b:Title>Celestial Hierarchies and Radical Bodies: Mystical Christianity in Revolutionary Britain</b:Title>
    <b:Year>2003</b:Year>
    <b:City>Cambridge</b:City>
    <b:Publisher>Cambridge University Press</b:Publisher>
    <b:CountryRegion>British Isles</b:CountryRegion>
    <b:RefOrder>26</b:RefOrder>
  </b:Source>
  <b:Source>
    <b:Tag>Ran24</b:Tag>
    <b:SourceType>JournalArticle</b:SourceType>
    <b:Guid>{4E9751C9-DF9B-4710-97E5-3E9FF294E264}</b:Guid>
    <b:Title>The Last Stand of Nullification: South Carolina and the Force Act</b:Title>
    <b:Year>2024</b:Year>
    <b:Author>
      <b:Author>
        <b:NameList>
          <b:Person>
            <b:Last>Randall</b:Last>
            <b:First>Judith</b:First>
          </b:Person>
        </b:NameList>
      </b:Author>
    </b:Author>
    <b:JournalName>Orleans State University Press</b:JournalName>
    <b:RefOrder>27</b:RefOrder>
  </b:Source>
  <b:Source>
    <b:Tag>Pru06</b:Tag>
    <b:SourceType>Book</b:SourceType>
    <b:Guid>{021C0197-41A6-4B61-A2A0-D346E4B20234}</b:Guid>
    <b:Author>
      <b:Author>
        <b:NameList>
          <b:Person>
            <b:Last>Pruitt</b:Last>
            <b:First>Nathaniel</b:First>
          </b:Person>
        </b:NameList>
      </b:Author>
    </b:Author>
    <b:Title>The National Bank and the Arc of Iron: State Commercialism and the Railroad Revolution, 1830–1868</b:Title>
    <b:Year>2006</b:Year>
    <b:City>Fitzgerald</b:City>
    <b:Publisher>Curran Emmet University</b:Publisher>
    <b:RefOrder>28</b:RefOrder>
  </b:Source>
  <b:Source>
    <b:Tag>Por20</b:Tag>
    <b:SourceType>Book</b:SourceType>
    <b:Guid>{81A79BD2-4F23-4D9C-9947-DC120E4E2A06}</b:Guid>
    <b:Author>
      <b:Author>
        <b:NameList>
          <b:Person>
            <b:Last>Porterfield</b:Last>
            <b:First>Isaac</b:First>
          </b:Person>
        </b:NameList>
      </b:Author>
    </b:Author>
    <b:Title>Semaphore Republic: America’s First Communications Revolution</b:Title>
    <b:Year>2020</b:Year>
    <b:City>Alexandria</b:City>
    <b:Publisher>Library of Alexandria Publishing</b:Publisher>
    <b:RefOrder>29</b:RefOrder>
  </b:Source>
  <b:Source>
    <b:Tag>Poo78</b:Tag>
    <b:SourceType>Book</b:SourceType>
    <b:Guid>{E5B037E1-93F0-4B6C-95CE-207AAA5B00E1}</b:Guid>
    <b:Author>
      <b:Author>
        <b:NameList>
          <b:Person>
            <b:Last>Poots</b:Last>
            <b:First>Bess</b:First>
          </b:Person>
        </b:NameList>
      </b:Author>
    </b:Author>
    <b:Title>The First Quasi War: Naval Conflict and Presidential Power, 1798–1801</b:Title>
    <b:Year>1978</b:Year>
    <b:City>Websterville</b:City>
    <b:Publisher>Naval Historical Review</b:Publisher>
    <b:RefOrder>30</b:RefOrder>
  </b:Source>
  <b:Source>
    <b:Tag>The04</b:Tag>
    <b:SourceType>Book</b:SourceType>
    <b:Guid>{FA8069D4-8D75-4E96-B10F-FEB5C3A66ADD}</b:Guid>
    <b:Title>The Rise of Sequoyah: The Five Tribes in Exile, 1837-1916</b:Title>
    <b:Year>2004</b:Year>
    <b:City>Monterrey</b:City>
    <b:Publisher>Republican University of Monterrey Press</b:Publisher>
    <b:Author>
      <b:Author>
        <b:NameList>
          <b:Person>
            <b:Last>Poole</b:Last>
            <b:First>Tomás</b:First>
          </b:Person>
        </b:NameList>
      </b:Author>
    </b:Author>
    <b:CountryRegion>Buenaventura</b:CountryRegion>
    <b:RefOrder>31</b:RefOrder>
  </b:Source>
  <b:Source>
    <b:Tag>Pin14</b:Tag>
    <b:SourceType>Book</b:SourceType>
    <b:Guid>{B3367076-0806-492C-B595-1FABB39D3798}</b:Guid>
    <b:Author>
      <b:Author>
        <b:NameList>
          <b:Person>
            <b:Last>Pinchot</b:Last>
            <b:First>Geoffrey</b:First>
          </b:Person>
        </b:NameList>
      </b:Author>
    </b:Author>
    <b:Title>The First Spark of the Information Age: The Semaphore in France and the Sister Republics, 1793 to 1855</b:Title>
    <b:Year>2014</b:Year>
    <b:City>Paris</b:City>
    <b:Publisher>University of Paris</b:Publisher>
    <b:CountryRegion>France</b:CountryRegion>
    <b:RefOrder>32</b:RefOrder>
  </b:Source>
  <b:Source>
    <b:Tag>Pen91</b:Tag>
    <b:SourceType>Book</b:SourceType>
    <b:Guid>{8881FB66-7478-4FC8-AC91-2AE04BE01835}</b:Guid>
    <b:Author>
      <b:Author>
        <b:NameList>
          <b:Person>
            <b:Last>Pennington</b:Last>
            <b:First>Robert</b:First>
          </b:Person>
        </b:NameList>
      </b:Author>
    </b:Author>
    <b:Title>Thomas Jefferson: The Master of Monticello</b:Title>
    <b:Year>1991</b:Year>
    <b:City>Washington</b:City>
    <b:Publisher>Smithsonian History Press</b:Publisher>
    <b:RefOrder>33</b:RefOrder>
  </b:Source>
  <b:Source>
    <b:Tag>Pen88</b:Tag>
    <b:SourceType>Book</b:SourceType>
    <b:Guid>{AEEA0487-58D7-4201-BCBD-7B9D4C82A500}</b:Guid>
    <b:Author>
      <b:Author>
        <b:NameList>
          <b:Person>
            <b:Last>Pennington</b:Last>
            <b:First>Robert</b:First>
          </b:Person>
        </b:NameList>
      </b:Author>
    </b:Author>
    <b:Title>Alexander Hamilton: Anatomy of a Traitor</b:Title>
    <b:Year>1988</b:Year>
    <b:City>Washington</b:City>
    <b:Publisher>Smithsonian History Press</b:Publisher>
    <b:RefOrder>34</b:RefOrder>
  </b:Source>
  <b:Source>
    <b:Tag>Pan68</b:Tag>
    <b:SourceType>Book</b:SourceType>
    <b:Guid>{0C052F51-FDBE-4A22-BAB8-C588D4242782}</b:Guid>
    <b:Title>The Mudsills of the North: The Mechanics of the North and the Peculiar Institution, 1789-1868</b:Title>
    <b:Year>1968</b:Year>
    <b:Author>
      <b:Author>
        <b:NameList>
          <b:Person>
            <b:Last>Pantakrov</b:Last>
            <b:First>Sidney</b:First>
          </b:Person>
        </b:NameList>
      </b:Author>
    </b:Author>
    <b:City>Websteropolis</b:City>
    <b:Publisher>Websteropolis University Press</b:Publisher>
    <b:RefOrder>35</b:RefOrder>
  </b:Source>
  <b:Source>
    <b:Tag>Pan03</b:Tag>
    <b:SourceType>Book</b:SourceType>
    <b:Guid>{5BF5A55D-E2C1-4F42-9BA3-45297FC04315}</b:Guid>
    <b:Author>
      <b:Author>
        <b:NameList>
          <b:Person>
            <b:Last>Pantakrov</b:Last>
            <b:First>Jenny</b:First>
          </b:Person>
        </b:NameList>
      </b:Author>
    </b:Author>
    <b:Title>Forgotten Founder: The Life and Times of John Adams</b:Title>
    <b:Year>2003</b:Year>
    <b:City>Websteropolis</b:City>
    <b:Publisher>Websteropolis Historical Society</b:Publisher>
    <b:RefOrder>36</b:RefOrder>
  </b:Source>
  <b:Source>
    <b:Tag>Pal01</b:Tag>
    <b:SourceType>Book</b:SourceType>
    <b:Guid>{585CCF89-D75D-4BC9-8EDA-EBA93C339671}</b:Guid>
    <b:Title>The Long, Hard Struggle: Antislavery in the Antebellum Era, 1829-1868</b:Title>
    <b:Year>2001</b:Year>
    <b:Author>
      <b:Author>
        <b:NameList>
          <b:Person>
            <b:Last>Palley</b:Last>
            <b:First>Lazare</b:First>
          </b:Person>
        </b:NameList>
      </b:Author>
    </b:Author>
    <b:City>Websteropolis</b:City>
    <b:Publisher>Websteropolis University Press</b:Publisher>
    <b:RefOrder>37</b:RefOrder>
  </b:Source>
  <b:Source>
    <b:Tag>Ozi48</b:Tag>
    <b:SourceType>JournalArticle</b:SourceType>
    <b:Guid>{EEA37D4C-5E33-43EE-B46F-1AB22B254A5E}</b:Guid>
    <b:Author>
      <b:Author>
        <b:NameList>
          <b:Person>
            <b:Last>Ozimov</b:Last>
            <b:First>Isaac</b:First>
          </b:Person>
        </b:NameList>
      </b:Author>
    </b:Author>
    <b:Title>Second Bank of the United States</b:Title>
    <b:JournalName>Sociocratic Encyclopedia, 5ed.</b:JournalName>
    <b:Year>1948</b:Year>
    <b:RefOrder>38</b:RefOrder>
  </b:Source>
  <b:Source>
    <b:Tag>OCa15</b:Tag>
    <b:SourceType>Book</b:SourceType>
    <b:Guid>{AEA95411-C138-42A9-84EA-7FC26A333A67}</b:Guid>
    <b:Author>
      <b:Author>
        <b:NameList>
          <b:Person>
            <b:Last>O’Callaghan</b:Last>
            <b:First>Judith</b:First>
          </b:Person>
        </b:NameList>
      </b:Author>
    </b:Author>
    <b:Title>The West and the Canal Revolution: Trade, Transport, and Regional Hubs in the Webster Era</b:Title>
    <b:Year>2015</b:Year>
    <b:City>Sandusky</b:City>
    <b:Publisher>Great Lakes Historical Society</b:Publisher>
    <b:RefOrder>39</b:RefOrder>
  </b:Source>
  <b:Source>
    <b:Tag>Nac86</b:Tag>
    <b:SourceType>Book</b:SourceType>
    <b:Guid>{EF545D87-228B-471A-A874-B03F49421174}</b:Guid>
    <b:Author>
      <b:Author>
        <b:NameList>
          <b:Person>
            <b:Last>Nackamoorah</b:Last>
            <b:First>Miriam</b:First>
          </b:Person>
        </b:NameList>
      </b:Author>
    </b:Author>
    <b:Title>From Confederation to Constitution: The Forging of the American Republic, 1781–1801</b:Title>
    <b:Year>1986</b:Year>
    <b:City>Dartmouth</b:City>
    <b:Publisher>Dartmouth College Press</b:Publisher>
    <b:RefOrder>40</b:RefOrder>
  </b:Source>
  <b:Source>
    <b:Tag>Mur01</b:Tag>
    <b:SourceType>Book</b:SourceType>
    <b:Guid>{7DA78EC4-4884-43B2-9E11-74DF97769007}</b:Guid>
    <b:Author>
      <b:Author>
        <b:NameList>
          <b:Person>
            <b:Last>Murphy</b:Last>
            <b:First>William</b:First>
          </b:Person>
        </b:NameList>
      </b:Author>
    </b:Author>
    <b:Title>Empire at the Crossroads: Spanish America and the United States in the Early 19th Century</b:Title>
    <b:Year>2001</b:Year>
    <b:City>Garibaldi</b:City>
    <b:Publisher>University of Garibaldi Press</b:Publisher>
    <b:RefOrder>41</b:RefOrder>
  </b:Source>
  <b:Source>
    <b:Tag>Mor20</b:Tag>
    <b:SourceType>Book</b:SourceType>
    <b:Guid>{34CC9A39-3F56-48EB-80F3-C2088FDA432C}</b:Guid>
    <b:Title>The Second Age of Revolutions in Global History: 1827-1880</b:Title>
    <b:Year>2020</b:Year>
    <b:Author>
      <b:Author>
        <b:NameList>
          <b:Person>
            <b:Last>Morris</b:Last>
            <b:First>Alexander</b:First>
          </b:Person>
        </b:NameList>
      </b:Author>
    </b:Author>
    <b:City>London</b:City>
    <b:Publisher>London University Press</b:Publisher>
    <b:CountryRegion>British Isles</b:CountryRegion>
    <b:RefOrder>42</b:RefOrder>
  </b:Source>
  <b:Source>
    <b:Tag>Mor62</b:Tag>
    <b:SourceType>Book</b:SourceType>
    <b:Guid>{582C1F1F-02D6-43C6-B11B-B4BD87D46C4F}</b:Guid>
    <b:Author>
      <b:Author>
        <b:NameList>
          <b:Person>
            <b:Last>Morgan</b:Last>
            <b:First>Elias</b:First>
          </b:Person>
        </b:NameList>
      </b:Author>
    </b:Author>
    <b:Title>The Chain Reforged: The Planter Ascendancy in the Pike Administration</b:Title>
    <b:Year>1962</b:Year>
    <b:City>Harrisonopolis</b:City>
    <b:Publisher>University of Harrisonopolis Press</b:Publisher>
    <b:RefOrder>43</b:RefOrder>
  </b:Source>
  <b:Source>
    <b:Tag>Mil98</b:Tag>
    <b:SourceType>Book</b:SourceType>
    <b:Guid>{4B51A010-F37C-4961-B509-19CE81B7435B}</b:Guid>
    <b:Title>America’s Satan: The Life and Times of John C. Calhoun</b:Title>
    <b:City>Alexandria</b:City>
    <b:Year>1998</b:Year>
    <b:Author>
      <b:Author>
        <b:NameList>
          <b:Person>
            <b:Last>Miller</b:Last>
            <b:First>Zenobia</b:First>
          </b:Person>
        </b:NameList>
      </b:Author>
    </b:Author>
    <b:Publisher>Library of Alexandria Publishing</b:Publisher>
    <b:RefOrder>44</b:RefOrder>
  </b:Source>
  <b:Source>
    <b:Tag>Mil94</b:Tag>
    <b:SourceType>Book</b:SourceType>
    <b:Guid>{7F8BB029-B6DD-45F3-B59D-5D7BD3CB5C9C}</b:Guid>
    <b:Author>
      <b:Author>
        <b:NameList>
          <b:Person>
            <b:Last>Miller</b:Last>
            <b:First>Edwin</b:First>
          </b:Person>
        </b:NameList>
      </b:Author>
    </b:Author>
    <b:Title>The Lewis and Clark Expedition: Disappearance and Memory</b:Title>
    <b:Year>1994</b:Year>
    <b:City>Harrisonopolis</b:City>
    <b:Publisher>University of Harrisonopolis</b:Publisher>
    <b:RefOrder>45</b:RefOrder>
  </b:Source>
  <b:Source>
    <b:Tag>Mil89</b:Tag>
    <b:SourceType>JournalArticle</b:SourceType>
    <b:Guid>{752E982D-7D98-4EEB-99F7-513530F8F36B}</b:Guid>
    <b:Author>
      <b:Author>
        <b:NameList>
          <b:Person>
            <b:Last>Miller</b:Last>
            <b:First>Diana</b:First>
          </b:Person>
        </b:NameList>
      </b:Author>
    </b:Author>
    <b:Title>Urban Expansion and Institutional Development in Antebellum Washington</b:Title>
    <b:Year>1989</b:Year>
    <b:JournalName>Smithsonian Institution Journal of History No. 24</b:JournalName>
    <b:RefOrder>46</b:RefOrder>
  </b:Source>
  <b:Source>
    <b:Tag>McP93</b:Tag>
    <b:SourceType>Book</b:SourceType>
    <b:Guid>{68AED83E-4653-4E44-94D3-29D1B5B67046}</b:Guid>
    <b:Author>
      <b:Author>
        <b:NameList>
          <b:Person>
            <b:Last>Mercer</b:Last>
            <b:First>Elijah</b:First>
          </b:Person>
        </b:NameList>
      </b:Author>
    </b:Author>
    <b:Title>Echoes of Dissent: Republicanism and Resistance in the Liberty and Union War</b:Title>
    <b:Year>1893</b:Year>
    <b:City>Fitzgerald</b:City>
    <b:Publisher>Tara Hill Press</b:Publisher>
    <b:RefOrder>47</b:RefOrder>
  </b:Source>
  <b:Source>
    <b:Tag>McP75</b:Tag>
    <b:SourceType>JournalArticle</b:SourceType>
    <b:Guid>{76AF0E4A-41C7-406B-8888-9E0C3AD63F7A}</b:Guid>
    <b:Author>
      <b:Author>
        <b:NameList>
          <b:Person>
            <b:Last>McPherson</b:Last>
            <b:First>Harold</b:First>
          </b:Person>
        </b:NameList>
      </b:Author>
    </b:Author>
    <b:Title>The Secession Oak and the Bluffton Movement: Planting the Seeds of Richmondism</b:Title>
    <b:JournalName>Southern Historical Quarterly 42, no. 3</b:JournalName>
    <b:Year>1975</b:Year>
    <b:RefOrder>48</b:RefOrder>
  </b:Source>
  <b:Source>
    <b:Tag>McN36</b:Tag>
    <b:SourceType>Book</b:SourceType>
    <b:Guid>{7DB0530D-24CD-4816-A262-645D9703B4DC}</b:Guid>
    <b:Author>
      <b:Author>
        <b:NameList>
          <b:Person>
            <b:Last>McNeil</b:Last>
            <b:First>Webster</b:First>
          </b:Person>
        </b:NameList>
      </b:Author>
    </b:Author>
    <b:Title>Corruption on the Rails: Banking, Bribery, and the Bidding War for the West</b:Title>
    <b:Year>1936</b:Year>
    <b:City>Cincinnati</b:City>
    <b:Publisher>Middle Western Studies in Transport</b:Publisher>
    <b:RefOrder>49</b:RefOrder>
  </b:Source>
  <b:Source>
    <b:Tag>Mat12</b:Tag>
    <b:SourceType>Book</b:SourceType>
    <b:Guid>{DB5352E3-8E73-4E3C-BA26-DFF1F4EFEA9F}</b:Guid>
    <b:Author>
      <b:Author>
        <b:NameList>
          <b:Person>
            <b:Last>Matthews</b:Last>
            <b:First>Henry</b:First>
          </b:Person>
        </b:NameList>
      </b:Author>
    </b:Author>
    <b:Title>Collateral Dreams: The Butlerian Crusade and the Founding of Modern Fredonia</b:Title>
    <b:Year>1912</b:Year>
    <b:City>Libertopolis</b:City>
    <b:Publisher>University of Libertopolis Press</b:Publisher>
    <b:CountryRegion>Fredonia</b:CountryRegion>
    <b:RefOrder>50</b:RefOrder>
  </b:Source>
  <b:Source>
    <b:Tag>Mar96</b:Tag>
    <b:SourceType>Book</b:SourceType>
    <b:Guid>{E13A2A02-FEFD-4966-A3B7-FE4DE1EDA9B3}</b:Guid>
    <b:Author>
      <b:Author>
        <b:NameList>
          <b:Person>
            <b:Last>Martinez</b:Last>
            <b:First>Rafael</b:First>
          </b:Person>
        </b:NameList>
      </b:Author>
    </b:Author>
    <b:Title>Slavery’s Frontier: Expansion, Illegality, and Subversion in Missouri Territory, 1830–1836</b:Title>
    <b:Year>1996</b:Year>
    <b:City>Matamoros</b:City>
    <b:Publisher>Republican University of Matamoros</b:Publisher>
    <b:CountryRegion>Buenaventura</b:CountryRegion>
    <b:RefOrder>51</b:RefOrder>
  </b:Source>
  <b:Source>
    <b:Tag>Man13</b:Tag>
    <b:SourceType>Book</b:SourceType>
    <b:Guid>{DDCA8C35-2E0C-4B84-832F-A7A94D7A80A0}</b:Guid>
    <b:Author>
      <b:Author>
        <b:NameList>
          <b:Person>
            <b:Last>Manning</b:Last>
            <b:First>Julius</b:First>
          </b:Person>
        </b:NameList>
      </b:Author>
    </b:Author>
    <b:Title>Pragmatism and Prejudice: The Politics of Colonization in the Webster Presidency</b:Title>
    <b:Year>1913</b:Year>
    <b:City>Worcester</b:City>
    <b:Publisher>Massachusetts Historical Review 68, no. 1</b:Publisher>
    <b:RefOrder>52</b:RefOrder>
  </b:Source>
  <b:Source>
    <b:Tag>Leg40</b:Tag>
    <b:SourceType>Report</b:SourceType>
    <b:Guid>{CD32780E-B6DC-4797-BB4A-6A9A01832B09}</b:Guid>
    <b:Title>Address to the Voters of the North</b:Title>
    <b:Year>1840</b:Year>
    <b:City>New York City</b:City>
    <b:Publisher>The Plaindealer</b:Publisher>
    <b:Author>
      <b:Author>
        <b:NameList>
          <b:Person>
            <b:Last>Leggett</b:Last>
            <b:First>William</b:First>
          </b:Person>
        </b:NameList>
      </b:Author>
    </b:Author>
    <b:RefOrder>53</b:RefOrder>
  </b:Source>
  <b:Source>
    <b:Tag>Lan05</b:Tag>
    <b:SourceType>JournalArticle</b:SourceType>
    <b:Guid>{91F60D9E-6F72-45CA-A5C8-092F65EC9E58}</b:Guid>
    <b:Author>
      <b:Author>
        <b:NameList>
          <b:Person>
            <b:Last>Langford</b:Last>
            <b:First>Edwin</b:First>
          </b:Person>
        </b:NameList>
      </b:Author>
    </b:Author>
    <b:Title>“Unbending the Arc”: Reform Radicalism and the Political Mainstream, 1829–1868</b:Title>
    <b:Year>2005</b:Year>
    <b:JournalName>Journal of American Political Development 18, no. 2</b:JournalName>
    <b:RefOrder>54</b:RefOrder>
  </b:Source>
  <b:Source>
    <b:Tag>Kus04</b:Tag>
    <b:SourceType>Book</b:SourceType>
    <b:Guid>{788B1F93-E013-4133-A593-CF2E83413096}</b:Guid>
    <b:Author>
      <b:Author>
        <b:NameList>
          <b:Person>
            <b:Last>Kuskov</b:Last>
            <b:First>Alexandria</b:First>
          </b:Person>
        </b:NameList>
      </b:Author>
    </b:Author>
    <b:Title>For Autonomy and Freedom: The Birth and Rise of the Radical Party, 1894-1916</b:Title>
    <b:Year>2004</b:Year>
    <b:City>New Haven</b:City>
    <b:Publisher>Yale University Publishing</b:Publisher>
    <b:RefOrder>55</b:RefOrder>
  </b:Source>
  <b:Source>
    <b:Tag>Kle59</b:Tag>
    <b:SourceType>Book</b:SourceType>
    <b:Guid>{E3BB6C97-2C57-4DAC-924E-9EC2AC3681BE}</b:Guid>
    <b:Author>
      <b:Author>
        <b:NameList>
          <b:Person>
            <b:Last>Klein</b:Last>
            <b:First>Friedrich</b:First>
          </b:Person>
        </b:NameList>
      </b:Author>
    </b:Author>
    <b:Title>The Crisis of the Thrones: Correspondence from Europe, 1847–1853</b:Title>
    <b:Year>1859</b:Year>
    <b:City>Zurich</b:City>
    <b:Publisher>Schwäbische Zeitung</b:Publisher>
    <b:CountryRegion>Germany</b:CountryRegion>
    <b:RefOrder>56</b:RefOrder>
  </b:Source>
  <b:Source>
    <b:Tag>Kir49</b:Tag>
    <b:SourceType>Book</b:SourceType>
    <b:Guid>{1AD9983E-C27A-4CD1-BABD-2C293A58DA66}</b:Guid>
    <b:Author>
      <b:Author>
        <b:NameList>
          <b:Person>
            <b:Last>Kirk</b:Last>
            <b:First>Racine</b:First>
          </b:Person>
        </b:NameList>
      </b:Author>
    </b:Author>
    <b:Title>The Moderate Mind: From Burke to Webster</b:Title>
    <b:Year>1949</b:Year>
    <b:City>Montreal</b:City>
    <b:Publisher>University of Laurentia Press</b:Publisher>
    <b:RefOrder>57</b:RefOrder>
  </b:Source>
  <b:Source>
    <b:Tag>Kir41</b:Tag>
    <b:SourceType>Book</b:SourceType>
    <b:Guid>{AF51DB3D-C875-48FC-B278-FBCA27F0F0AF}</b:Guid>
    <b:Author>
      <b:Author>
        <b:NameList>
          <b:Person>
            <b:Last>Kirk</b:Last>
            <b:First>Racine</b:First>
          </b:Person>
        </b:NameList>
      </b:Author>
    </b:Author>
    <b:Title>The Anglo-American Tradition of Liberty</b:Title>
    <b:Year>1941</b:Year>
    <b:City>Montreal</b:City>
    <b:Publisher>University of Laurentia Press</b:Publisher>
    <b:CountryRegion>Laurentia</b:CountryRegion>
    <b:RefOrder>58</b:RefOrder>
  </b:Source>
  <b:Source>
    <b:Tag>Joh13</b:Tag>
    <b:SourceType>Book</b:SourceType>
    <b:Guid>{2D6DAC19-DF90-4134-8F0B-0C373BB9A78C}</b:Guid>
    <b:Author>
      <b:Author>
        <b:NameList>
          <b:Person>
            <b:Last>Johnson</b:Last>
            <b:First>Zimri</b:First>
          </b:Person>
        </b:NameList>
      </b:Author>
    </b:Author>
    <b:Title>What’s in a name? African, Colored, and Other Terms in the American Republic, 1776-1840</b:Title>
    <b:Year>2013</b:Year>
    <b:City>Cambridge</b:City>
    <b:Publisher>Harvard Historical Studies</b:Publisher>
    <b:RefOrder>59</b:RefOrder>
  </b:Source>
  <b:Source>
    <b:Tag>Jef16</b:Tag>
    <b:SourceType>Report</b:SourceType>
    <b:Guid>{93B0E372-7853-4C80-842B-44AFC7B500C3}</b:Guid>
    <b:Author>
      <b:Author>
        <b:NameList>
          <b:Person>
            <b:Last>Jefferson</b:Last>
            <b:First>Thomas</b:First>
          </b:Person>
        </b:NameList>
      </b:Author>
    </b:Author>
    <b:Title>Notes on the State of the American Confederacy</b:Title>
    <b:Year>1816</b:Year>
    <b:City>Washington</b:City>
    <b:Publisher>Archives of the Library of Alexandria</b:Publisher>
    <b:RefOrder>60</b:RefOrder>
  </b:Source>
  <b:Source>
    <b:Tag>Jam89</b:Tag>
    <b:SourceType>JournalArticle</b:SourceType>
    <b:Guid>{436CF72D-8F7E-4A04-8DBB-271D0253B6AA}</b:Guid>
    <b:Author>
      <b:Author>
        <b:NameList>
          <b:Person>
            <b:Last>Jameson</b:Last>
            <b:First>Ronald</b:First>
          </b:Person>
        </b:NameList>
      </b:Author>
    </b:Author>
    <b:Title>Liberty Across the Atlantic: American Aftershocks of the Popular Revolution, 1827-1868</b:Title>
    <b:JournalName>Columbia Historical Review</b:JournalName>
    <b:Year>1889</b:Year>
    <b:RefOrder>61</b:RefOrder>
  </b:Source>
  <b:Source>
    <b:Tag>Jac79</b:Tag>
    <b:SourceType>Book</b:SourceType>
    <b:Guid>{7F0FF489-EA59-480F-B0BC-2FE0057A536B}</b:Guid>
    <b:Author>
      <b:Author>
        <b:NameList>
          <b:Person>
            <b:Last>Jacobs</b:Last>
            <b:First>Thomas</b:First>
          </b:Person>
        </b:NameList>
      </b:Author>
    </b:Author>
    <b:Title>Broken Nation: Internal Improvements and the Unmaking of Pike’s America</b:Title>
    <b:Year>1979</b:Year>
    <b:City>St. Louis</b:City>
    <b:Publisher>Cahokia Historical Press</b:Publisher>
    <b:RefOrder>62</b:RefOrder>
  </b:Source>
  <b:Source>
    <b:Tag>Jac57</b:Tag>
    <b:SourceType>Book</b:SourceType>
    <b:Guid>{C9FDA1B6-FA6D-4DC9-B671-C424C3F0E267}</b:Guid>
    <b:Author>
      <b:Author>
        <b:NameList>
          <b:Person>
            <b:Last>Jackson</b:Last>
            <b:First>Everett</b:First>
          </b:Person>
        </b:NameList>
      </b:Author>
    </b:Author>
    <b:Title>The Birth of a Capital: Washington City, 1789–1868 </b:Title>
    <b:Year>1957</b:Year>
    <b:City>New Haven</b:City>
    <b:Publisher>Yale University Press</b:Publisher>
    <b:RefOrder>63</b:RefOrder>
  </b:Source>
  <b:Source>
    <b:Tag>Cal04</b:Tag>
    <b:SourceType>Book</b:SourceType>
    <b:Guid>{14377BBE-D609-4051-A390-6946C2D072D4}</b:Guid>
    <b:Author>
      <b:Author>
        <b:NameList>
          <b:Person>
            <b:Last>J.M.</b:Last>
            <b:First>Callaghan</b:First>
          </b:Person>
        </b:NameList>
      </b:Author>
    </b:Author>
    <b:Title>The Founder: How a Scottish Dilettante Created Assiniboia</b:Title>
    <b:Year>2004</b:Year>
    <b:City>Dunedin</b:City>
    <b:Publisher>University of Dunedin Press</b:Publisher>
    <b:RefOrder>64</b:RefOrder>
  </b:Source>
  <b:Source>
    <b:Tag>Ich07</b:Tag>
    <b:SourceType>Book</b:SourceType>
    <b:Guid>{D9DC638E-A733-4F44-A7B1-52A825358063}</b:Guid>
    <b:Author>
      <b:Author>
        <b:NameList>
          <b:Person>
            <b:Last>Ichicahua</b:Last>
            <b:First>Heliodoro</b:First>
          </b:Person>
        </b:NameList>
      </b:Author>
    </b:Author>
    <b:Title>Chains Within Chains: Gender, Race, and the Abolitionist Conscience</b:Title>
    <b:Year>2007</b:Year>
    <b:City>San Francisco</b:City>
    <b:Publisher>Republican University of San Francisco</b:Publisher>
    <b:CountryRegion>Buenaventura</b:CountryRegion>
    <b:RefOrder>65</b:RefOrder>
  </b:Source>
  <b:Source>
    <b:Tag>Hum031</b:Tag>
    <b:SourceType>Book</b:SourceType>
    <b:Guid>{8FC161CC-DD53-4125-A986-C17B5F487EBF}</b:Guid>
    <b:Author>
      <b:Author>
        <b:NameList>
          <b:Person>
            <b:Last>Humbert</b:Last>
            <b:First>Jacques</b:First>
          </b:Person>
        </b:NameList>
      </b:Author>
    </b:Author>
    <b:Title>Thomas Paine and the Rights of Man</b:Title>
    <b:Year>2018</b:Year>
    <b:City>Montreal</b:City>
    <b:Publisher>University of Laurentia Press</b:Publisher>
    <b:RefOrder>66</b:RefOrder>
  </b:Source>
  <b:Source>
    <b:Tag>Hum03</b:Tag>
    <b:SourceType>Book</b:SourceType>
    <b:Guid>{0ACAA3D9-B234-412F-8E83-8FFE0D41F6EF}</b:Guid>
    <b:Title>Thomas Jefferson: The National Hypocrite</b:Title>
    <b:Year>2003</b:Year>
    <b:Author>
      <b:Author>
        <b:NameList>
          <b:Person>
            <b:Last>Humbert</b:Last>
            <b:First>Jacques</b:First>
          </b:Person>
        </b:NameList>
      </b:Author>
    </b:Author>
    <b:City>Montreal</b:City>
    <b:Publisher>University of Laurentia Press</b:Publisher>
    <b:RefOrder>67</b:RefOrder>
  </b:Source>
  <b:Source>
    <b:Tag>Hol85</b:Tag>
    <b:SourceType>Book</b:SourceType>
    <b:Guid>{88DB9119-5364-4561-909C-DC489740A93E}</b:Guid>
    <b:Author>
      <b:Author>
        <b:NameList>
          <b:Person>
            <b:Last>Holloway</b:Last>
            <b:First>Thomas</b:First>
          </b:Person>
        </b:NameList>
      </b:Author>
    </b:Author>
    <b:Title>Saint Tippecanoe: The Life and Times of William Henry Harrison</b:Title>
    <b:JournalName>University of New Jersey</b:JournalName>
    <b:Year>1985</b:Year>
    <b:City>Princeton</b:City>
    <b:Publisher>University of New Jersey</b:Publisher>
    <b:RefOrder>68</b:RefOrder>
  </b:Source>
  <b:Source>
    <b:Tag>Hol78</b:Tag>
    <b:SourceType>Book</b:SourceType>
    <b:Guid>{5EE38721-7F74-4766-989D-16F8CA2F91B1}</b:Guid>
    <b:Author>
      <b:Author>
        <b:NameList>
          <b:Person>
            <b:Last>Holloway</b:Last>
            <b:First>Thomas</b:First>
          </b:Person>
        </b:NameList>
      </b:Author>
    </b:Author>
    <b:Title>Master of Compromise: Henry Clay and the Politics of Delay</b:Title>
    <b:Year>1978</b:Year>
    <b:City>Princeton</b:City>
    <b:Publisher>University of New Jersey Press</b:Publisher>
    <b:RefOrder>69</b:RefOrder>
  </b:Source>
  <b:Source>
    <b:Tag>Hol33</b:Tag>
    <b:SourceType>Book</b:SourceType>
    <b:Guid>{91CCDD3A-7FED-4EFB-A5CB-EBDA5F1458EA}</b:Guid>
    <b:Author>
      <b:Author>
        <b:NameList>
          <b:Person>
            <b:Last>Hollis</b:Last>
            <b:First>Gerald</b:First>
          </b:Person>
        </b:NameList>
      </b:Author>
    </b:Author>
    <b:Title>A Hemisphere Divided: American Sectionalism and the New Granadine War</b:Title>
    <b:Year>1933</b:Year>
    <b:City>Cincinnati</b:City>
    <b:Publisher>Middle Western Historical Review</b:Publisher>
    <b:RefOrder>70</b:RefOrder>
  </b:Source>
  <b:Source>
    <b:Tag>Hol87</b:Tag>
    <b:SourceType>Book</b:SourceType>
    <b:Guid>{FDA1E93A-4DAB-42C4-967A-60E76F8E9929}</b:Guid>
    <b:Author>
      <b:Author>
        <b:NameList>
          <b:Person>
            <b:Last>Holcomb</b:Last>
            <b:First>Calvin</b:First>
          </b:Person>
        </b:NameList>
      </b:Author>
    </b:Author>
    <b:Title>Slavery, Bonds, and Panic: American Finance and the Collapse of the Caribbean Trade</b:Title>
    <b:Year>1987</b:Year>
    <b:City>Millewackie</b:City>
    <b:Publisher>University of Millewackie Press</b:Publisher>
    <b:RefOrder>71</b:RefOrder>
  </b:Source>
  <b:Source>
    <b:Tag>Hay05</b:Tag>
    <b:SourceType>JournalArticle</b:SourceType>
    <b:Guid>{8D0C0255-0FC8-4544-AA20-60D3C9472068}</b:Guid>
    <b:Author>
      <b:Author>
        <b:NameList>
          <b:Person>
            <b:Last>Hayes</b:Last>
            <b:First>Carolyn</b:First>
          </b:Person>
        </b:NameList>
      </b:Author>
    </b:Author>
    <b:Title>Clark v. Illinois and the Centralization of American Credit</b:Title>
    <b:JournalName>Economic Review, no. 1</b:JournalName>
    <b:Year>2005</b:Year>
    <b:RefOrder>72</b:RefOrder>
  </b:Source>
  <b:Source>
    <b:Tag>Har81</b:Tag>
    <b:SourceType>Book</b:SourceType>
    <b:Guid>{E07DEF06-9C8F-4C6C-B9FA-C72B7ADF91C9}</b:Guid>
    <b:Title>Empire of Trade: How the Union Canal Shaped Early Washington</b:Title>
    <b:Year>1981</b:Year>
    <b:Author>
      <b:Author>
        <b:NameList>
          <b:Person>
            <b:Last>Harrington</b:Last>
            <b:First>Melissa</b:First>
          </b:Person>
        </b:NameList>
      </b:Author>
    </b:Author>
    <b:City>New York City</b:City>
    <b:Publisher>Tammany Books</b:Publisher>
    <b:RefOrder>73</b:RefOrder>
  </b:Source>
  <b:Source>
    <b:Tag>Har40</b:Tag>
    <b:SourceType>Book</b:SourceType>
    <b:Guid>{A19AE60F-336B-4006-884F-8907B9D747EC}</b:Guid>
    <b:Author>
      <b:Author>
        <b:NameList>
          <b:Person>
            <b:Last>Harmon</b:Last>
            <b:First>Elijah</b:First>
          </b:Person>
        </b:NameList>
      </b:Author>
    </b:Author>
    <b:Title>The Death of Benjamin Lundy, Holy Martyr for Emancipation</b:Title>
    <b:Year>1840</b:Year>
    <b:City>Boston</b:City>
    <b:Publisher>firsthand account, serialized in The Liberator</b:Publisher>
    <b:RefOrder>74</b:RefOrder>
  </b:Source>
  <b:Source>
    <b:Tag>Ham91</b:Tag>
    <b:SourceType>Report</b:SourceType>
    <b:Guid>{086B8ECE-2A0F-46FE-B5A4-1523858446C6}</b:Guid>
    <b:Author>
      <b:Author>
        <b:NameList>
          <b:Person>
            <b:Last>Hamilton</b:Last>
            <b:First>Alexander</b:First>
          </b:Person>
        </b:NameList>
      </b:Author>
    </b:Author>
    <b:Title>Report on the Subject of Manufactures </b:Title>
    <b:Year>1791</b:Year>
    <b:City>Philadelphia</b:City>
    <b:RefOrder>75</b:RefOrder>
  </b:Source>
  <b:Source>
    <b:Tag>Gur89</b:Tag>
    <b:SourceType>JournalArticle</b:SourceType>
    <b:Guid>{905810DD-03ED-4DA9-8736-236E344EDCE2}</b:Guid>
    <b:Title>The Equal Rights Man: William Leggett and the Radical Roots of the Free Democratic Party</b:Title>
    <b:Year>1989</b:Year>
    <b:Author>
      <b:Author>
        <b:NameList>
          <b:Person>
            <b:Last>Gurley</b:Last>
            <b:First>Annette</b:First>
          </b:Person>
        </b:NameList>
      </b:Author>
    </b:Author>
    <b:JournalName>Harvard University Press</b:JournalName>
    <b:RefOrder>76</b:RefOrder>
  </b:Source>
  <b:Source>
    <b:Tag>Fre20</b:Tag>
    <b:SourceType>Book</b:SourceType>
    <b:Guid>{3A3E6353-6376-41C7-B7F5-21C09689F763}</b:Guid>
    <b:Author>
      <b:Author>
        <b:NameList>
          <b:Person>
            <b:Last>Freeman</b:Last>
            <b:First>Olivia</b:First>
          </b:Person>
        </b:NameList>
      </b:Author>
    </b:Author>
    <b:Title>The Broken States: A Comparative Study of the Illinois and Missouri Crises</b:Title>
    <b:Year>2020</b:Year>
    <b:City>New Haven</b:City>
    <b:Publisher>Yale University Press</b:Publisher>
    <b:RefOrder>77</b:RefOrder>
  </b:Source>
  <b:Source>
    <b:Tag>Fos67</b:Tag>
    <b:SourceType>JournalArticle</b:SourceType>
    <b:Guid>{012D9AE5-0458-43A5-9FC7-15EEF87E0745}</b:Guid>
    <b:Author>
      <b:Author>
        <b:NameList>
          <b:Person>
            <b:Last>Foster</b:Last>
            <b:First>Leonard</b:First>
          </b:Person>
        </b:NameList>
      </b:Author>
    </b:Author>
    <b:Title>The Fiscal Bank of Washington: A Study in Regional Banking</b:Title>
    <b:Year>1967</b:Year>
    <b:JournalName>American Economic History Review, no. 4</b:JournalName>
    <b:RefOrder>78</b:RefOrder>
  </b:Source>
  <b:Source>
    <b:Tag>Fos84</b:Tag>
    <b:SourceType>Book</b:SourceType>
    <b:Guid>{64DE2A7C-9FE3-408F-B7EB-994464B30904}</b:Guid>
    <b:Author>
      <b:Author>
        <b:NameList>
          <b:Person>
            <b:Last>Foster</b:Last>
            <b:First>Elaine</b:First>
          </b:Person>
        </b:NameList>
      </b:Author>
    </b:Author>
    <b:Title>From Luisiana to Liberty: The Crisis of 1836 and the Making of a Divided Republic</b:Title>
    <b:Year>1984</b:Year>
    <b:City>Memphis</b:City>
    <b:Publisher>University of Memphis</b:Publisher>
    <b:RefOrder>79</b:RefOrder>
  </b:Source>
  <b:Source>
    <b:Tag>Fos90</b:Tag>
    <b:SourceType>Book</b:SourceType>
    <b:Guid>{214A105E-4DD3-4217-AD9E-9BC6D00A29E7}</b:Guid>
    <b:Author>
      <b:Author>
        <b:NameList>
          <b:Person>
            <b:Last>Foster</b:Last>
            <b:First>Abigail</b:First>
          </b:Person>
        </b:NameList>
      </b:Author>
    </b:Author>
    <b:Title>The Second Nullification Crisis: Webster, Clay, Calhoun, and the Preservation of the Union</b:Title>
    <b:JournalName>Atlantic &amp; Sons</b:JournalName>
    <b:Year>1890</b:Year>
    <b:City>Washington</b:City>
    <b:Publisher>Atlantic &amp; Sons</b:Publisher>
    <b:RefOrder>80</b:RefOrder>
  </b:Source>
  <b:Source>
    <b:Tag>For94</b:Tag>
    <b:SourceType>Book</b:SourceType>
    <b:Guid>{BFE0AF03-6C51-40B4-BBC6-DB1CE83D266C}</b:Guid>
    <b:Author>
      <b:Author>
        <b:NameList>
          <b:Person>
            <b:Last>Forfanah</b:Last>
            <b:First>Delilah</b:First>
          </b:Person>
        </b:NameList>
      </b:Author>
    </b:Author>
    <b:Title>Gendered Liberty: Women’s Rights and the Political Economy of Reform</b:Title>
    <b:JournalName>Mackintosh University Press</b:JournalName>
    <b:Year>1994</b:Year>
    <b:City>Cincinnati</b:City>
    <b:Publisher>Mackintosh University Press</b:Publisher>
    <b:RefOrder>81</b:RefOrder>
  </b:Source>
  <b:Source>
    <b:Tag>Fer74</b:Tag>
    <b:SourceType>Book</b:SourceType>
    <b:Guid>{89B878BD-0D8B-43CE-B682-E1B05CE157BC}</b:Guid>
    <b:Author>
      <b:Author>
        <b:NameList>
          <b:Person>
            <b:Last>Ferguson</b:Last>
            <b:First>D.W.</b:First>
          </b:Person>
        </b:NameList>
      </b:Author>
    </b:Author>
    <b:Title>The Webster Doctrine: America, Mediation, and Empire</b:Title>
    <b:Year>1974</b:Year>
    <b:City>Norfolk</b:City>
    <b:Publisher>Williamsburg University Press</b:Publisher>
    <b:RefOrder>82</b:RefOrder>
  </b:Source>
  <b:Source>
    <b:Tag>Eve49</b:Tag>
    <b:SourceType>Report</b:SourceType>
    <b:Guid>{438DB995-AA48-4AB7-9AB8-0FDC057B79B0}</b:Guid>
    <b:Author>
      <b:Author>
        <b:NameList>
          <b:Person>
            <b:Last>Everett</b:Last>
            <b:First>Edward</b:First>
          </b:Person>
        </b:NameList>
      </b:Author>
    </b:Author>
    <b:Title>Report of the Everett Commission on the Tariff and Public Lands</b:Title>
    <b:Year>1849</b:Year>
    <b:City>Washington</b:City>
    <b:Publisher>Government Printing Office</b:Publisher>
    <b:RefOrder>83</b:RefOrder>
  </b:Source>
  <b:Source>
    <b:Tag>Eas71</b:Tag>
    <b:SourceType>Book</b:SourceType>
    <b:Guid>{E658EA86-7E52-4487-ABB1-E330D2E0D29D}</b:Guid>
    <b:Author>
      <b:Author>
        <b:NameList>
          <b:Person>
            <b:Last>Eastlake</b:Last>
            <b:First>Henry</b:First>
          </b:Person>
        </b:NameList>
      </b:Author>
    </b:Author>
    <b:Title>Corruption and the Constitution: The Webster Presidency, 1845–1852</b:Title>
    <b:Year>1971</b:Year>
    <b:City>Washington</b:City>
    <b:Publisher>Gracchi Institute</b:Publisher>
    <b:RefOrder>84</b:RefOrder>
  </b:Source>
  <b:Source>
    <b:Tag>Dub69</b:Tag>
    <b:SourceType>Book</b:SourceType>
    <b:Guid>{068A8145-194D-49DA-B7A6-2CDC43D28CC0}</b:Guid>
    <b:Author>
      <b:Author>
        <b:NameList>
          <b:Person>
            <b:Last>Dubois</b:Last>
            <b:First>René</b:First>
          </b:Person>
        </b:NameList>
      </b:Author>
    </b:Author>
    <b:Title>The Black Spartacus: Toussaint Louverture and the Hand of Destiny</b:Title>
    <b:Year>1969</b:Year>
    <b:City>Port- Républicain</b:City>
    <b:Publisher>Libre Haïti Press</b:Publisher>
    <b:CountryRegion>Haiti</b:CountryRegion>
    <b:RefOrder>85</b:RefOrder>
  </b:Source>
  <b:Source>
    <b:Tag>Dou01</b:Tag>
    <b:SourceType>Book</b:SourceType>
    <b:Guid>{AAA54DFC-0B03-4A2C-B740-F16F95105B14}</b:Guid>
    <b:Author>
      <b:Author>
        <b:NameList>
          <b:Person>
            <b:Last>Douglas</b:Last>
            <b:First>Reed</b:First>
          </b:Person>
        </b:NameList>
      </b:Author>
    </b:Author>
    <b:Title>From Frontier to Furnace: Industrial Development in the Western States, 1825–1868</b:Title>
    <b:Year>2001</b:Year>
    <b:City>Ballyburr</b:City>
    <b:Publisher>University of Ballyburr Press</b:Publisher>
    <b:RefOrder>86</b:RefOrder>
  </b:Source>
  <b:Source>
    <b:Tag>Del67</b:Tag>
    <b:SourceType>Book</b:SourceType>
    <b:Guid>{8AAA45DE-9D3B-4C89-8D47-898F5C56518B}</b:Guid>
    <b:Author>
      <b:Author>
        <b:NameList>
          <b:Person>
            <b:Last>Delacroix</b:Last>
            <b:First>Jean-Pierre</b:First>
          </b:Person>
        </b:NameList>
      </b:Author>
    </b:Author>
    <b:Title>From Bengal to Arcansa: Cotton, Empire, and Collapse</b:Title>
    <b:Year>1967</b:Year>
    <b:City>Paris</b:City>
    <b:Publisher>Éditions Nouvelle République</b:Publisher>
    <b:CountryRegion>France</b:CountryRegion>
    <b:RefOrder>87</b:RefOrder>
  </b:Source>
  <b:Source>
    <b:Tag>del14</b:Tag>
    <b:SourceType>Book</b:SourceType>
    <b:Guid>{6A081B4C-C8D0-4D7F-A145-DAF1664C26E6}</b:Guid>
    <b:Author>
      <b:Author>
        <b:NameList>
          <b:Person>
            <b:Last>de los Reyes</b:Last>
            <b:First>Hugo</b:First>
          </b:Person>
        </b:NameList>
      </b:Author>
    </b:Author>
    <b:Title>The Liberator: The Life of Francisco de Miranda, 1750-1828</b:Title>
    <b:Year>1994-2014</b:Year>
    <b:City>Ciudad Miranda</b:City>
    <b:Publisher>Universidad Autónoma Republicana de Ciudad Miranda</b:Publisher>
    <b:CountryRegion>Venezuela</b:CountryRegion>
    <b:RefOrder>88</b:RefOrder>
  </b:Source>
  <b:Source>
    <b:Tag>del20</b:Tag>
    <b:SourceType>Book</b:SourceType>
    <b:Guid>{E009452B-3841-4AEE-B8F4-7238675C05AC}</b:Guid>
    <b:Author>
      <b:Author>
        <b:NameList>
          <b:Person>
            <b:Last>de la Torre</b:Last>
            <b:First>Esperanza</b:First>
          </b:Person>
        </b:NameList>
      </b:Author>
    </b:Author>
    <b:Title>A New Republic of Sisters: Women’s Political Networks and Radical Reform, 1838–1855</b:Title>
    <b:Year>2020</b:Year>
    <b:City>Ciudad Broderick</b:City>
    <b:Publisher>Broderick University Press</b:Publisher>
    <b:CountryRegion>Buenaventura</b:CountryRegion>
    <b:RefOrder>89</b:RefOrder>
  </b:Source>
  <b:Source>
    <b:Tag>Daw94</b:Tag>
    <b:SourceType>Book</b:SourceType>
    <b:Guid>{27F7B6EF-37F7-4841-BB14-AB4A413FADEF}</b:Guid>
    <b:Author>
      <b:Author>
        <b:NameList>
          <b:Person>
            <b:Last>Dawson</b:Last>
            <b:First>Ellen</b:First>
          </b:Person>
        </b:NameList>
      </b:Author>
    </b:Author>
    <b:Title>Canals to Railroads, Semaphores to Telegraphs: Technology in High Websterism</b:Title>
    <b:Year>1894</b:Year>
    <b:City>Boston</b:City>
    <b:Publisher>North Atlantic Press</b:Publisher>
    <b:RefOrder>90</b:RefOrder>
  </b:Source>
  <b:Source>
    <b:Tag>Dav22</b:Tag>
    <b:SourceType>Book</b:SourceType>
    <b:Guid>{E9E9E88D-E1A0-42B7-94B9-4A5D568FD3A5}</b:Guid>
    <b:Author>
      <b:Author>
        <b:NameList>
          <b:Person>
            <b:Last>Davis</b:Last>
            <b:First>Juliette</b:First>
          </b:Person>
        </b:NameList>
      </b:Author>
    </b:Author>
    <b:Title>Race, Revolution, and Republics: The U.S., Haiti, and Bahia in the 19th Century Imagination</b:Title>
    <b:Year>2022</b:Year>
    <b:City>Ballyburr</b:City>
    <b:Publisher>University of Ballyburr Press</b:Publisher>
    <b:RefOrder>91</b:RefOrder>
  </b:Source>
  <b:Source>
    <b:Tag>Cla49</b:Tag>
    <b:SourceType>BookSection</b:SourceType>
    <b:Guid>{6BC15BC3-35DF-49A2-9824-C807121F7149}</b:Guid>
    <b:Title>Remarks on the Necessity of Compromise”, Senate Speech</b:Title>
    <b:Year>1849</b:Year>
    <b:City>Alexandria</b:City>
    <b:Publisher>Library of Alexandria Publishing</b:Publisher>
    <b:Author>
      <b:Author>
        <b:NameList>
          <b:Person>
            <b:Last>Clay</b:Last>
            <b:First>Henry</b:First>
          </b:Person>
        </b:NameList>
      </b:Author>
      <b:BookAuthor>
        <b:NameList>
          <b:Person>
            <b:Last>O'Donnell</b:Last>
            <b:First>Fergus</b:First>
          </b:Person>
        </b:NameList>
      </b:BookAuthor>
    </b:Author>
    <b:BookTitle>Speeches of Henry Clay: Vol III: 1837-1852</b:BookTitle>
    <b:RefOrder>92</b:RefOrder>
  </b:Source>
  <b:Source>
    <b:Tag>Cho03</b:Tag>
    <b:SourceType>Book</b:SourceType>
    <b:Guid>{43DDAACF-A79B-418D-8E91-5C43145D1477}</b:Guid>
    <b:Author>
      <b:Author>
        <b:NameList>
          <b:Person>
            <b:Last>Chouars</b:Last>
            <b:First>Boris</b:First>
          </b:Person>
        </b:NameList>
      </b:Author>
    </b:Author>
    <b:Title>The National Void: The Russian Empire, 1796-1837</b:Title>
    <b:Year>2003</b:Year>
    <b:City>Geneva</b:City>
    <b:Publisher>University of Geneva</b:Publisher>
    <b:CountryRegion>France</b:CountryRegion>
    <b:RefOrder>93</b:RefOrder>
  </b:Source>
  <b:Source>
    <b:Tag>Abr11</b:Tag>
    <b:SourceType>Book</b:SourceType>
    <b:Guid>{C257B6D1-DD7B-42CA-935E-2F4DC9165388}</b:Guid>
    <b:Author>
      <b:Author>
        <b:NameList>
          <b:Person>
            <b:Last>Chouars</b:Last>
            <b:First>Boris</b:First>
          </b:Person>
        </b:NameList>
      </b:Author>
    </b:Author>
    <b:Title>Cochrane’s Empire: The People’s Admiral in the New Granadine War of Independence</b:Title>
    <b:Year>2011</b:Year>
    <b:City>Geneva</b:City>
    <b:Publisher>University of Geneva</b:Publisher>
    <b:CountryRegion>France</b:CountryRegion>
    <b:RefOrder>94</b:RefOrder>
  </b:Source>
  <b:Source>
    <b:Tag>Car11</b:Tag>
    <b:SourceType>JournalArticle</b:SourceType>
    <b:Guid>{1A942CD8-A9EF-4520-A55B-3265B3DC1DE3}</b:Guid>
    <b:Title>Patronage or Plunder? The Post Office and the Selling of State in the Webster Years</b:Title>
    <b:Year>2011</b:Year>
    <b:Author>
      <b:Author>
        <b:NameList>
          <b:Person>
            <b:Last>Carver</b:Last>
            <b:First>Milton</b:First>
          </b:Person>
        </b:NameList>
      </b:Author>
    </b:Author>
    <b:JournalName>Journal of Early American Institutions, Vol. 42, No. 3</b:JournalName>
    <b:RefOrder>95</b:RefOrder>
  </b:Source>
  <b:Source>
    <b:Tag>Car94</b:Tag>
    <b:SourceType>Book</b:SourceType>
    <b:Guid>{C1C75E8C-9097-4262-9D19-5AE97154B864}</b:Guid>
    <b:Author>
      <b:Author>
        <b:NameList>
          <b:Person>
            <b:Last>Cartwright</b:Last>
            <b:First>A.</b:First>
            <b:Middle>W.</b:Middle>
          </b:Person>
        </b:NameList>
      </b:Author>
    </b:Author>
    <b:Title>The Collapse of Canal Mania: Financial Panic and Infrastructure Retrenchment, 1839–1844</b:Title>
    <b:Year>1994</b:Year>
    <b:City>Cincinnati</b:City>
    <b:Publisher>Mackintosh University Press</b:Publisher>
    <b:RefOrder>96</b:RefOrder>
  </b:Source>
  <b:Source>
    <b:Tag>Bur11</b:Tag>
    <b:SourceType>Book</b:SourceType>
    <b:Guid>{707B3BEC-B792-4433-8766-DE79FD695C88}</b:Guid>
    <b:Author>
      <b:Author>
        <b:NameList>
          <b:Person>
            <b:Last>Burgh</b:Last>
            <b:First>Clara</b:First>
          </b:Person>
        </b:NameList>
      </b:Author>
    </b:Author>
    <b:Title>The Wires of Empire: Telegraphy, Territory, and Technology in Antebellum America</b:Title>
    <b:Year>1911</b:Year>
    <b:City>Jersey City</b:City>
    <b:Publisher>Burr University</b:Publisher>
    <b:RefOrder>97</b:RefOrder>
  </b:Source>
  <b:Source>
    <b:Tag>Bry12</b:Tag>
    <b:SourceType>Book</b:SourceType>
    <b:Guid>{4692CE75-CC28-4657-8941-6DEE79B4A303}</b:Guid>
    <b:Author>
      <b:Author>
        <b:NameList>
          <b:Person>
            <b:Last>Bryant</b:Last>
            <b:First>Timothy</b:First>
          </b:Person>
        </b:NameList>
      </b:Author>
    </b:Author>
    <b:Title>The Devil Against Daniel Webster: Webster, Calhoun, and the Election of 1848</b:Title>
    <b:Year>2012</b:Year>
    <b:City>New Haven</b:City>
    <b:Publisher>Yale University Press</b:Publisher>
    <b:RefOrder>98</b:RefOrder>
  </b:Source>
  <b:Source>
    <b:Tag>Bry05</b:Tag>
    <b:SourceType>Book</b:SourceType>
    <b:Guid>{E3C46568-BAA1-4F87-9789-A216A716C701}</b:Guid>
    <b:Title>Tariffs, Territories, and Treason: The Political Economy of the Webster Era</b:Title>
    <b:Year>2005</b:Year>
    <b:City>New Haven</b:City>
    <b:Publisher>Yale University Press</b:Publisher>
    <b:Author>
      <b:Author>
        <b:NameList>
          <b:Person>
            <b:Last>Bryant</b:Last>
            <b:First>Timothy</b:First>
          </b:Person>
        </b:NameList>
      </b:Author>
    </b:Author>
    <b:RefOrder>99</b:RefOrder>
  </b:Source>
  <b:Source>
    <b:Tag>Bri11</b:Tag>
    <b:SourceType>Book</b:SourceType>
    <b:Guid>{E1FCC717-32EE-41B7-9B95-A0A62F7BB386}</b:Guid>
    <b:Author>
      <b:Author>
        <b:NameList>
          <b:Person>
            <b:Last>Brickley</b:Last>
            <b:First>F.M.</b:First>
          </b:Person>
        </b:NameList>
      </b:Author>
    </b:Author>
    <b:Title>The Cipher Men: The Semaphore and the Age of the Analyzer</b:Title>
    <b:Year>2011</b:Year>
    <b:City>Washington</b:City>
    <b:Publisher>Library of Alexandria Publishing</b:Publisher>
    <b:RefOrder>100</b:RefOrder>
  </b:Source>
  <b:Source>
    <b:Tag>Bri21</b:Tag>
    <b:SourceType>Book</b:SourceType>
    <b:Guid>{6E7863CD-C6F6-486D-B3C4-9C55A551796D}</b:Guid>
    <b:Author>
      <b:Author>
        <b:NameList>
          <b:Person>
            <b:Last>Brickley</b:Last>
            <b:First>F.M.</b:First>
          </b:Person>
        </b:NameList>
      </b:Author>
    </b:Author>
    <b:Title>Machine Made: Aaron Burr, Tammany Hall, and the Making of American Democracy</b:Title>
    <b:Year>2021</b:Year>
    <b:City>Washington</b:City>
    <b:Publisher>Library of Alexandria Publishing</b:Publisher>
    <b:RefOrder>101</b:RefOrder>
  </b:Source>
  <b:Source>
    <b:Tag>Bou02</b:Tag>
    <b:SourceType>Book</b:SourceType>
    <b:Guid>{24287F3E-2CD5-4BAB-A092-F5129B129C67}</b:Guid>
    <b:Author>
      <b:Author>
        <b:NameList>
          <b:Person>
            <b:Last>Bourke</b:Last>
            <b:First>Maurice</b:First>
          </b:Person>
        </b:NameList>
      </b:Author>
    </b:Author>
    <b:Title>Towards the Abolition of War: The British Peace Movement, 1793-1940</b:Title>
    <b:Year>2002</b:Year>
    <b:City>Dublin</b:City>
    <b:Publisher>Dublin Historical Studies</b:Publisher>
    <b:RefOrder>102</b:RefOrder>
  </b:Source>
  <b:Source>
    <b:Tag>Bou11</b:Tag>
    <b:SourceType>Book</b:SourceType>
    <b:Guid>{F33278D9-6535-437C-978C-5FF31F19C751}</b:Guid>
    <b:Author>
      <b:Author>
        <b:NameList>
          <b:Person>
            <b:Last>Bourke</b:Last>
            <b:First>Maurice</b:First>
          </b:Person>
        </b:NameList>
      </b:Author>
    </b:Author>
    <b:Title>The Advocate for Humanity: Daniel O’Connell, the Man, and his Times</b:Title>
    <b:Year>2011</b:Year>
    <b:City>Dublin</b:City>
    <b:Publisher>Dublin Historical Studies</b:Publisher>
    <b:RefOrder>103</b:RefOrder>
  </b:Source>
  <b:Source>
    <b:Tag>Bla21</b:Tag>
    <b:SourceType>Book</b:SourceType>
    <b:Guid>{A529BCEF-16A2-4F9B-B0EA-58B70159DC87}</b:Guid>
    <b:Author>
      <b:Author>
        <b:NameList>
          <b:Person>
            <b:Last>Bland</b:Last>
            <b:First>Deckard</b:First>
          </b:Person>
        </b:NameList>
      </b:Author>
    </b:Author>
    <b:Title>Burr and Liberty: The Rise of American Democracy</b:Title>
    <b:Year>2021</b:Year>
    <b:Publisher>Library of Alexandria Publishing</b:Publisher>
    <b:City>Washington</b:City>
    <b:RefOrder>104</b:RefOrder>
  </b:Source>
  <b:Source>
    <b:Tag>Bla13</b:Tag>
    <b:SourceType>Book</b:SourceType>
    <b:Guid>{64F9F658-B217-4237-8BAB-7EFE07180523}</b:Guid>
    <b:Author>
      <b:Author>
        <b:NameList>
          <b:Person>
            <b:Last>Blanchet</b:Last>
            <b:First>Bess</b:First>
          </b:Person>
        </b:NameList>
      </b:Author>
    </b:Author>
    <b:Title>Too Large for an Insane Asylum: Antebellum South Carolina and Her Society</b:Title>
    <b:Year>2013</b:Year>
    <b:City>Alexandria</b:City>
    <b:Publisher>Library of Alexandria Publishing</b:Publisher>
    <b:RefOrder>105</b:RefOrder>
  </b:Source>
  <b:Source>
    <b:Tag>Bel04</b:Tag>
    <b:SourceType>JournalArticle</b:SourceType>
    <b:Guid>{B2D22987-230D-46C9-A0E8-75ED69E2FF0C}</b:Guid>
    <b:Author>
      <b:Author>
        <b:NameList>
          <b:Person>
            <b:Last>Bellamy</b:Last>
            <b:First>Simone</b:First>
          </b:Person>
        </b:NameList>
      </b:Author>
    </b:Author>
    <b:Title>From Black Dan to the Bank Scandal: Race, Reputation, and Political Collapse</b:Title>
    <b:JournalName>American Historical Quarterly, Vol. 89, No. 2</b:JournalName>
    <b:Year>2004</b:Year>
    <b:RefOrder>106</b:RefOrder>
  </b:Source>
  <b:Source>
    <b:Tag>Bel93</b:Tag>
    <b:SourceType>Book</b:SourceType>
    <b:Guid>{A6061299-84DC-4AEC-8195-1A2259EC8035}</b:Guid>
    <b:Author>
      <b:Author>
        <b:NameList>
          <b:Person>
            <b:Last>Belknap</b:Last>
            <b:First>George</b:First>
          </b:Person>
        </b:NameList>
      </b:Author>
    </b:Author>
    <b:Title>The Miserable Little Conflict: The Second Quasi-War, 1839-42</b:Title>
    <b:JournalName>University of Wilmington Press</b:JournalName>
    <b:Year>1993</b:Year>
    <b:City>Wilmington</b:City>
    <b:Publisher>University of Wilmington Press</b:Publisher>
    <b:RefOrder>107</b:RefOrder>
  </b:Source>
  <b:Source>
    <b:Tag>Bel00</b:Tag>
    <b:SourceType>Book</b:SourceType>
    <b:Guid>{03BB604A-0D5E-4A38-82C0-6687C5E52186}</b:Guid>
    <b:Author>
      <b:Author>
        <b:NameList>
          <b:Person>
            <b:Last>Belknap</b:Last>
            <b:First>George</b:First>
          </b:Person>
        </b:NameList>
      </b:Author>
    </b:Author>
    <b:Title>The Expanse of the Sword: The Luisiana War, 1825-8</b:Title>
    <b:Year>2000</b:Year>
    <b:City>Wilmington</b:City>
    <b:Publisher>University of Wilmington</b:Publisher>
    <b:RefOrder>108</b:RefOrder>
  </b:Source>
  <b:Source>
    <b:Tag>Azè81</b:Tag>
    <b:SourceType>Book</b:SourceType>
    <b:Guid>{CEF594FE-9D9D-45BE-8B9E-7A9C2A6A6D18}</b:Guid>
    <b:Author>
      <b:Author>
        <b:NameList>
          <b:Person>
            <b:Last>Azèrre</b:Last>
            <b:First>Claudine</b:First>
          </b:Person>
        </b:NameList>
      </b:Author>
    </b:Author>
    <b:Title>The Ghost of Thermidor: Jefferson, the French Revolution, and the Transatlantic Republic</b:Title>
    <b:Year>1981</b:Year>
    <b:City>Paris</b:City>
    <b:Publisher>Éditions de la République</b:Publisher>
    <b:CountryRegion>Franc</b:CountryRegion>
    <b:RefOrder>109</b:RefOrder>
  </b:Source>
  <b:Source>
    <b:Tag>Agu89</b:Tag>
    <b:SourceType>JournalArticle</b:SourceType>
    <b:Guid>{3F8108EF-366A-4494-9293-5BE20FC3C413}</b:Guid>
    <b:Title>Rails, Rivers, and Republicanism: John C. Calhoun’s Memphis Strategy</b:Title>
    <b:Year>1989</b:Year>
    <b:Author>
      <b:Author>
        <b:NameList>
          <b:Person>
            <b:Last>Agu</b:Last>
            <b:First>Isaie</b:First>
          </b:Person>
        </b:NameList>
      </b:Author>
    </b:Author>
    <b:JournalName>American Historical Quarterly, Vol. 55, No. 3</b:JournalName>
    <b:RefOrder>110</b:RefOrder>
  </b:Source>
  <b:Source>
    <b:Tag>Nat50</b:Tag>
    <b:SourceType>ElectronicSource</b:SourceType>
    <b:Guid>{E7F18863-1221-4814-97AB-716827474E5E}</b:Guid>
    <b:Title>The Collapse of Nullification: Webster Triumphs</b:Title>
    <b:Year>1850</b:Year>
    <b:City>Washington</b:City>
    <b:Publisher>The National Intelligencer</b:Publisher>
    <b:Month>September</b:Month>
    <b:Day>2</b:Day>
    <b:Author>
      <b:Author>
        <b:Corporate>National Intelligencer</b:Corporate>
      </b:Author>
    </b:Author>
    <b:StateProvince>Anacostia</b:StateProvince>
    <b:CountryRegion>United States of America</b:CountryRegion>
    <b:RefOrder>111</b:RefOrder>
  </b:Source>
  <b:Source>
    <b:Tag>Libed</b:Tag>
    <b:SourceType>JournalArticle</b:SourceType>
    <b:Guid>{6EB9C947-89AC-4DE6-9ECA-C33DEF5E6B2F}</b:Guid>
    <b:Title>James Madison</b:Title>
    <b:Year>2020 ed.</b:Year>
    <b:Author>
      <b:Author>
        <b:Corporate>Library of Alexandria</b:Corporate>
      </b:Author>
    </b:Author>
    <b:JournalName>Alexandria Encyclopedia of Early American History</b:JournalName>
    <b:RefOrder>112</b:RefOrder>
  </b:Source>
  <b:Source>
    <b:Tag>Int44</b:Tag>
    <b:SourceType>JournalArticle</b:SourceType>
    <b:Guid>{1E3A84DD-4D2A-49EA-8B2E-BC1133F4B6C6}</b:Guid>
    <b:Title>Internal Records Division</b:Title>
    <b:Year>1842-1844</b:Year>
    <b:JournalName>Journal of the Proceedings of the Board of Directors, Second Bank of the United States, Vol. 8</b:JournalName>
    <b:RefOrder>113</b:RefOrder>
  </b:Source>
  <b:Source>
    <b:Tag>Old03</b:Tag>
    <b:SourceType>Book</b:SourceType>
    <b:Guid>{BF679FD5-61B8-41F0-955C-06764EC4E356}</b:Guid>
    <b:Author>
      <b:Author>
        <b:NameList>
          <b:Person>
            <b:Last>Oldfield</b:Last>
            <b:First>Geoffrey</b:First>
          </b:Person>
        </b:NameList>
      </b:Author>
    </b:Author>
    <b:Title>The Atlantic Schism: Relations between the British Isles and the United States, 1830-1868</b:Title>
    <b:Year>2003</b:Year>
    <b:City>London</b:City>
    <b:Publisher>London University Press</b:Publisher>
    <b:RefOrder>114</b:RefOrder>
  </b:Source>
  <b:Source>
    <b:Tag>Lib11</b:Tag>
    <b:SourceType>Book</b:SourceType>
    <b:Guid>{FCEA20A8-0E77-4361-BBF0-E23B07F85A51}</b:Guid>
    <b:Author>
      <b:Author>
        <b:Corporate>Library of Alexandria</b:Corporate>
      </b:Author>
    </b:Author>
    <b:Title>Alexandria Atlas of Elections, 10ed.</b:Title>
    <b:Year>2011</b:Year>
    <b:City>Alexandria</b:City>
    <b:Publisher>Library of Alexandria</b:Publisher>
    <b:RefOrder>115</b:RefOrder>
  </b:Source>
  <b:Source>
    <b:Tag>Libed1</b:Tag>
    <b:SourceType>JournalArticle</b:SourceType>
    <b:Guid>{B89F70F7-F14D-41F8-B22F-AD154F8FA8DB}</b:Guid>
    <b:Author>
      <b:Author>
        <b:Corporate>Library of Alexandria</b:Corporate>
      </b:Author>
    </b:Author>
    <b:Title>Presidential Elections</b:Title>
    <b:JournalName>Alexandria Encyclopedia of Early American History</b:JournalName>
    <b:Year>2020 ed.</b:Year>
    <b:RefOrder>116</b:RefOrder>
  </b:Source>
  <b:Source>
    <b:Tag>Libed2</b:Tag>
    <b:SourceType>JournalArticle</b:SourceType>
    <b:Guid>{A7C024A4-376E-4DAF-A868-BD5037BB5920}</b:Guid>
    <b:Author>
      <b:Author>
        <b:Corporate>Library of Alexandria</b:Corporate>
      </b:Author>
    </b:Author>
    <b:Title>Political conventions</b:Title>
    <b:JournalName>Alexandria Encyclopedia of Early American History</b:JournalName>
    <b:Year>2020 ed.</b:Year>
    <b:RefOrder>117</b:RefOrder>
  </b:Source>
  <b:Source>
    <b:Tag>OCa06</b:Tag>
    <b:SourceType>Book</b:SourceType>
    <b:Guid>{2E2A8B1C-0157-4DED-9057-0105F9F38D69}</b:Guid>
    <b:Author>
      <b:Author>
        <b:NameList>
          <b:Person>
            <b:Last>O’Callaghan</b:Last>
            <b:First>Judith</b:First>
          </b:Person>
        </b:NameList>
      </b:Author>
    </b:Author>
    <b:Title>The Grand Canals: The Infrastructure Mania of the Burr Years</b:Title>
    <b:Year>2006</b:Year>
    <b:City>Sandusky</b:City>
    <b:Publisher>Great Lakes Historical Society</b:Publisher>
    <b:RefOrder>118</b:RefOrder>
  </b:Source>
  <b:Source>
    <b:Tag>Arm74</b:Tag>
    <b:SourceType>Book</b:SourceType>
    <b:Guid>{89B7082B-6ED2-4B6A-9981-4EA3C1C99B70}</b:Guid>
    <b:Author>
      <b:Author>
        <b:NameList>
          <b:Person>
            <b:Last>Armstrong</b:Last>
            <b:First>Wealthow</b:First>
          </b:Person>
        </b:NameList>
      </b:Author>
    </b:Author>
    <b:Title>The Rise of the Old West: Urbanization and Investment from Sandusky to Sowashee, 1800–1825</b:Title>
    <b:Year>1974</b:Year>
    <b:City>Concord</b:City>
    <b:Publisher>Quiner University</b:Publisher>
    <b:RefOrder>119</b:RefOrder>
  </b:Source>
  <b:Source>
    <b:Tag>Arm68</b:Tag>
    <b:SourceType>Book</b:SourceType>
    <b:Guid>{D1DBE8BE-5D6C-4B32-A7E3-BA1E18980892}</b:Guid>
    <b:Author>
      <b:Author>
        <b:NameList>
          <b:Person>
            <b:Last>Armstrong</b:Last>
            <b:First>Wealthow</b:First>
          </b:Person>
        </b:NameList>
      </b:Author>
    </b:Author>
    <b:Title>The Western Boom: Urbanization and Investment from St. Louis to New Orleans, 1829–1842</b:Title>
    <b:Year>1968</b:Year>
    <b:City>Concord</b:City>
    <b:Publisher>Quiner University</b:Publisher>
    <b:RefOrder>120</b:RefOrder>
  </b:Source>
  <b:Source>
    <b:Tag>Tur91</b:Tag>
    <b:SourceType>Book</b:SourceType>
    <b:Guid>{65F79A6A-258D-4C1E-B38B-B28CA2AB37AA}</b:Guid>
    <b:Author>
      <b:Author>
        <b:NameList>
          <b:Person>
            <b:Last>Turner</b:Last>
            <b:First>Frederick</b:First>
            <b:Middle>Webster</b:Middle>
          </b:Person>
        </b:NameList>
      </b:Author>
    </b:Author>
    <b:Title>The Significance of the Geographic Section in American History</b:Title>
    <b:Year>1891</b:Year>
    <b:City>Norfolk</b:City>
    <b:Publisher>Williamsburg University Press</b:Publisher>
    <b:RefOrder>121</b:RefOrder>
  </b:Source>
  <b:Source>
    <b:Tag>War13</b:Tag>
    <b:SourceType>Book</b:SourceType>
    <b:Guid>{6CF1869B-04F7-4ADB-843F-C7CC5D07F58C}</b:Guid>
    <b:Author>
      <b:Author>
        <b:NameList>
          <b:Person>
            <b:Last>Warden</b:Last>
            <b:First>Denis</b:First>
          </b:Person>
        </b:NameList>
      </b:Author>
    </b:Author>
    <b:Title>Frederick Webster Turner and the Rhetorical Impact of the Sectional Thesis, 1891 to Today</b:Title>
    <b:Year>2013</b:Year>
    <b:City>Philadelphia</b:City>
    <b:Publisher>American Philosophical Society</b:Publisher>
    <b:RefOrder>122</b:RefOrder>
  </b:Source>
  <b:Source>
    <b:Tag>New08</b:Tag>
    <b:SourceType>JournalArticle</b:SourceType>
    <b:Guid>{7687E2F2-20DB-4DB7-AA5F-859781FB4935}</b:Guid>
    <b:Author>
      <b:Author>
        <b:NameList>
          <b:Person>
            <b:Last>Newton</b:Last>
            <b:First>Charles</b:First>
          </b:Person>
        </b:NameList>
      </b:Author>
    </b:Author>
    <b:Title>The Domestic Department: Its Founding and Early History</b:Title>
    <b:Year>2008</b:Year>
    <b:JournalName>Smithsonian Institution Journal of History No. 34.</b:JournalName>
    <b:RefOrder>123</b:RefOrder>
  </b:Source>
  <b:Source>
    <b:Tag>Fre82</b:Tag>
    <b:SourceType>Book</b:SourceType>
    <b:Guid>{8A5579A9-7B82-4D59-A56D-3D540BC42FCA}</b:Guid>
    <b:Author>
      <b:Author>
        <b:NameList>
          <b:Person>
            <b:Last>Bauer</b:Last>
            <b:First>Frederick</b:First>
          </b:Person>
        </b:NameList>
      </b:Author>
    </b:Author>
    <b:Title>On the Planter Ascendancy</b:Title>
    <b:Year>1859-1882</b:Year>
    <b:City>Cincinnati</b:City>
    <b:Publisher>Cincinnati Gazette</b:Publisher>
    <b:RefOrder>124</b:RefOrder>
  </b:Source>
  <b:Source>
    <b:Tag>Wat06</b:Tag>
    <b:SourceType>Book</b:SourceType>
    <b:Guid>{44AD40F3-029E-49F5-9C4E-86F1B18E9A6D}</b:Guid>
    <b:Author>
      <b:Author>
        <b:NameList>
          <b:Person>
            <b:Last>Waters</b:Last>
            <b:First>Penelope</b:First>
          </b:Person>
        </b:NameList>
      </b:Author>
    </b:Author>
    <b:Title>In the Shadow of Calhoun: The Republican Party and the Burdens of Industrialization, 1835–1868</b:Title>
    <b:Year>2006</b:Year>
    <b:City>Fitzgerald</b:City>
    <b:Publisher>New Ireland Historical Press</b:Publisher>
    <b:RefOrder>125</b:RefOrder>
  </b:Source>
  <b:Source>
    <b:Tag>Ros04</b:Tag>
    <b:SourceType>Book</b:SourceType>
    <b:Guid>{70FF14AB-54FB-4DBF-9CC9-CCA674BB34A6}</b:Guid>
    <b:Author>
      <b:Author>
        <b:NameList>
          <b:Person>
            <b:Last>Ross</b:Last>
            <b:First>Tanya</b:First>
          </b:Person>
        </b:NameList>
      </b:Author>
    </b:Author>
    <b:Title>Rise of the Fond Accord: Anglo-American Relations, 1830-1868</b:Title>
    <b:Year>2004</b:Year>
    <b:City>Washington</b:City>
    <b:Publisher>Gracchi Institute</b:Publisher>
    <b:RefOrder>126</b:RefOrder>
  </b:Source>
  <b:Source>
    <b:Tag>Ste68</b:Tag>
    <b:SourceType>Book</b:SourceType>
    <b:Guid>{0326C997-EE20-4775-B5C3-1009B93878AF}</b:Guid>
    <b:Author>
      <b:Author>
        <b:NameList>
          <b:Person>
            <b:Last>Stein</b:Last>
            <b:First>Karl</b:First>
          </b:Person>
        </b:NameList>
      </b:Author>
    </b:Author>
    <b:Title>The Farmers’ Leagues: Reform and Rail in the Antebellum Era</b:Title>
    <b:Year>1968</b:Year>
    <b:City>Washington</b:City>
    <b:Publisher>Smithsonian History Press</b:Publisher>
    <b:RefOrder>127</b:RefOrder>
  </b:Source>
  <b:Source>
    <b:Tag>Rus11</b:Tag>
    <b:SourceType>Book</b:SourceType>
    <b:Guid>{EB807517-C731-401C-9C49-33B9DC24C6AF}</b:Guid>
    <b:Author>
      <b:Author>
        <b:NameList>
          <b:Person>
            <b:Last>Russell</b:Last>
            <b:First>Henry</b:First>
          </b:Person>
        </b:NameList>
      </b:Author>
    </b:Author>
    <b:Title>Steel and Sovereignty: The Railroad Age and the Fall of the Antebellum Republic</b:Title>
    <b:Year>2011</b:Year>
    <b:City>Princeton</b:City>
    <b:Publisher>University of New Jersey Press</b:Publisher>
    <b:RefOrder>128</b:RefOrder>
  </b:Source>
  <b:Source>
    <b:Tag>Rus18</b:Tag>
    <b:SourceType>Book</b:SourceType>
    <b:Guid>{4DA466FC-51D8-4279-92ED-C675C1456CDC}</b:Guid>
    <b:Author>
      <b:Author>
        <b:NameList>
          <b:Person>
            <b:Last>Russell</b:Last>
            <b:First>Henry</b:First>
          </b:Person>
        </b:NameList>
      </b:Author>
    </b:Author>
    <b:Title>The Rise of the Corporate State, 1845-1910</b:Title>
    <b:Year>2018</b:Year>
    <b:City>Washington</b:City>
    <b:Publisher>Gracchi Institute</b:Publisher>
    <b:RefOrder>129</b:RefOrder>
  </b:Source>
  <b:Source>
    <b:Tag>Doy21</b:Tag>
    <b:SourceType>Book</b:SourceType>
    <b:Guid>{70D348AC-1241-4200-9FDD-8E0DF8CE6CC6}</b:Guid>
    <b:Author>
      <b:Author>
        <b:NameList>
          <b:Person>
            <b:Last>Doyle</b:Last>
            <b:First>Maureen</b:First>
          </b:Person>
        </b:NameList>
      </b:Author>
    </b:Author>
    <b:Title>Codification and Empire: Law and Nation in the Anglo-Atlantic World</b:Title>
    <b:Year>2021</b:Year>
    <b:City>Boston</b:City>
    <b:Publisher>Meridian Legal Studies</b:Publisher>
    <b:RefOrder>130</b:RefOrder>
  </b:Source>
  <b:Source>
    <b:Tag>Fla11</b:Tag>
    <b:SourceType>Book</b:SourceType>
    <b:Guid>{15B100C9-4D8C-4CED-BAEB-9AAC25909D73}</b:Guid>
    <b:Author>
      <b:Author>
        <b:NameList>
          <b:Person>
            <b:Last>Flaherty</b:Last>
            <b:First>Bernardo</b:First>
          </b:Person>
        </b:NameList>
      </b:Author>
    </b:Author>
    <b:Title>For a Free Hemisphere: Relations between Platina and the United States, 1850-1900</b:Title>
    <b:Year>2011</b:Year>
    <b:City>Buenos Aires</b:City>
    <b:Publisher>Universidad Republicana de Buenos Aires</b:Publisher>
    <b:RefOrder>131</b:RefOrder>
  </b:Source>
  <b:Source>
    <b:Tag>Ant99</b:Tag>
    <b:SourceType>Book</b:SourceType>
    <b:Guid>{5018930C-5948-43FE-A744-3FFEA2FCD0DC}</b:Guid>
    <b:Author>
      <b:Author>
        <b:NameList>
          <b:Person>
            <b:Last>Antonov</b:Last>
            <b:First>Dennis</b:First>
          </b:Person>
        </b:NameList>
      </b:Author>
    </b:Author>
    <b:Title>The Warping of Slavonia: Orthodox Christianity in the United States, 1840 to Present</b:Title>
    <b:Year>1999</b:Year>
    <b:City>Chester</b:City>
    <b:Publisher>University of Shackamia Press</b:Publisher>
    <b:RefOrder>132</b:RefOrder>
  </b:Source>
  <b:Source>
    <b:Tag>Tac08</b:Tag>
    <b:SourceType>Book</b:SourceType>
    <b:Guid>{BC85C8A3-6401-4F5F-928E-989A223F5707}</b:Guid>
    <b:Author>
      <b:Author>
        <b:NameList>
          <b:Person>
            <b:Last>Tackahashee</b:Last>
            <b:First>Alastair</b:First>
          </b:Person>
        </b:NameList>
      </b:Author>
    </b:Author>
    <b:Title>American Nations: The Seven Nations of the United States</b:Title>
    <b:Year>2008</b:Year>
    <b:City>St. Louis</b:City>
    <b:Publisher>Cahokia Historical Press</b:Publisher>
    <b:RefOrder>133</b:RefOrder>
  </b:Source>
  <b:Source>
    <b:Tag>Gui87</b:Tag>
    <b:SourceType>Book</b:SourceType>
    <b:Guid>{436BA0FF-7EFC-4B05-BE80-5D038B07B5EE}</b:Guid>
    <b:Author>
      <b:Author>
        <b:NameList>
          <b:Person>
            <b:Last>Guiney</b:Last>
            <b:First>Patrick</b:First>
          </b:Person>
        </b:NameList>
      </b:Author>
    </b:Author>
    <b:Title>Citizen, Lord and Martyr: The Life, Times, and Trials of Edward Fitzgerald, 1763-1800</b:Title>
    <b:Year>1987</b:Year>
    <b:City>Dublin</b:City>
    <b:Publisher>Dublin Historical Studies</b:Publisher>
    <b:RefOrder>134</b:RefOrder>
  </b:Source>
  <b:Source>
    <b:Tag>Vit13</b:Tag>
    <b:SourceType>Book</b:SourceType>
    <b:Guid>{7E4148D2-AC27-4E56-B0F7-F9C01C0C4FEA}</b:Guid>
    <b:Author>
      <b:Author>
        <b:NameList>
          <b:Person>
            <b:Last>Vitelli</b:Last>
            <b:First>Jean-Baptiste</b:First>
          </b:Person>
        </b:NameList>
      </b:Author>
    </b:Author>
    <b:Title>Mazzini or Columbus: The Italian Diaspora in America</b:Title>
    <b:Year>2013</b:Year>
    <b:City>Marseilles</b:City>
    <b:Publisher>University of Marseilles</b:Publisher>
    <b:RefOrder>135</b:RefOrder>
  </b:Source>
  <b:Source>
    <b:Tag>Gol03</b:Tag>
    <b:SourceType>Book</b:SourceType>
    <b:Guid>{99DBEC3E-E7CF-4E9C-9553-4022EA705D72}</b:Guid>
    <b:Author>
      <b:Author>
        <b:NameList>
          <b:Person>
            <b:Last>Golding</b:Last>
            <b:First>Tim</b:First>
          </b:Person>
        </b:NameList>
      </b:Author>
    </b:Author>
    <b:Title>The Residue of the Plantocracy: Jamaica and the Long Tyranny, 1827-1885</b:Title>
    <b:Year>2003</b:Year>
    <b:City>Kingston</b:City>
    <b:Publisher>University of Jamaica</b:Publisher>
    <b:RefOrder>136</b:RefOrder>
  </b:Source>
  <b:Source>
    <b:Tag>Bla24</b:Tag>
    <b:SourceType>Book</b:SourceType>
    <b:Guid>{BB81D1C7-6297-40C0-9E02-25C39F2F126F}</b:Guid>
    <b:Author>
      <b:Author>
        <b:NameList>
          <b:Person>
            <b:Last>Blanchet</b:Last>
            <b:First>Émile</b:First>
          </b:Person>
        </b:NameList>
      </b:Author>
    </b:Author>
    <b:Title>The Unification of Italy, 1796-1854</b:Title>
    <b:Year>2011-2024</b:Year>
    <b:City>Paris</b:City>
    <b:Publisher>Éditions de la République</b:Publisher>
    <b:RefOrder>137</b:RefOrder>
  </b:Source>
  <b:Source>
    <b:Tag>Bos04</b:Tag>
    <b:SourceType>Book</b:SourceType>
    <b:Guid>{1682403A-15F3-43E7-9ADD-5524DBD16421}</b:Guid>
    <b:Author>
      <b:Author>
        <b:NameList>
          <b:Person>
            <b:Last>Boskov</b:Last>
            <b:First>Henry</b:First>
          </b:Person>
        </b:NameList>
      </b:Author>
    </b:Author>
    <b:Title>Young America, Young Italy, and Transatlantic Revolution</b:Title>
    <b:Year>2004</b:Year>
    <b:City>Concord</b:City>
    <b:Publisher>Quiner University</b:Publisher>
    <b:RefOrder>138</b:RefOrder>
  </b:Source>
  <b:Source>
    <b:Tag>Law13</b:Tag>
    <b:SourceType>Book</b:SourceType>
    <b:Guid>{14CEB6B3-662B-4B2E-A283-2386A10CD1C8}</b:Guid>
    <b:Author>
      <b:Author>
        <b:NameList>
          <b:Person>
            <b:Last>Lawson</b:Last>
            <b:First>Hugh</b:First>
          </b:Person>
        </b:NameList>
      </b:Author>
    </b:Author>
    <b:Title>The Adolescent Nation: Canada, 1828-1890</b:Title>
    <b:Year>2013</b:Year>
    <b:City>Toronto</b:City>
    <b:Publisher>Toronto University Press</b:Publisher>
    <b:RefOrder>139</b:RefOrder>
  </b:Source>
  <b:Source>
    <b:Tag>ODo08</b:Tag>
    <b:SourceType>Book</b:SourceType>
    <b:Guid>{E66A6009-DFBD-431B-A0F7-978EEE6F6502}</b:Guid>
    <b:Author>
      <b:Author>
        <b:NameList>
          <b:Person>
            <b:Last>O’Donnell</b:Last>
            <b:First>Federico</b:First>
          </b:Person>
        </b:NameList>
      </b:Author>
    </b:Author>
    <b:Title>On the Importance of the Frontiers in Buenaventuran History</b:Title>
    <b:Year>1908</b:Year>
    <b:City>San Francisco</b:City>
    <b:Publisher>Republican University of San Francisco</b:Publisher>
    <b:RefOrder>140</b:RefOrder>
  </b:Source>
  <b:Source>
    <b:Tag>Law04</b:Tag>
    <b:SourceType>Book</b:SourceType>
    <b:Guid>{029F5FF3-E896-4C2C-A4D3-ED34F97178B9}</b:Guid>
    <b:Author>
      <b:Author>
        <b:NameList>
          <b:Person>
            <b:Last>Lawrence</b:Last>
            <b:First>Milton</b:First>
          </b:Person>
        </b:NameList>
      </b:Author>
    </b:Author>
    <b:Title>The Birth and Rise of the Smithsonian Institution</b:Title>
    <b:Year>2004</b:Year>
    <b:City>Washington</b:City>
    <b:Publisher>Smithsonian History Press</b:Publisher>
    <b:RefOrder>141</b:RefOrder>
  </b:Source>
  <b:Source>
    <b:Tag>Mac01</b:Tag>
    <b:SourceType>Book</b:SourceType>
    <b:Guid>{B95C975F-13BF-49F3-BC3A-08F90E943BAA}</b:Guid>
    <b:Author>
      <b:Author>
        <b:NameList>
          <b:Person>
            <b:Last>MacDonough</b:Last>
            <b:First>Bob</b:First>
          </b:Person>
        </b:NameList>
      </b:Author>
    </b:Author>
    <b:Title>Hero of Two Worlds: The Life and Times of Citizen Lafayette</b:Title>
    <b:Year>2001</b:Year>
    <b:City>Washington</b:City>
    <b:Publisher>Atlantic &amp; Sons</b:Publisher>
    <b:RefOrder>142</b:RefOrder>
  </b:Source>
  <b:Source>
    <b:Tag>Ima94</b:Tag>
    <b:SourceType>Book</b:SourceType>
    <b:Guid>{BF925397-CEF2-4099-907F-81F2D74B2C0B}</b:Guid>
    <b:Author>
      <b:Author>
        <b:NameList>
          <b:Person>
            <b:Last>Imamolu</b:Last>
            <b:First>Ismail</b:First>
          </b:Person>
        </b:NameList>
      </b:Author>
    </b:Author>
    <b:Title>For Prosperity: The Slow March of Industry in the Newest World</b:Title>
    <b:Year>1994</b:Year>
    <b:City>Constantinople</b:City>
    <b:Publisher>Darfultun Press</b:Publisher>
    <b:RefOrder>143</b:RefOrder>
  </b:Source>
  <b:Source>
    <b:Tag>Man11</b:Tag>
    <b:SourceType>Book</b:SourceType>
    <b:Guid>{8160677D-98A1-45B9-AA7E-7ECC71226A86}</b:Guid>
    <b:Author>
      <b:Author>
        <b:NameList>
          <b:Person>
            <b:Last>Mansoure</b:Last>
            <b:First>Louis</b:First>
          </b:Person>
        </b:NameList>
      </b:Author>
    </b:Author>
    <b:Title>The Locomotive: The Rise of the Railroad and the Dawn of Modernity</b:Title>
    <b:Year>2011</b:Year>
    <b:City>Aix-la-Chapelle</b:City>
    <b:Publisher>Éditions Wosniac</b:Publisher>
    <b:RefOrder>144</b:RefOrder>
  </b:Source>
  <b:Source>
    <b:Tag>Bri23</b:Tag>
    <b:SourceType>Book</b:SourceType>
    <b:Guid>{C23A8A0D-AFD7-45D9-9A02-F02963D25A5A}</b:Guid>
    <b:Author>
      <b:Author>
        <b:NameList>
          <b:Person>
            <b:Last>Brickley</b:Last>
            <b:First>F.M.</b:First>
          </b:Person>
        </b:NameList>
      </b:Author>
    </b:Author>
    <b:Title>Banking, Booms, and Busts: American Finances in the Antebellum Years</b:Title>
    <b:Year>2023</b:Year>
    <b:City>Washington</b:City>
    <b:Publisher>Library of Alexandria Publishing</b:Publisher>
    <b:RefOrder>145</b:RefOrder>
  </b:Source>
  <b:Source>
    <b:Tag>Sut21</b:Tag>
    <b:SourceType>Book</b:SourceType>
    <b:Guid>{C6B1ACA2-FEBE-405B-A65B-359DF5E79B99}</b:Guid>
    <b:Author>
      <b:Author>
        <b:NameList>
          <b:Person>
            <b:Last>Sutter</b:Last>
            <b:First>Sidney</b:First>
          </b:Person>
        </b:NameList>
      </b:Author>
    </b:Author>
    <b:Title>The First Telecommunications Revolution: The Rise of the Electric Telegraph</b:Title>
    <b:Year>2021</b:Year>
    <b:City>Cambridge</b:City>
    <b:Publisher>Cambridge University Press</b:Publisher>
    <b:RefOrder>146</b:RefOrder>
  </b:Source>
  <b:Source>
    <b:Tag>Wim08</b:Tag>
    <b:SourceType>Book</b:SourceType>
    <b:Guid>{2E7B2088-21A1-4D41-A3ED-010866ED5B2D}</b:Guid>
    <b:Author>
      <b:Author>
        <b:NameList>
          <b:Person>
            <b:Last>Wimmer</b:Last>
            <b:First>Benoit</b:First>
          </b:Person>
        </b:NameList>
      </b:Author>
    </b:Author>
    <b:Title>The Flight of the Reichsadler: The German Diaspora, 1793-1880</b:Title>
    <b:Year>2008</b:Year>
    <b:City>Paris</b:City>
    <b:Publisher>Éditions de la République</b:Publisher>
    <b:RefOrder>147</b:RefOrder>
  </b:Source>
  <b:Source>
    <b:Tag>Bos11</b:Tag>
    <b:SourceType>Book</b:SourceType>
    <b:Guid>{1F5BE430-35D2-4008-B37D-98BDACF6343E}</b:Guid>
    <b:Author>
      <b:Author>
        <b:NameList>
          <b:Person>
            <b:Last>Boskov</b:Last>
            <b:First>Henry</b:First>
          </b:Person>
        </b:NameList>
      </b:Author>
    </b:Author>
    <b:Title>Abolition, Democracy, and Radicalism: The International Movement against Slavery, 1830-1868</b:Title>
    <b:Year>2011</b:Year>
    <b:City>Concord</b:City>
    <b:Publisher>Quiner University</b:Publisher>
    <b:RefOrder>148</b:RefOrder>
  </b:Source>
  <b:Source>
    <b:Tag>Fis19</b:Tag>
    <b:SourceType>Book</b:SourceType>
    <b:Guid>{2FAAF62D-90C9-4223-970A-510D953C063F}</b:Guid>
    <b:Author>
      <b:Author>
        <b:NameList>
          <b:Person>
            <b:Last>Fish</b:Last>
            <b:First>Robert</b:First>
          </b:Person>
        </b:NameList>
      </b:Author>
    </b:Author>
    <b:Title>The Immense Slave Empire: The Planter Ascendancy and American Foreign Policy, 1800-1868</b:Title>
    <b:Year>2019</b:Year>
    <b:City>Princeton</b:City>
    <b:Publisher>University of New Jersey Press</b:Publisher>
    <b:RefOrder>149</b:RefOrder>
  </b:Source>
  <b:Source>
    <b:Tag>Laf03</b:Tag>
    <b:SourceType>Book</b:SourceType>
    <b:Guid>{7D8AAD41-42C0-48BD-920B-D96C357466ED}</b:Guid>
    <b:Author>
      <b:Author>
        <b:NameList>
          <b:Person>
            <b:Last>Lafitte</b:Last>
            <b:First>Jonathan</b:First>
          </b:Person>
        </b:NameList>
      </b:Author>
    </b:Author>
    <b:Title>To Transcend the Self: The Life of Ralph Waldo Emerson</b:Title>
    <b:Year>2003</b:Year>
    <b:City>St. Paul</b:City>
    <b:Publisher>University of St. Paul</b:Publisher>
    <b:RefOrder>150</b:RefOrder>
  </b:Source>
  <b:Source>
    <b:Tag>Dav16</b:Tag>
    <b:SourceType>Book</b:SourceType>
    <b:Guid>{B676409E-A414-4D16-828F-E71BEFEB77A9}</b:Guid>
    <b:Author>
      <b:Author>
        <b:NameList>
          <b:Person>
            <b:Last>Davis</b:Last>
            <b:First>Juliette</b:First>
          </b:Person>
        </b:NameList>
      </b:Author>
    </b:Author>
    <b:Title>Decoloniality of the American Mind, 1789-1868</b:Title>
    <b:Year>2016</b:Year>
    <b:City>Ballyburr</b:City>
    <b:Publisher>University of Ballyburr Press</b:Publisher>
    <b:RefOrder>151</b:RefOrder>
  </b:Source>
  <b:Source>
    <b:Tag>Kor92</b:Tag>
    <b:SourceType>Book</b:SourceType>
    <b:Guid>{4536D7FC-8530-4994-BBEC-9D39CA24D024}</b:Guid>
    <b:Author>
      <b:Author>
        <b:NameList>
          <b:Person>
            <b:Last>Korchakov</b:Last>
            <b:First>Alexey</b:First>
          </b:Person>
        </b:NameList>
      </b:Author>
    </b:Author>
    <b:Title>The Teuton Seed: German, Saxon, and Hibernic Lifeways in America, 1600 to the Present</b:Title>
    <b:Year>1992</b:Year>
    <b:City>Princeton</b:City>
    <b:Publisher>University of New Jersey Press</b:Publisher>
    <b:RefOrder>152</b:RefOrder>
  </b:Source>
  <b:Source>
    <b:Tag>Sch031</b:Tag>
    <b:SourceType>Book</b:SourceType>
    <b:Guid>{32F55FBA-501A-4212-80AF-CE5FEA8DD12F}</b:Guid>
    <b:Author>
      <b:Author>
        <b:NameList>
          <b:Person>
            <b:Last>Schiller</b:Last>
            <b:First>Carl</b:First>
          </b:Person>
        </b:NameList>
      </b:Author>
    </b:Author>
    <b:Title>The Pennsylvania Dutch and the American Religious Patchwork, From the Seventeenth Century to the Present</b:Title>
    <b:Year>2003</b:Year>
    <b:City>Philadelphia</b:City>
    <b:Publisher>University of Pennsylvania Press</b:Publisher>
    <b:RefOrder>153</b:RefOrder>
  </b:Source>
  <b:Source>
    <b:Tag>Lan07</b:Tag>
    <b:SourceType>JournalArticle</b:SourceType>
    <b:Guid>{C97C914F-2ABB-4BA6-A87B-E8DC5E7ABB24}</b:Guid>
    <b:Author>
      <b:Author>
        <b:NameList>
          <b:Person>
            <b:Last>Langford</b:Last>
            <b:First>Edwin</b:First>
          </b:Person>
        </b:NameList>
      </b:Author>
    </b:Author>
    <b:Title>Puritan Moralism, Websterism, and the Abolitionist Movement</b:Title>
    <b:Year>2007</b:Year>
    <b:JournalName>Journal of American Political Development 20, no. 2</b:JournalName>
    <b:Pages>342–364</b:Pages>
    <b:RefOrder>154</b:RefOrder>
  </b:Source>
  <b:Source>
    <b:Tag>Laf95</b:Tag>
    <b:SourceType>Book</b:SourceType>
    <b:Guid>{3B10110E-50D6-4F24-BFE7-34507193BC0F}</b:Guid>
    <b:Author>
      <b:Author>
        <b:NameList>
          <b:Person>
            <b:Last>Lafitte</b:Last>
            <b:First>Jonathan</b:First>
          </b:Person>
        </b:NameList>
      </b:Author>
    </b:Author>
    <b:Title>Towards Literary Independence: The Rise of the American Novel, 1800-1900</b:Title>
    <b:Year>1995</b:Year>
    <b:City>St. Paul</b:City>
    <b:Publisher>University of St. Paul</b:Publisher>
    <b:RefOrder>155</b:RefOrder>
  </b:Source>
  <b:Source>
    <b:Tag>Bos20</b:Tag>
    <b:SourceType>Book</b:SourceType>
    <b:Guid>{10AF7EE4-2D96-4E60-822A-FA5D182125D5}</b:Guid>
    <b:Author>
      <b:Author>
        <b:NameList>
          <b:Person>
            <b:Last>Boskov</b:Last>
            <b:First>Henry</b:First>
          </b:Person>
        </b:NameList>
      </b:Author>
    </b:Author>
    <b:Title>Democracy and the Red Atlantic: Anglo-American Radicalism in the Great Plateau of the Age of Revolutions, 1830-1868</b:Title>
    <b:Year>2020</b:Year>
    <b:City>Concord</b:City>
    <b:Publisher>Quiner University</b:Publisher>
    <b:RefOrder>156</b:RefOrder>
  </b:Source>
  <b:Source>
    <b:Tag>Ant11</b:Tag>
    <b:SourceType>Book</b:SourceType>
    <b:Guid>{C1258AEF-2F8A-4FF6-B0E3-F7A54CCD6286}</b:Guid>
    <b:Author>
      <b:Author>
        <b:NameList>
          <b:Person>
            <b:Last>Antonov</b:Last>
            <b:First>Dennis</b:First>
          </b:Person>
        </b:NameList>
      </b:Author>
    </b:Author>
    <b:Title>The Brother Republics: British Emigration to the United States, 1830-1868</b:Title>
    <b:Year>2011</b:Year>
    <b:City>Chester</b:City>
    <b:Publisher>University of Shackamia Press</b:Publisher>
    <b:RefOrder>157</b:RefOrder>
  </b:Source>
  <b:Source>
    <b:Tag>Att73</b:Tag>
    <b:SourceType>Book</b:SourceType>
    <b:Guid>{DE32CF7B-FBE1-45F0-A0D1-6AA26458E42C}</b:Guid>
    <b:Author>
      <b:Author>
        <b:NameList>
          <b:Person>
            <b:Last>Attwood</b:Last>
            <b:First>Caleb</b:First>
          </b:Person>
        </b:NameList>
      </b:Author>
    </b:Author>
    <b:Title>Altar or Democracy? Roman Catholicism in the United States, 1789 to Present</b:Title>
    <b:Year>1973</b:Year>
    <b:City>Dartmouth</b:City>
    <b:Publisher>Dartmouth College Press</b:Publisher>
    <b:RefOrder>158</b:RefOrder>
  </b:Source>
  <b:Source>
    <b:Tag>Dub09</b:Tag>
    <b:SourceType>JournalArticle</b:SourceType>
    <b:Guid>{0B8EDB28-691A-407B-9901-8CCF685077C3}</b:Guid>
    <b:Author>
      <b:Author>
        <b:NameList>
          <b:Person>
            <b:Last>Dubreuil</b:Last>
            <b:First>Antoine</b:First>
          </b:Person>
        </b:NameList>
      </b:Author>
    </b:Author>
    <b:Title>The Flower and the Stars: The French White Diaspora in the United States, 1789-1868</b:Title>
    <b:Year>1909</b:Year>
    <b:JournalName>Journal of Southern Cultural History, vol. 5, no. 1.</b:JournalName>
    <b:RefOrder>159</b:RefOrder>
  </b:Source>
  <b:Source>
    <b:Tag>Dub12</b:Tag>
    <b:SourceType>JournalArticle</b:SourceType>
    <b:Guid>{50FF291D-DEA6-431B-B11E-31B397717C81}</b:Guid>
    <b:Author>
      <b:Author>
        <b:NameList>
          <b:Person>
            <b:Last>Dubreuil</b:Last>
            <b:First>Antoine</b:First>
          </b:Person>
        </b:NameList>
      </b:Author>
    </b:Author>
    <b:Title>Creole Continuity: Identity and Integration in Antebellum Orleans, 1829–1868</b:Title>
    <b:Year>Spring 1912</b:Year>
    <b:JournalName>Journal of Southern Cultural History, vol. 7, no. 1</b:JournalName>
    <b:RefOrder>160</b:RefOrder>
  </b:Source>
  <b:Source>
    <b:Tag>Smi11</b:Tag>
    <b:SourceType>Book</b:SourceType>
    <b:Guid>{5CD4F823-4D1A-4B07-95B3-B3DE514A805B}</b:Guid>
    <b:Author>
      <b:Author>
        <b:NameList>
          <b:Person>
            <b:Last>Smith</b:Last>
            <b:First>Fitzgerald</b:First>
          </b:Person>
        </b:NameList>
      </b:Author>
    </b:Author>
    <b:Title>The Harp and the Purple: The United Irish Diaspora and the Antislavery Movement, 1799-1868</b:Title>
    <b:Year>2011</b:Year>
    <b:City>Dublin</b:City>
    <b:Publisher>Dublin Historical Studies</b:Publisher>
    <b:RefOrder>161</b:RefOrder>
  </b:Source>
  <b:Source>
    <b:Tag>Was01</b:Tag>
    <b:SourceType>Book</b:SourceType>
    <b:Guid>{B0011087-5F65-4C5C-A1F0-2F3D7898413A}</b:Guid>
    <b:Author>
      <b:Author>
        <b:NameList>
          <b:Person>
            <b:Last>Waszkiewicz</b:Last>
            <b:First>Louis</b:First>
          </b:Person>
        </b:NameList>
      </b:Author>
    </b:Author>
    <b:Title>For All the Tea in China: How Cornelius Curtius Stole the Tea from China</b:Title>
    <b:Year>2001</b:Year>
    <b:City>Aix-la-Chapelle</b:City>
    <b:Publisher>Éditions Gonzalez</b:Publisher>
    <b:RefOrder>162</b:RefOrder>
  </b:Source>
  <b:Source>
    <b:Tag>Sto13</b:Tag>
    <b:SourceType>Book</b:SourceType>
    <b:Guid>{61D70A8A-C3BE-49FF-AB2F-CAE9A638D978}</b:Guid>
    <b:Author>
      <b:Author>
        <b:NameList>
          <b:Person>
            <b:Last>Stoyanovich</b:Last>
            <b:First>Eliezer</b:First>
          </b:Person>
        </b:NameList>
      </b:Author>
    </b:Author>
    <b:Title>From Treason to Tempest: Tea in Antebellum America, 1844-1868</b:Title>
    <b:Year>2013</b:Year>
    <b:City>Memphis</b:City>
    <b:Publisher>Ogden University Press</b:Publisher>
    <b:RefOrder>163</b:RefOrder>
  </b:Source>
  <b:Source>
    <b:Tag>Luf93</b:Tag>
    <b:SourceType>Book</b:SourceType>
    <b:Guid>{F9F8C7A6-4B0F-45C2-870A-81B0CBD93706}</b:Guid>
    <b:Author>
      <b:Author>
        <b:NameList>
          <b:Person>
            <b:Last>Lufton</b:Last>
            <b:First>Abram</b:First>
          </b:Person>
        </b:NameList>
      </b:Author>
    </b:Author>
    <b:Title>The Island and the World: The United States and Foreign Trade, 1845-1911</b:Title>
    <b:Year>1993</b:Year>
    <b:City>Lexington</b:City>
    <b:Publisher>Transylvania University Press</b:Publisher>
    <b:RefOrder>164</b:RefOrder>
  </b:Source>
  <b:Source>
    <b:Tag>Min84</b:Tag>
    <b:SourceType>Book</b:SourceType>
    <b:Guid>{FF90D7AD-996D-44EB-A9C6-E991A20DD00D}</b:Guid>
    <b:Author>
      <b:Author>
        <b:NameList>
          <b:Person>
            <b:Last>Mingue</b:Last>
            <b:First>Racine</b:First>
          </b:Person>
        </b:NameList>
      </b:Author>
    </b:Author>
    <b:Title>The Nadir of the Dragon: China, 1800-1901</b:Title>
    <b:Year>1984</b:Year>
    <b:City>Lorient</b:City>
    <b:Publisher>Université républicaine de Nouvelle-Hollande</b:Publisher>
    <b:CountryRegion>New Holland</b:CountryRegion>
    <b:RefOrder>165</b:RefOrder>
  </b:Source>
  <b:Source>
    <b:Tag>Tan23</b:Tag>
    <b:SourceType>Book</b:SourceType>
    <b:Guid>{B469D9E3-F28B-4391-940B-BF8A7493825D}</b:Guid>
    <b:Author>
      <b:Author>
        <b:NameList>
          <b:Person>
            <b:Last>Tanackah</b:Last>
            <b:First>Aurelius</b:First>
          </b:Person>
        </b:NameList>
      </b:Author>
    </b:Author>
    <b:Title>The Eagle to Canton: The Yankee Trade to China, 1757-1901</b:Title>
    <b:Year>2023</b:Year>
    <b:City>New Haven</b:City>
    <b:Publisher>Yale University Press</b:Publisher>
    <b:RefOrder>166</b:RefOrder>
  </b:Source>
  <b:Source>
    <b:Tag>Wat97</b:Tag>
    <b:SourceType>Book</b:SourceType>
    <b:Guid>{421B0F0B-1AEE-4F97-8CA1-D7600F7799F1}</b:Guid>
    <b:Author>
      <b:Author>
        <b:NameList>
          <b:Person>
            <b:Last>Watkins</b:Last>
            <b:First>Joseph</b:First>
          </b:Person>
        </b:NameList>
      </b:Author>
    </b:Author>
    <b:Title>The Winds of Democracy: George Bancroft and the Arm of Destiny</b:Title>
    <b:Year>1997</b:Year>
    <b:City>St. Louis</b:City>
    <b:Publisher>Cahokia Historical Press</b:Publisher>
    <b:RefOrder>167</b:RefOrder>
  </b:Source>
  <b:Source>
    <b:Tag>Gol17</b:Tag>
    <b:SourceType>Book</b:SourceType>
    <b:Guid>{9525982F-EAEB-44BE-8201-6B4D36723DE9}</b:Guid>
    <b:Author>
      <b:Author>
        <b:NameList>
          <b:Person>
            <b:Last>Golding</b:Last>
            <b:First>Tim</b:First>
          </b:Person>
        </b:NameList>
      </b:Author>
    </b:Author>
    <b:Title>The Grey Man: The Life and Times of William Walker</b:Title>
    <b:Year>2017</b:Year>
    <b:City>Kingston</b:City>
    <b:Publisher>University of Jamaica</b:Publisher>
    <b:RefOrder>168</b:RefOrder>
  </b:Source>
  <b:Source>
    <b:Tag>Lie04</b:Tag>
    <b:SourceType>Book</b:SourceType>
    <b:Guid>{60A0138C-24E5-4A8A-9982-FCCB70238307}</b:Guid>
    <b:Author>
      <b:Author>
        <b:NameList>
          <b:Person>
            <b:Last>Lieven</b:Last>
            <b:First>Anthony</b:First>
          </b:Person>
        </b:NameList>
      </b:Author>
    </b:Author>
    <b:Title>The Revolution of the Disc: The Striaphone, 1846-1900</b:Title>
    <b:Year>2004</b:Year>
    <b:City>Chester</b:City>
    <b:Publisher>University of Shackamia Press</b:Publisher>
    <b:RefOrder>169</b:RefOrder>
  </b:Source>
  <b:Source>
    <b:Tag>Ost82</b:Tag>
    <b:SourceType>JournalArticle</b:SourceType>
    <b:Guid>{9B9C85E6-DA14-4879-86E9-D662446F1B85}</b:Guid>
    <b:Title>Early Striaphone Recordings in the Library of Alexandria Collection, 1846-1900</b:Title>
    <b:Year>1982</b:Year>
    <b:Author>
      <b:Author>
        <b:NameList>
          <b:Person>
            <b:Last>Osterberg</b:Last>
            <b:First>David</b:First>
          </b:Person>
        </b:NameList>
      </b:Author>
    </b:Author>
    <b:JournalName>Journal for the Library of Alexandria, Music, vol 19, no. 10</b:JournalName>
    <b:RefOrder>170</b:RefOrder>
  </b:Source>
  <b:Source>
    <b:Tag>Bur94</b:Tag>
    <b:SourceType>Book</b:SourceType>
    <b:Guid>{40A228EC-E0EF-4BA2-A763-43295769E287}</b:Guid>
    <b:Author>
      <b:Author>
        <b:NameList>
          <b:Person>
            <b:Last>Burroughs</b:Last>
            <b:First>Frank</b:First>
            <b:Middle>&amp; Scrivener, Lawrence</b:Middle>
          </b:Person>
        </b:NameList>
      </b:Author>
    </b:Author>
    <b:Title>The Babylon of the West: New York City to 1868</b:Title>
    <b:Year>1994</b:Year>
    <b:City>Jersey City</b:City>
    <b:Publisher>Burr University</b:Publisher>
    <b:RefOrder>171</b:RefOrder>
  </b:Source>
  <b:Source>
    <b:Tag>Man81</b:Tag>
    <b:SourceType>Book</b:SourceType>
    <b:Guid>{7DA760F4-A5EC-40C6-8252-5579004B2CB6}</b:Guid>
    <b:Author>
      <b:Author>
        <b:NameList>
          <b:Person>
            <b:Last>Manigault</b:Last>
            <b:First>Azucena</b:First>
          </b:Person>
        </b:NameList>
      </b:Author>
    </b:Author>
    <b:Title>The Leonardo of the Ascendancy: The Life and Times of Samuel F.B. Morse, 1791-1871</b:Title>
    <b:Year>1981</b:Year>
    <b:City>Monterrey</b:City>
    <b:Publisher>Republican University of Monterrey Press</b:Publisher>
    <b:RefOrder>172</b:RefOrder>
  </b:Source>
  <b:Source>
    <b:Tag>Ste19</b:Tag>
    <b:SourceType>Book</b:SourceType>
    <b:Guid>{B1008679-2F2F-4826-9FB9-1444451346EF}</b:Guid>
    <b:Author>
      <b:Author>
        <b:NameList>
          <b:Person>
            <b:Last>Stern</b:Last>
            <b:First>Casimir</b:First>
          </b:Person>
        </b:NameList>
      </b:Author>
    </b:Author>
    <b:Title>The Winds of Progress: Technology in the Long Nineteenth Century, 1789-1892</b:Title>
    <b:Year>2019</b:Year>
    <b:City>Aix-la-Chapelle</b:City>
    <b:Publisher>Éditions Gonzalez</b:Publisher>
    <b:RefOrder>173</b:RefOrder>
  </b:Source>
  <b:Source>
    <b:Tag>Zel02</b:Tag>
    <b:SourceType>Book</b:SourceType>
    <b:Guid>{FE6C5F34-0DFB-4483-AEDE-F5E7AAEBA5AD}</b:Guid>
    <b:Author>
      <b:Author>
        <b:NameList>
          <b:Person>
            <b:Last>Zelazny</b:Last>
            <b:First>Robert</b:First>
          </b:Person>
        </b:NameList>
      </b:Author>
    </b:Author>
    <b:Title>Inseparable: The Life and Times of Daniel Webster, 1782-1852</b:Title>
    <b:Year>2002</b:Year>
    <b:City>St. Paul</b:City>
    <b:Publisher>University of St. Paul</b:Publisher>
    <b:RefOrder>174</b:RefOrder>
  </b:Source>
  <b:Source>
    <b:Tag>Xav97</b:Tag>
    <b:SourceType>Book</b:SourceType>
    <b:Guid>{47178234-C349-4F0D-A4E5-EDBF634E2901}</b:Guid>
    <b:Author>
      <b:Author>
        <b:NameList>
          <b:Person>
            <b:Last>Xavier</b:Last>
            <b:First>Thomas</b:First>
          </b:Person>
        </b:NameList>
      </b:Author>
    </b:Author>
    <b:Title>History of the Financial System of the United States, 1781-1868</b:Title>
    <b:Year>1997</b:Year>
    <b:City>Washington</b:City>
    <b:Publisher>Gracchi Institute</b:Publisher>
    <b:RefOrder>175</b:RefOrder>
  </b:Source>
  <b:Source>
    <b:Tag>Tan99</b:Tag>
    <b:SourceType>Book</b:SourceType>
    <b:Guid>{4103EB3E-09E3-4F76-A355-50B538FA2707}</b:Guid>
    <b:Author>
      <b:Author>
        <b:NameList>
          <b:Person>
            <b:Last>Tangue</b:Last>
            <b:First>Hezekiah</b:First>
          </b:Person>
        </b:NameList>
      </b:Author>
    </b:Author>
    <b:Title>The Undesired One: The Life and Times of Joseph Alston</b:Title>
    <b:Year>1999</b:Year>
    <b:City>Jersey City</b:City>
    <b:Publisher>Burr University</b:Publisher>
    <b:RefOrder>176</b:RefOrder>
  </b:Source>
  <b:Source>
    <b:Tag>Pac11</b:Tag>
    <b:SourceType>Book</b:SourceType>
    <b:Guid>{3FFCB7A1-AC92-4FC2-B03B-3A8EB100FB6D}</b:Guid>
    <b:Author>
      <b:Author>
        <b:NameList>
          <b:Person>
            <b:Last>Pacque</b:Last>
            <b:First>Tatiana</b:First>
          </b:Person>
        </b:NameList>
      </b:Author>
    </b:Author>
    <b:Title>The Grand Old Woman: Theodosia Burr Alston and America, 1783-1864</b:Title>
    <b:Year>2011</b:Year>
    <b:City>Jersey City</b:City>
    <b:Publisher>Burr University</b:Publisher>
    <b:RefOrder>177</b:RefOrder>
  </b:Source>
  <b:Source>
    <b:Tag>Der19</b:Tag>
    <b:SourceType>Book</b:SourceType>
    <b:Guid>{1DED807A-9E38-42BB-A672-87ACA3DEB09D}</b:Guid>
    <b:Author>
      <b:Author>
        <b:NameList>
          <b:Person>
            <b:Last>Derbyshire</b:Last>
            <b:First>Charlotte</b:First>
          </b:Person>
        </b:NameList>
      </b:Author>
    </b:Author>
    <b:Title>For All the Mail in England: The British General Post Office, 1829 to Present</b:Title>
    <b:Year>2019</b:Year>
    <b:City>London</b:City>
    <b:Publisher>London University Press</b:Publisher>
    <b:RefOrder>178</b:RefOrder>
  </b:Source>
  <b:Source>
    <b:Tag>Sch08</b:Tag>
    <b:SourceType>Book</b:SourceType>
    <b:Guid>{02C9EC35-F142-42EA-904B-3C496C4CB71B}</b:Guid>
    <b:Author>
      <b:Author>
        <b:NameList>
          <b:Person>
            <b:Last>Schwab</b:Last>
            <b:First>Frederick</b:First>
          </b:Person>
        </b:NameList>
      </b:Author>
    </b:Author>
    <b:Title>The Holy Wire: The Electric Telegraph in American History, 1847-2000</b:Title>
    <b:Year>2008</b:Year>
    <b:City>Concord</b:City>
    <b:Publisher>Quiner University</b:Publisher>
    <b:RefOrder>179</b:RefOrder>
  </b:Source>
  <b:Source>
    <b:Tag>Por14</b:Tag>
    <b:SourceType>Book</b:SourceType>
    <b:Guid>{FE2A8DC9-2EF7-4A06-B8BC-F978E3911D7E}</b:Guid>
    <b:Author>
      <b:Author>
        <b:NameList>
          <b:Person>
            <b:Last>Porterfield</b:Last>
            <b:First>Isaac</b:First>
          </b:Person>
        </b:NameList>
      </b:Author>
    </b:Author>
    <b:Title>The Typegraphed Municipality: Private Telegraphy in the Antebellum Era</b:Title>
    <b:Year>2014</b:Year>
    <b:City>Alexandria</b:City>
    <b:Publisher>Library of Alexandria Publishing</b:Publisher>
    <b:RefOrder>180</b:RefOrder>
  </b:Source>
  <b:Source>
    <b:Tag>Joh03</b:Tag>
    <b:SourceType>Book</b:SourceType>
    <b:Guid>{32839C64-20FE-43A0-B8A3-F5A60F5FAF88}</b:Guid>
    <b:Author>
      <b:Author>
        <b:NameList>
          <b:Person>
            <b:Last>Johansdottir</b:Last>
            <b:First>Kirsten</b:First>
          </b:Person>
        </b:NameList>
      </b:Author>
    </b:Author>
    <b:Title>Submarine Cables in the Light of History, 1853-1937</b:Title>
    <b:Year>2003</b:Year>
    <b:City>Montreal</b:City>
    <b:Publisher>University of Laurentia Press</b:Publisher>
    <b:RefOrder>181</b:RefOrder>
  </b:Source>
  <b:Source>
    <b:Tag>Law98</b:Tag>
    <b:SourceType>Book</b:SourceType>
    <b:Guid>{C359A5D3-5D1B-4A8C-980F-D816A8913D92}</b:Guid>
    <b:Author>
      <b:Author>
        <b:NameList>
          <b:Person>
            <b:Last>Lawson</b:Last>
            <b:First>Esther</b:First>
          </b:Person>
        </b:NameList>
      </b:Author>
    </b:Author>
    <b:Title>The Most Perilous Run: The Iceclipper Express and its Place in World History</b:Title>
    <b:Year>1998</b:Year>
    <b:City>New Jerusalem</b:City>
    <b:Publisher>Press of the National Academy of New Canaan</b:Publisher>
    <b:RefOrder>182</b:RefOrder>
  </b:Source>
  <b:Source>
    <b:Tag>Sha14</b:Tag>
    <b:SourceType>Book</b:SourceType>
    <b:Guid>{6AF7675B-C904-40F4-8537-45D19DB002F0}</b:Guid>
    <b:Author>
      <b:Author>
        <b:NameList>
          <b:Person>
            <b:Last>Shagenov</b:Last>
            <b:First>Mario</b:First>
          </b:Person>
        </b:NameList>
      </b:Author>
    </b:Author>
    <b:Title>The Fall of the Russian Pacific: The Russo-Chinese War and its Aftermath, 1893-1915</b:Title>
    <b:Year>2014</b:Year>
    <b:City>San Francisco</b:City>
    <b:Publisher>Republican University of San Francisco</b:Publisher>
    <b:RefOrder>183</b:RefOrder>
  </b:Source>
  <b:Source>
    <b:Tag>Wie01</b:Tag>
    <b:SourceType>Book</b:SourceType>
    <b:Guid>{BABC6864-93BA-45A4-936B-5781B394721A}</b:Guid>
    <b:Author>
      <b:Author>
        <b:NameList>
          <b:Person>
            <b:Last>Wiercinska</b:Last>
            <b:First>Karl</b:First>
          </b:Person>
        </b:NameList>
      </b:Author>
    </b:Author>
    <b:Title>The Telegraph in Central European History</b:Title>
    <b:Year>2001</b:Year>
    <b:City>Berlin</b:City>
    <b:Publisher>Königliche Friedrich-Wilhelms-Universität zu Berlin</b:Publisher>
    <b:RefOrder>184</b:RefOrder>
  </b:Source>
  <b:Source>
    <b:Tag>Bos24</b:Tag>
    <b:SourceType>Book</b:SourceType>
    <b:Guid>{35AA64F3-1E4D-46EC-AEA1-053979B2699F}</b:Guid>
    <b:Author>
      <b:Author>
        <b:NameList>
          <b:Person>
            <b:Last>Boskov</b:Last>
            <b:First>Henry</b:First>
          </b:Person>
        </b:NameList>
      </b:Author>
    </b:Author>
    <b:Title>The Rise of Internationalism: Richard Cobden, John Morley and the Road to the International Forum</b:Title>
    <b:Year>2024</b:Year>
    <b:City>Concord</b:City>
    <b:Publisher>Quiner University</b:Publisher>
    <b:RefOrder>185</b:RefOrder>
  </b:Source>
  <b:Source>
    <b:Tag>She11</b:Tag>
    <b:SourceType>Book</b:SourceType>
    <b:Guid>{381CBAC7-7FC3-4A75-9A23-9F467DE3DB2B}</b:Guid>
    <b:Author>
      <b:Author>
        <b:NameList>
          <b:Person>
            <b:Last>Shemolov</b:Last>
            <b:First>Hsiu-ying</b:First>
          </b:Person>
        </b:NameList>
      </b:Author>
    </b:Author>
    <b:Title>The Iron Despotism: The Trans-Siberian Railroad and the Path to the War of Reunification</b:Title>
    <b:Year>2011</b:Year>
    <b:City>Jiujiang</b:City>
    <b:Publisher>White Deer Grotto Academy Press</b:Publisher>
    <b:RefOrder>186</b:RefOrder>
  </b:Source>
  <b:Source>
    <b:Tag>von12</b:Tag>
    <b:SourceType>Book</b:SourceType>
    <b:Guid>{89521287-C845-4B74-9E45-A85B9B3A117C}</b:Guid>
    <b:Author>
      <b:Author>
        <b:NameList>
          <b:Person>
            <b:Last>von Hertingshausen</b:Last>
            <b:First>Wilhelm</b:First>
            <b:Middle>Tell</b:Middle>
          </b:Person>
        </b:NameList>
      </b:Author>
    </b:Author>
    <b:Title>The Gutta-Percha Rush: The European Conquest of the Malay Archipelago, 1854-1900</b:Title>
    <b:Year>2012</b:Year>
    <b:City>Frankfurt</b:City>
    <b:Publisher>Kaiserliche Universität zu Frankfurt am Main</b:Publisher>
    <b:RefOrder>187</b:RefOrder>
  </b:Source>
  <b:Source>
    <b:Tag>von97</b:Tag>
    <b:SourceType>Book</b:SourceType>
    <b:Guid>{D9119381-B43B-4EBE-9AC4-C0879728DC94}</b:Guid>
    <b:Author>
      <b:Author>
        <b:NameList>
          <b:Person>
            <b:Last>von Brösigke</b:Last>
            <b:First>Hermann</b:First>
          </b:Person>
        </b:NameList>
      </b:Author>
    </b:Author>
    <b:Title>The Euclid of Dresden: The Life and Times of Karl Anton Schrader, 1865-1907</b:Title>
    <b:Year>1997</b:Year>
    <b:City>Jena</b:City>
    <b:Publisher>University of Jena</b:Publisher>
    <b:RefOrder>188</b:RefOrder>
  </b:Source>
  <b:Source>
    <b:Tag>Sch01</b:Tag>
    <b:SourceType>Book</b:SourceType>
    <b:Guid>{F677AA91-78EB-4D54-B33B-3D8606EAD604}</b:Guid>
    <b:Author>
      <b:Author>
        <b:NameList>
          <b:Person>
            <b:Last>Schmitt</b:Last>
            <b:First>Frank</b:First>
          </b:Person>
        </b:NameList>
      </b:Author>
    </b:Author>
    <b:Title>Paddleboat Nation: The Steamboat in Antebellum America, 1811-1868</b:Title>
    <b:Year>2001</b:Year>
    <b:City>Norfolk</b:City>
    <b:Publisher>Naval Institution Press</b:Publisher>
    <b:RefOrder>189</b:RefOrder>
  </b:Source>
  <b:Source>
    <b:Tag>Hed12</b:Tag>
    <b:SourceType>Book</b:SourceType>
    <b:Guid>{FBD81DCA-1E93-4C9B-B054-9A6572E95397}</b:Guid>
    <b:Author>
      <b:Author>
        <b:NameList>
          <b:Person>
            <b:Last>Hedly</b:Last>
            <b:First>Bonifacius</b:First>
          </b:Person>
        </b:NameList>
      </b:Author>
    </b:Author>
    <b:Title>Two Centuries in Action: The Federal Bulletin, 1812-2012</b:Title>
    <b:Year>2012</b:Year>
    <b:City>Alexandria</b:City>
    <b:Publisher>Smithsonian History Press</b:Publisher>
    <b:RefOrder>190</b:RefOrder>
  </b:Source>
  <b:Source>
    <b:Tag>Acr12</b:Tag>
    <b:SourceType>Book</b:SourceType>
    <b:Guid>{ECBA16A6-DCC8-4B46-B07E-D35B7B5F6F2D}</b:Guid>
    <b:Author>
      <b:Author>
        <b:NameList>
          <b:Person>
            <b:Last>Acrement</b:Last>
            <b:First>Anastace</b:First>
          </b:Person>
        </b:NameList>
      </b:Author>
    </b:Author>
    <b:Title>The Origins of the St. Louis Mechanics’ Uprising</b:Title>
    <b:Year>2012</b:Year>
    <b:City>St. Louis</b:City>
    <b:Publisher>University of St. Louis</b:Publisher>
    <b:RefOrder>191</b:RefOrder>
  </b:Source>
  <b:Source>
    <b:Tag>Att80</b:Tag>
    <b:SourceType>JournalArticle</b:SourceType>
    <b:Guid>{2FA135E4-22CD-4004-AF49-F718DC30A98F}</b:Guid>
    <b:Author>
      <b:Author>
        <b:NameList>
          <b:Person>
            <b:Last>Attwood</b:Last>
            <b:First>Caleb</b:First>
          </b:Person>
        </b:NameList>
      </b:Author>
    </b:Author>
    <b:Title>The Cross and the Crescent: Anti-Catholicism and the Birth of Mass Politics in the Age of Burr</b:Title>
    <b:JournalName>New Albion Historical Quarterly, vol. 3, no. 2</b:JournalName>
    <b:Year>1980</b:Year>
    <b:RefOrder>192</b:RefOrder>
  </b:Source>
  <b:Source>
    <b:Tag>Bea99</b:Tag>
    <b:SourceType>Book</b:SourceType>
    <b:Guid>{6DE056C7-55C4-4436-B729-4A34A02A8CB3}</b:Guid>
    <b:Author>
      <b:Author>
        <b:NameList>
          <b:Person>
            <b:Last>Beavers</b:Last>
            <b:First>James</b:First>
          </b:Person>
        </b:NameList>
      </b:Author>
    </b:Author>
    <b:Title>The City of the Falls: A History of Louisville, 1778 to Present</b:Title>
    <b:Year>1999</b:Year>
    <b:City>Louisville</b:City>
    <b:Publisher>University of Louisville</b:Publisher>
    <b:RefOrder>193</b:RefOrder>
  </b:Source>
  <b:Source>
    <b:Tag>Ken01</b:Tag>
    <b:SourceType>Book</b:SourceType>
    <b:Guid>{10FA1E40-C81E-4EE9-AF86-EAEE73D64ADE}</b:Guid>
    <b:Author>
      <b:Author>
        <b:NameList>
          <b:Person>
            <b:Last>Kenzler</b:Last>
            <b:First>Sidney</b:First>
          </b:Person>
        </b:NameList>
      </b:Author>
    </b:Author>
    <b:Title>The Meeting that Changed the World: Henry Clay and George Tierney, the Flames of Liberty, and Toronto, 1830</b:Title>
    <b:Year>2001</b:Year>
    <b:City>Toronto</b:City>
    <b:Publisher>Toronto University Press</b:Publisher>
    <b:RefOrder>194</b:RefOrder>
  </b:Source>
  <b:Source>
    <b:Tag>Wal74</b:Tag>
    <b:SourceType>Book</b:SourceType>
    <b:Guid>{6D4FB8E6-D4D2-45E7-B8E9-865D815965DD}</b:Guid>
    <b:Author>
      <b:Author>
        <b:NameList>
          <b:Person>
            <b:Last>Wallace</b:Last>
            <b:First>Horace</b:First>
          </b:Person>
        </b:NameList>
      </b:Author>
    </b:Author>
    <b:Title>The Atoners: The Clapham Sect, Controlled Opposition, and the Nature of Traditionalist Reform</b:Title>
    <b:Year>1974</b:Year>
    <b:City>Birmingham</b:City>
    <b:Publisher>Lunar University Press</b:Publisher>
    <b:RefOrder>195</b:RefOrder>
  </b:Source>
  <b:Source>
    <b:Tag>Van27</b:Tag>
    <b:SourceType>Book</b:SourceType>
    <b:Guid>{396853CE-8E98-4B2F-953B-257BF913E292}</b:Guid>
    <b:Author>
      <b:Author>
        <b:Corporate>Van Rensselaer Committee</b:Corporate>
      </b:Author>
    </b:Author>
    <b:Title>Report of the Select Committee to Investigate the Late Conflagration of the President’s Mansion</b:Title>
    <b:Year>1827</b:Year>
    <b:City>Washington</b:City>
    <b:Publisher>Congressional Reports</b:Publisher>
    <b:RefOrder>196</b:RefOrder>
  </b:Source>
  <b:Source>
    <b:Tag>Wil01</b:Tag>
    <b:SourceType>Book</b:SourceType>
    <b:Guid>{A2E7950E-34AA-451F-83C0-541D39CDA83E}</b:Guid>
    <b:Author>
      <b:Author>
        <b:NameList>
          <b:Person>
            <b:Last>Wilkins</b:Last>
            <b:First>Charles</b:First>
          </b:Person>
        </b:NameList>
      </b:Author>
    </b:Author>
    <b:Title>The Death of Aaron Burr: An Analysis of its Causes</b:Title>
    <b:Year>2001</b:Year>
    <b:City>Washington</b:City>
    <b:Publisher>Smithsonian History Press</b:Publisher>
    <b:RefOrder>197</b:RefOrder>
  </b:Source>
  <b:Source>
    <b:Tag>Cla94</b:Tag>
    <b:SourceType>Book</b:SourceType>
    <b:Guid>{A60F793F-77AF-4B9C-9F09-86716AEEAE29}</b:Guid>
    <b:Author>
      <b:Author>
        <b:NameList>
          <b:Person>
            <b:Last>Clank</b:Last>
            <b:First>Henry</b:First>
          </b:Person>
        </b:NameList>
      </b:Author>
    </b:Author>
    <b:Title>A Military History of the Luisiana War</b:Title>
    <b:Year>1994</b:Year>
    <b:City>New Orleans</b:City>
    <b:Publisher>Orleans State University Press</b:Publisher>
    <b:RefOrder>198</b:RefOrder>
  </b:Source>
  <b:Source>
    <b:Tag>Fon19</b:Tag>
    <b:SourceType>Book</b:SourceType>
    <b:Guid>{356FA063-CD5C-41F0-9838-E4327248EC78}</b:Guid>
    <b:Author>
      <b:Author>
        <b:NameList>
          <b:Person>
            <b:Last>Fonteneau</b:Last>
            <b:First>Ximena</b:First>
          </b:Person>
        </b:NameList>
      </b:Author>
    </b:Author>
    <b:Title>The Raccoon Men: The Militia Myth and the Luisiana War, in the Light of American History, 1828 to Present</b:Title>
    <b:Year>2019</b:Year>
    <b:City>New Orleans</b:City>
    <b:Publisher>Republican University of New Orleans</b:Publisher>
    <b:RefOrder>199</b:RefOrder>
  </b:Source>
  <b:Source>
    <b:Tag>LiG23</b:Tag>
    <b:SourceType>Book</b:SourceType>
    <b:Guid>{1A2306BA-1B8B-4276-9B91-8C609B1E14A2}</b:Guid>
    <b:Author>
      <b:Author>
        <b:NameList>
          <b:Person>
            <b:Last>Li</b:Last>
            <b:First>Guiyang</b:First>
          </b:Person>
        </b:NameList>
      </b:Author>
    </b:Author>
    <b:Title>The Problem of Modernity: Bai China between Revolution and Reunification, 1854-1898</b:Title>
    <b:Year>2023</b:Year>
    <b:City>Nanjing</b:City>
    <b:Publisher>Guozijan Press</b:Publisher>
    <b:RefOrder>200</b:RefOrder>
  </b:Source>
</b:Sources>
</file>

<file path=customXml/itemProps1.xml><?xml version="1.0" encoding="utf-8"?>
<ds:datastoreItem xmlns:ds="http://schemas.openxmlformats.org/officeDocument/2006/customXml" ds:itemID="{476D0A7B-C93D-4E54-A71F-0592E512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119496</TotalTime>
  <Pages>403</Pages>
  <Words>93899</Words>
  <Characters>535228</Characters>
  <Application>Microsoft Office Word</Application>
  <DocSecurity>0</DocSecurity>
  <Lines>4460</Lines>
  <Paragraphs>1255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Sharma</dc:creator>
  <cp:keywords/>
  <dc:description/>
  <cp:lastModifiedBy>Ishan Sharma</cp:lastModifiedBy>
  <cp:revision>10580</cp:revision>
  <dcterms:created xsi:type="dcterms:W3CDTF">2025-03-30T20:49:00Z</dcterms:created>
  <dcterms:modified xsi:type="dcterms:W3CDTF">2025-06-28T19:44:00Z</dcterms:modified>
</cp:coreProperties>
</file>